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20" w:after="400"/>
        <w:jc w:val="center"/>
      </w:pPr>
      <w:r>
        <w:rPr>
          <w:rFonts w:ascii="方正小标宋简体" w:hAnsi="方正小标宋简体" w:eastAsia="方正小标宋简体"/>
          <w:b/>
          <w:sz w:val="44"/>
        </w:rPr>
        <w:t>点位实施变更完成说明书</w:t>
      </w:r>
    </w:p>
    <w:p>
      <w:pPr>
        <w:spacing w:after="320"/>
        <w:jc w:val="center"/>
      </w:pPr>
      <w:r>
        <w:rPr>
          <w:rFonts w:ascii="楷体_GB2312" w:hAnsi="楷体_GB2312" w:eastAsia="楷体_GB2312"/>
          <w:b w:val="0"/>
          <w:sz w:val="28"/>
        </w:rPr>
        <w:t>城西区智慧生态监管项目</w:t>
      </w:r>
    </w:p>
    <w:p>
      <w:pPr>
        <w:jc w:val="right"/>
      </w:pPr>
      <w:r>
        <w:rPr>
          <w:rFonts w:ascii="仿宋_GB2312" w:hAnsi="仿宋_GB2312" w:eastAsia="仿宋_GB2312"/>
          <w:b w:val="0"/>
          <w:sz w:val="24"/>
        </w:rPr>
        <w:t>编号：ZX-2024-042-01</w:t>
      </w:r>
    </w:p>
    <w:p>
      <w:pPr>
        <w:spacing w:line="360" w:lineRule="auto"/>
      </w:pPr>
    </w:p>
    <w:p>
      <w:pPr>
        <w:spacing w:before="240" w:after="120"/>
      </w:pPr>
      <w:r>
        <w:rPr>
          <w:rFonts w:ascii="黑体" w:hAnsi="黑体" w:eastAsia="黑体"/>
          <w:b/>
          <w:sz w:val="32"/>
        </w:rPr>
        <w:t>一、项目基本情况</w:t>
      </w:r>
    </w:p>
    <w:p>
      <w:pPr>
        <w:spacing w:line="360" w:lineRule="auto"/>
        <w:ind w:firstLine="522"/>
      </w:pPr>
      <w:r>
        <w:rPr>
          <w:rFonts w:ascii="仿宋_GB2312" w:hAnsi="仿宋_GB2312" w:eastAsia="仿宋_GB2312"/>
          <w:b w:val="0"/>
          <w:sz w:val="28"/>
        </w:rPr>
        <w:t>项目名称：城西区智慧生态监管项目</w:t>
      </w:r>
    </w:p>
    <w:p>
      <w:pPr>
        <w:spacing w:line="360" w:lineRule="auto"/>
        <w:ind w:firstLine="522"/>
      </w:pPr>
      <w:r>
        <w:rPr>
          <w:rFonts w:ascii="仿宋_GB2312" w:hAnsi="仿宋_GB2312" w:eastAsia="仿宋_GB2312"/>
          <w:b w:val="0"/>
          <w:sz w:val="28"/>
        </w:rPr>
        <w:t>合同编号：青海泽诚磋商（货物）-2024-042</w:t>
      </w:r>
    </w:p>
    <w:p>
      <w:pPr>
        <w:spacing w:line="360" w:lineRule="auto"/>
        <w:ind w:firstLine="522"/>
      </w:pPr>
      <w:r>
        <w:rPr>
          <w:rFonts w:ascii="仿宋_GB2312" w:hAnsi="仿宋_GB2312" w:eastAsia="仿宋_GB2312"/>
          <w:b w:val="0"/>
          <w:sz w:val="28"/>
        </w:rPr>
        <w:t>建设单位：城西区相关管理部门</w:t>
      </w:r>
    </w:p>
    <w:p>
      <w:pPr>
        <w:spacing w:line="360" w:lineRule="auto"/>
        <w:ind w:firstLine="522"/>
      </w:pPr>
      <w:r>
        <w:rPr>
          <w:rFonts w:ascii="仿宋_GB2312" w:hAnsi="仿宋_GB2312" w:eastAsia="仿宋_GB2312"/>
          <w:b w:val="0"/>
          <w:sz w:val="28"/>
        </w:rPr>
        <w:t>承建单位：项目承建方</w:t>
      </w:r>
    </w:p>
    <w:p>
      <w:pPr>
        <w:spacing w:line="360" w:lineRule="auto"/>
      </w:pPr>
    </w:p>
    <w:p>
      <w:pPr>
        <w:spacing w:before="240" w:after="120"/>
      </w:pPr>
      <w:r>
        <w:rPr>
          <w:rFonts w:ascii="黑体" w:hAnsi="黑体" w:eastAsia="黑体"/>
          <w:b/>
          <w:sz w:val="32"/>
        </w:rPr>
        <w:t>二、点位变更依据</w:t>
      </w:r>
    </w:p>
    <w:p>
      <w:pPr>
        <w:spacing w:line="360" w:lineRule="auto"/>
        <w:ind w:firstLine="522"/>
      </w:pPr>
      <w:r>
        <w:rPr>
          <w:rFonts w:ascii="仿宋_GB2312" w:hAnsi="仿宋_GB2312" w:eastAsia="仿宋_GB2312"/>
          <w:b w:val="0"/>
          <w:sz w:val="28"/>
        </w:rPr>
        <w:t>根据《项目点位变更确认书》（合同编号：青海泽诚磋商（货物）-2024-042），因应建设单位上级管理部门现场检查后的优化意见，经双方充分沟通协商，对本项目监测点位进行变更调整。该确认书作为原合同的有效补充文件，与原合同具有同等法律效力。本次变更确认为本项目合同验收前的最终调整，变更后点位方案即行锁定。</w:t>
      </w:r>
    </w:p>
    <w:p>
      <w:pPr>
        <w:spacing w:line="360" w:lineRule="auto"/>
      </w:pPr>
    </w:p>
    <w:p>
      <w:pPr>
        <w:spacing w:before="240" w:after="120"/>
      </w:pPr>
      <w:r>
        <w:rPr>
          <w:rFonts w:ascii="黑体" w:hAnsi="黑体" w:eastAsia="黑体"/>
          <w:b/>
          <w:sz w:val="32"/>
        </w:rPr>
        <w:t>三、点位变更内容</w:t>
      </w:r>
    </w:p>
    <w:tbl>
      <w:tblPr>
        <w:tblStyle w:val="TableGrid"/>
        <w:tblW w:type="auto" w:w="0"/>
        <w:jc w:val="center"/>
        <w:tblLook w:firstColumn="1" w:firstRow="1" w:lastColumn="0" w:lastRow="0" w:noHBand="0" w:noVBand="1" w:val="04A0"/>
      </w:tblPr>
      <w:tblGrid>
        <w:gridCol w:w="2266"/>
        <w:gridCol w:w="2266"/>
        <w:gridCol w:w="2266"/>
        <w:gridCol w:w="2266"/>
      </w:tblGrid>
      <w:tr>
        <w:tc>
          <w:tcPr>
            <w:tcW w:type="dxa" w:w="1984"/>
            <w:shd w:fill="D9E2F3"/>
          </w:tcPr>
          <w:p>
            <w:pPr>
              <w:jc w:val="center"/>
            </w:pPr>
            <w:r>
              <w:rPr>
                <w:rFonts w:ascii="黑体" w:hAnsi="黑体" w:eastAsia="黑体"/>
                <w:b/>
                <w:sz w:val="24"/>
              </w:rPr>
              <w:t>项目</w:t>
            </w:r>
          </w:p>
        </w:tc>
        <w:tc>
          <w:tcPr>
            <w:tcW w:type="dxa" w:w="2835"/>
            <w:shd w:fill="D9E2F3"/>
          </w:tcPr>
          <w:p>
            <w:pPr>
              <w:jc w:val="center"/>
            </w:pPr>
            <w:r>
              <w:rPr>
                <w:rFonts w:ascii="黑体" w:hAnsi="黑体" w:eastAsia="黑体"/>
                <w:b/>
                <w:sz w:val="24"/>
              </w:rPr>
              <w:t>变更前</w:t>
            </w:r>
          </w:p>
        </w:tc>
        <w:tc>
          <w:tcPr>
            <w:tcW w:type="dxa" w:w="2835"/>
            <w:shd w:fill="D9E2F3"/>
          </w:tcPr>
          <w:p>
            <w:pPr>
              <w:jc w:val="center"/>
            </w:pPr>
            <w:r>
              <w:rPr>
                <w:rFonts w:ascii="黑体" w:hAnsi="黑体" w:eastAsia="黑体"/>
                <w:b/>
                <w:sz w:val="24"/>
              </w:rPr>
              <w:t>变更后</w:t>
            </w:r>
          </w:p>
        </w:tc>
        <w:tc>
          <w:tcPr>
            <w:tcW w:type="dxa" w:w="1984"/>
            <w:shd w:fill="D9E2F3"/>
          </w:tcPr>
          <w:p>
            <w:pPr>
              <w:jc w:val="center"/>
            </w:pPr>
            <w:r>
              <w:rPr>
                <w:rFonts w:ascii="黑体" w:hAnsi="黑体" w:eastAsia="黑体"/>
                <w:b/>
                <w:sz w:val="24"/>
              </w:rPr>
              <w:t>备注</w:t>
            </w:r>
          </w:p>
        </w:tc>
      </w:tr>
      <w:tr>
        <w:tc>
          <w:tcPr>
            <w:tcW w:type="dxa" w:w="1984"/>
          </w:tcPr>
          <w:p>
            <w:pPr>
              <w:jc w:val="center"/>
            </w:pPr>
            <w:r>
              <w:rPr>
                <w:rFonts w:ascii="仿宋_GB2312" w:hAnsi="仿宋_GB2312" w:eastAsia="仿宋_GB2312"/>
                <w:b w:val="0"/>
                <w:sz w:val="22"/>
              </w:rPr>
              <w:t>点位名称</w:t>
            </w:r>
          </w:p>
        </w:tc>
        <w:tc>
          <w:tcPr>
            <w:tcW w:type="dxa" w:w="2835"/>
          </w:tcPr>
          <w:p>
            <w:pPr>
              <w:jc w:val="center"/>
            </w:pPr>
            <w:r>
              <w:rPr>
                <w:rFonts w:ascii="仿宋_GB2312" w:hAnsi="仿宋_GB2312" w:eastAsia="仿宋_GB2312"/>
                <w:b w:val="0"/>
                <w:sz w:val="22"/>
              </w:rPr>
              <w:t>力盟商业巷优布劳</w:t>
            </w:r>
          </w:p>
        </w:tc>
        <w:tc>
          <w:tcPr>
            <w:tcW w:type="dxa" w:w="2835"/>
          </w:tcPr>
          <w:p>
            <w:pPr>
              <w:jc w:val="center"/>
            </w:pPr>
            <w:r>
              <w:rPr>
                <w:rFonts w:ascii="仿宋_GB2312" w:hAnsi="仿宋_GB2312" w:eastAsia="仿宋_GB2312"/>
                <w:b w:val="0"/>
                <w:sz w:val="22"/>
              </w:rPr>
              <w:t>新宁广场省博物馆旁</w:t>
            </w:r>
          </w:p>
        </w:tc>
        <w:tc>
          <w:tcPr>
            <w:tcW w:type="dxa" w:w="1984"/>
          </w:tcPr>
          <w:p>
            <w:pPr>
              <w:jc w:val="center"/>
            </w:pPr>
            <w:r>
              <w:rPr>
                <w:rFonts w:ascii="仿宋_GB2312" w:hAnsi="仿宋_GB2312" w:eastAsia="仿宋_GB2312"/>
                <w:b w:val="0"/>
                <w:sz w:val="22"/>
              </w:rPr>
              <w:t>点位迁移</w:t>
            </w:r>
          </w:p>
        </w:tc>
      </w:tr>
      <w:tr>
        <w:tc>
          <w:tcPr>
            <w:tcW w:type="dxa" w:w="1984"/>
          </w:tcPr>
          <w:p>
            <w:pPr>
              <w:jc w:val="center"/>
            </w:pPr>
            <w:r>
              <w:rPr>
                <w:rFonts w:ascii="仿宋_GB2312" w:hAnsi="仿宋_GB2312" w:eastAsia="仿宋_GB2312"/>
                <w:b w:val="0"/>
                <w:sz w:val="22"/>
              </w:rPr>
              <w:t>经度</w:t>
            </w:r>
          </w:p>
        </w:tc>
        <w:tc>
          <w:tcPr>
            <w:tcW w:type="dxa" w:w="2835"/>
          </w:tcPr>
          <w:p>
            <w:pPr>
              <w:jc w:val="center"/>
            </w:pPr>
            <w:r>
              <w:rPr>
                <w:rFonts w:ascii="仿宋_GB2312" w:hAnsi="仿宋_GB2312" w:eastAsia="仿宋_GB2312"/>
                <w:b w:val="0"/>
                <w:sz w:val="22"/>
              </w:rPr>
              <w:t>101.757168</w:t>
            </w:r>
          </w:p>
        </w:tc>
        <w:tc>
          <w:tcPr>
            <w:tcW w:type="dxa" w:w="2835"/>
          </w:tcPr>
          <w:p>
            <w:pPr>
              <w:jc w:val="center"/>
            </w:pPr>
            <w:r>
              <w:rPr>
                <w:rFonts w:ascii="仿宋_GB2312" w:hAnsi="仿宋_GB2312" w:eastAsia="仿宋_GB2312"/>
                <w:b w:val="0"/>
                <w:sz w:val="22"/>
              </w:rPr>
              <w:t>101.761434</w:t>
            </w:r>
          </w:p>
        </w:tc>
        <w:tc>
          <w:tcPr>
            <w:tcW w:type="dxa" w:w="1984"/>
          </w:tcPr>
          <w:p>
            <w:pPr>
              <w:jc w:val="center"/>
            </w:pPr>
            <w:r>
              <w:rPr>
                <w:rFonts w:ascii="仿宋_GB2312" w:hAnsi="仿宋_GB2312" w:eastAsia="仿宋_GB2312"/>
                <w:b w:val="0"/>
                <w:sz w:val="22"/>
              </w:rPr>
              <w:t>坐标已更新</w:t>
            </w:r>
          </w:p>
        </w:tc>
      </w:tr>
      <w:tr>
        <w:tc>
          <w:tcPr>
            <w:tcW w:type="dxa" w:w="1984"/>
          </w:tcPr>
          <w:p>
            <w:pPr>
              <w:jc w:val="center"/>
            </w:pPr>
            <w:r>
              <w:rPr>
                <w:rFonts w:ascii="仿宋_GB2312" w:hAnsi="仿宋_GB2312" w:eastAsia="仿宋_GB2312"/>
                <w:b w:val="0"/>
                <w:sz w:val="22"/>
              </w:rPr>
              <w:t>纬度</w:t>
            </w:r>
          </w:p>
        </w:tc>
        <w:tc>
          <w:tcPr>
            <w:tcW w:type="dxa" w:w="2835"/>
          </w:tcPr>
          <w:p>
            <w:pPr>
              <w:jc w:val="center"/>
            </w:pPr>
            <w:r>
              <w:rPr>
                <w:rFonts w:ascii="仿宋_GB2312" w:hAnsi="仿宋_GB2312" w:eastAsia="仿宋_GB2312"/>
                <w:b w:val="0"/>
                <w:sz w:val="22"/>
              </w:rPr>
              <w:t>36.628532</w:t>
            </w:r>
          </w:p>
        </w:tc>
        <w:tc>
          <w:tcPr>
            <w:tcW w:type="dxa" w:w="2835"/>
          </w:tcPr>
          <w:p>
            <w:pPr>
              <w:jc w:val="center"/>
            </w:pPr>
            <w:r>
              <w:rPr>
                <w:rFonts w:ascii="仿宋_GB2312" w:hAnsi="仿宋_GB2312" w:eastAsia="仿宋_GB2312"/>
                <w:b w:val="0"/>
                <w:sz w:val="22"/>
              </w:rPr>
              <w:t>36.636154</w:t>
            </w:r>
          </w:p>
        </w:tc>
        <w:tc>
          <w:tcPr>
            <w:tcW w:type="dxa" w:w="1984"/>
          </w:tcPr>
          <w:p>
            <w:pPr>
              <w:jc w:val="center"/>
            </w:pPr>
            <w:r>
              <w:rPr>
                <w:rFonts w:ascii="仿宋_GB2312" w:hAnsi="仿宋_GB2312" w:eastAsia="仿宋_GB2312"/>
                <w:b w:val="0"/>
                <w:sz w:val="22"/>
              </w:rPr>
              <w:t>坐标已更新</w:t>
            </w:r>
          </w:p>
        </w:tc>
      </w:tr>
      <w:tr>
        <w:tc>
          <w:tcPr>
            <w:tcW w:type="dxa" w:w="1984"/>
          </w:tcPr>
          <w:p>
            <w:pPr>
              <w:jc w:val="center"/>
            </w:pPr>
            <w:r>
              <w:rPr>
                <w:rFonts w:ascii="仿宋_GB2312" w:hAnsi="仿宋_GB2312" w:eastAsia="仿宋_GB2312"/>
                <w:b w:val="0"/>
                <w:sz w:val="22"/>
              </w:rPr>
              <w:t>网络接入方式</w:t>
            </w:r>
          </w:p>
        </w:tc>
        <w:tc>
          <w:tcPr>
            <w:tcW w:type="dxa" w:w="2835"/>
          </w:tcPr>
          <w:p>
            <w:pPr>
              <w:jc w:val="center"/>
            </w:pPr>
            <w:r>
              <w:rPr>
                <w:rFonts w:ascii="仿宋_GB2312" w:hAnsi="仿宋_GB2312" w:eastAsia="仿宋_GB2312"/>
                <w:b w:val="0"/>
                <w:sz w:val="22"/>
              </w:rPr>
              <w:t>原接入方式</w:t>
            </w:r>
          </w:p>
        </w:tc>
        <w:tc>
          <w:tcPr>
            <w:tcW w:type="dxa" w:w="2835"/>
          </w:tcPr>
          <w:p>
            <w:pPr>
              <w:jc w:val="center"/>
            </w:pPr>
            <w:r>
              <w:rPr>
                <w:rFonts w:ascii="仿宋_GB2312" w:hAnsi="仿宋_GB2312" w:eastAsia="仿宋_GB2312"/>
                <w:b w:val="0"/>
                <w:sz w:val="22"/>
              </w:rPr>
              <w:t>无线网桥接入</w:t>
            </w:r>
          </w:p>
        </w:tc>
        <w:tc>
          <w:tcPr>
            <w:tcW w:type="dxa" w:w="1984"/>
          </w:tcPr>
          <w:p>
            <w:pPr>
              <w:jc w:val="center"/>
            </w:pPr>
            <w:r>
              <w:rPr>
                <w:rFonts w:ascii="仿宋_GB2312" w:hAnsi="仿宋_GB2312" w:eastAsia="仿宋_GB2312"/>
                <w:b w:val="0"/>
                <w:sz w:val="22"/>
              </w:rPr>
              <w:t>方式已调整</w:t>
            </w:r>
          </w:p>
        </w:tc>
      </w:tr>
    </w:tbl>
    <w:p>
      <w:pPr>
        <w:spacing w:line="360" w:lineRule="auto"/>
      </w:pPr>
    </w:p>
    <w:p>
      <w:pPr>
        <w:jc w:val="center"/>
      </w:pPr>
      <w:r>
        <w:rPr>
          <w:rFonts w:ascii="仿宋_GB2312" w:hAnsi="仿宋_GB2312" w:eastAsia="仿宋_GB2312"/>
          <w:b w:val="0"/>
          <w:sz w:val="20"/>
        </w:rPr>
        <w:t>第 1 页 共 2 页</w:t>
      </w:r>
    </w:p>
    <w:p>
      <w:r>
        <w:br w:type="page"/>
      </w:r>
    </w:p>
    <w:p>
      <w:pPr>
        <w:spacing w:before="240" w:after="120"/>
      </w:pPr>
      <w:r>
        <w:rPr>
          <w:rFonts w:ascii="黑体" w:hAnsi="黑体" w:eastAsia="黑体"/>
          <w:b/>
          <w:sz w:val="32"/>
        </w:rPr>
        <w:t>四、实施完成情况</w:t>
      </w:r>
    </w:p>
    <w:p>
      <w:pPr>
        <w:spacing w:line="360" w:lineRule="auto"/>
        <w:ind w:firstLine="522"/>
      </w:pPr>
      <w:r>
        <w:rPr>
          <w:rFonts w:ascii="仿宋_GB2312" w:hAnsi="仿宋_GB2312" w:eastAsia="仿宋_GB2312"/>
          <w:b w:val="0"/>
          <w:sz w:val="28"/>
        </w:rPr>
        <w:t>根据《项目点位变更确认书》确定的变更方案，承建单位已按以下要求完成全部实施工作：</w:t>
      </w:r>
    </w:p>
    <w:p>
      <w:pPr>
        <w:spacing w:line="360" w:lineRule="auto"/>
        <w:ind w:firstLine="522"/>
      </w:pPr>
      <w:r>
        <w:rPr>
          <w:rFonts w:ascii="仿宋_GB2312" w:hAnsi="仿宋_GB2312" w:eastAsia="仿宋_GB2312"/>
          <w:b w:val="0"/>
          <w:sz w:val="28"/>
        </w:rPr>
        <w:t>（一）点位迁移：已将原力盟商业巷优布劳点位设备拆除并迁移至新宁广场省博物馆旁，新点位经纬度坐标为（101.761434, 36.636154），与变更确认书一致。</w:t>
      </w:r>
    </w:p>
    <w:p>
      <w:pPr>
        <w:spacing w:line="360" w:lineRule="auto"/>
        <w:ind w:firstLine="522"/>
      </w:pPr>
      <w:r>
        <w:rPr>
          <w:rFonts w:ascii="仿宋_GB2312" w:hAnsi="仿宋_GB2312" w:eastAsia="仿宋_GB2312"/>
          <w:b w:val="0"/>
          <w:sz w:val="28"/>
        </w:rPr>
        <w:t>（二）设备安装：监测设备已在新点位完成安装固定，设备运行状态正常，各项技术指标符合合同约定标准。</w:t>
      </w:r>
    </w:p>
    <w:p>
      <w:pPr>
        <w:spacing w:line="360" w:lineRule="auto"/>
        <w:ind w:firstLine="522"/>
      </w:pPr>
      <w:r>
        <w:rPr>
          <w:rFonts w:ascii="仿宋_GB2312" w:hAnsi="仿宋_GB2312" w:eastAsia="仿宋_GB2312"/>
          <w:b w:val="0"/>
          <w:sz w:val="28"/>
        </w:rPr>
        <w:t>（三）网络接入：新点位已采用无线网桥方式完成网络接入，网络连接稳定，数据传输正常，满足项目数据上传及远程监管要求。</w:t>
      </w:r>
    </w:p>
    <w:p>
      <w:pPr>
        <w:spacing w:line="360" w:lineRule="auto"/>
        <w:ind w:firstLine="522"/>
      </w:pPr>
      <w:r>
        <w:rPr>
          <w:rFonts w:ascii="仿宋_GB2312" w:hAnsi="仿宋_GB2312" w:eastAsia="仿宋_GB2312"/>
          <w:b w:val="0"/>
          <w:sz w:val="28"/>
        </w:rPr>
        <w:t>（四）系统调试：已完成设备联调及系统对接测试，数据采集、传输、展示各环节均运行正常，系统整体功能符合项目设计要求。</w:t>
      </w:r>
    </w:p>
    <w:p>
      <w:pPr>
        <w:spacing w:line="360" w:lineRule="auto"/>
        <w:ind w:firstLine="522"/>
      </w:pPr>
      <w:r>
        <w:rPr>
          <w:rFonts w:ascii="仿宋_GB2312" w:hAnsi="仿宋_GB2312" w:eastAsia="仿宋_GB2312"/>
          <w:b w:val="0"/>
          <w:sz w:val="28"/>
        </w:rPr>
        <w:t>（五）现场清理：原点位设备拆除后已完成现场清理恢复，新点位安装施工后已清理现场，无遗留问题。</w:t>
      </w:r>
    </w:p>
    <w:p>
      <w:pPr>
        <w:spacing w:line="360" w:lineRule="auto"/>
      </w:pPr>
    </w:p>
    <w:p>
      <w:pPr>
        <w:spacing w:before="240" w:after="120"/>
      </w:pPr>
      <w:r>
        <w:rPr>
          <w:rFonts w:ascii="黑体" w:hAnsi="黑体" w:eastAsia="黑体"/>
          <w:b/>
          <w:sz w:val="32"/>
        </w:rPr>
        <w:t>五、变更结论</w:t>
      </w:r>
    </w:p>
    <w:p>
      <w:pPr>
        <w:spacing w:line="360" w:lineRule="auto"/>
        <w:ind w:firstLine="522"/>
      </w:pPr>
      <w:r>
        <w:rPr>
          <w:rFonts w:ascii="仿宋_GB2312" w:hAnsi="仿宋_GB2312" w:eastAsia="仿宋_GB2312"/>
          <w:b w:val="0"/>
          <w:sz w:val="28"/>
        </w:rPr>
        <w:t>本次点位变更实施工作已全部完成，变更后点位方案与《项目点位变更确认书》完全一致。承建单位已按变更后点位完成施工、调试及无线网桥网络接入，具备验收条件。</w:t>
      </w:r>
    </w:p>
    <w:p>
      <w:pPr>
        <w:spacing w:line="360" w:lineRule="auto"/>
        <w:ind w:firstLine="522"/>
      </w:pPr>
      <w:r>
        <w:rPr>
          <w:rFonts w:ascii="仿宋_GB2312" w:hAnsi="仿宋_GB2312" w:eastAsia="仿宋_GB2312"/>
          <w:b w:val="0"/>
          <w:sz w:val="28"/>
        </w:rPr>
        <w:t>现提请建设单位按照变更后的点位方案组织项目验收，确保项目如期交付。</w:t>
      </w:r>
    </w:p>
    <w:p>
      <w:pPr>
        <w:spacing w:line="360" w:lineRule="auto"/>
      </w:pPr>
    </w:p>
    <w:p>
      <w:pPr>
        <w:spacing w:line="360" w:lineRule="auto"/>
      </w:pPr>
    </w:p>
    <w:p>
      <w:pPr>
        <w:spacing w:before="240" w:after="120"/>
      </w:pPr>
      <w:r>
        <w:rPr>
          <w:rFonts w:ascii="黑体" w:hAnsi="黑体" w:eastAsia="黑体"/>
          <w:b/>
          <w:sz w:val="32"/>
        </w:rPr>
        <w:t>六、签章确认</w:t>
      </w:r>
    </w:p>
    <w:p>
      <w:pPr>
        <w:spacing w:line="360" w:lineRule="auto"/>
        <w:ind w:firstLine="522"/>
      </w:pPr>
      <w:r>
        <w:rPr>
          <w:rFonts w:ascii="仿宋_GB2312" w:hAnsi="仿宋_GB2312" w:eastAsia="仿宋_GB2312"/>
          <w:b w:val="0"/>
          <w:sz w:val="28"/>
        </w:rPr>
        <w:t>本说明书一式贰份，建设单位、承建单位各执一份，经双方签章后生效。</w:t>
      </w:r>
    </w:p>
    <w:p>
      <w:pPr>
        <w:spacing w:line="360" w:lineRule="auto"/>
      </w:pPr>
    </w:p>
    <w:p>
      <w:pPr>
        <w:spacing w:line="360" w:lineRule="auto"/>
      </w:pPr>
    </w:p>
    <w:tbl>
      <w:tblPr>
        <w:tblW w:type="auto" w:w="0"/>
        <w:jc w:val="center"/>
        <w:tblLook w:firstColumn="1" w:firstRow="1" w:lastColumn="0" w:lastRow="0" w:noHBand="0" w:noVBand="1" w:val="04A0"/>
      </w:tblPr>
      <w:tblGrid>
        <w:gridCol w:w="4533"/>
        <w:gridCol w:w="4533"/>
      </w:tblGrid>
      <w:tr>
        <w:tc>
          <w:tcPr>
            <w:tcW w:type="dxa" w:w="4819"/>
          </w:tcPr>
          <w:p>
            <w:pPr>
              <w:jc w:val="left"/>
            </w:pPr>
            <w:r>
              <w:rPr>
                <w:rFonts w:ascii="仿宋_GB2312" w:hAnsi="仿宋_GB2312" w:eastAsia="仿宋_GB2312"/>
                <w:b w:val="0"/>
                <w:sz w:val="28"/>
              </w:rPr>
              <w:t>建设单位（盖章）：</w:t>
              <w:br/>
              <w:br/>
              <w:br/>
              <w:br/>
              <w:br/>
              <w:t>代表人（签字）：</w:t>
              <w:br/>
              <w:br/>
              <w:br/>
              <w:t>日　　期：　　年　　月　　日</w:t>
            </w:r>
          </w:p>
        </w:tc>
        <w:tc>
          <w:tcPr>
            <w:tcW w:type="dxa" w:w="4819"/>
          </w:tcPr>
          <w:p>
            <w:pPr>
              <w:jc w:val="left"/>
            </w:pPr>
            <w:r>
              <w:rPr>
                <w:rFonts w:ascii="仿宋_GB2312" w:hAnsi="仿宋_GB2312" w:eastAsia="仿宋_GB2312"/>
                <w:b w:val="0"/>
                <w:sz w:val="28"/>
              </w:rPr>
              <w:t>承建单位（盖章）：</w:t>
              <w:br/>
              <w:br/>
              <w:br/>
              <w:br/>
              <w:br/>
              <w:t>代表人（签字）：</w:t>
              <w:br/>
              <w:br/>
              <w:br/>
              <w:t>日　　期：　　年　　月　　日</w:t>
            </w:r>
          </w:p>
        </w:tc>
      </w:tr>
    </w:tbl>
    <w:p>
      <w:pPr>
        <w:spacing w:line="360" w:lineRule="auto"/>
      </w:pPr>
    </w:p>
    <w:p>
      <w:pPr>
        <w:spacing w:line="360" w:lineRule="auto"/>
      </w:pPr>
    </w:p>
    <w:p>
      <w:pPr>
        <w:spacing w:line="360" w:lineRule="auto"/>
      </w:pPr>
    </w:p>
    <w:p>
      <w:pPr>
        <w:jc w:val="center"/>
      </w:pPr>
      <w:r>
        <w:rPr>
          <w:rFonts w:ascii="仿宋_GB2312" w:hAnsi="仿宋_GB2312" w:eastAsia="仿宋_GB2312"/>
          <w:b w:val="0"/>
          <w:sz w:val="20"/>
        </w:rPr>
        <w:t>第 2 页 共 2 页</w:t>
      </w:r>
    </w:p>
    <w:sectPr w:rsidR="00FC693F" w:rsidRPr="0006063C" w:rsidSect="00034616">
      <w:pgSz w:w="12240" w:h="15840"/>
      <w:pgMar w:top="1417" w:right="1587" w:bottom="1417" w:left="15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60" w:lineRule="auto"/>
    </w:pPr>
    <w:rPr>
      <w:rFonts w:ascii="仿宋_GB2312" w:hAnsi="仿宋_GB2312" w:eastAsia="仿宋_GB2312"/>
      <w:sz w:val="2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