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方正小标宋简体" w:hAnsi="方正小标宋简体" w:eastAsia="宋体"/>
          <w:b/>
          <w:sz w:val="44"/>
        </w:rPr>
        <w:t>中国国际贸易促进委员会成都市委员会门户网站</w:t>
      </w:r>
    </w:p>
    <w:p>
      <w:pPr>
        <w:jc w:val="center"/>
      </w:pPr>
      <w:r>
        <w:rPr>
          <w:rFonts w:ascii="方正小标宋简体" w:hAnsi="方正小标宋简体" w:eastAsia="宋体"/>
          <w:b/>
          <w:sz w:val="52"/>
        </w:rPr>
        <w:t>密码应用方案</w:t>
      </w:r>
    </w:p>
    <w:p/>
    <w:p/>
    <w:p/>
    <w:p/>
    <w:p/>
    <w:p/>
    <w:p/>
    <w:p/>
    <w:p>
      <w:pPr>
        <w:jc w:val="center"/>
      </w:pPr>
      <w:r>
        <w:rPr>
          <w:rFonts w:ascii="宋体" w:hAnsi="宋体" w:eastAsia="宋体"/>
          <w:b/>
          <w:sz w:val="28"/>
        </w:rPr>
        <w:t>项目名称：</w:t>
      </w:r>
      <w:r>
        <w:rPr>
          <w:rFonts w:ascii="宋体" w:hAnsi="宋体" w:eastAsia="宋体"/>
          <w:sz w:val="28"/>
        </w:rPr>
        <w:t>中国国际贸易促进委员会成都市委员会门户网站国产化升级改造项目</w:t>
      </w:r>
    </w:p>
    <w:p>
      <w:pPr>
        <w:jc w:val="center"/>
      </w:pPr>
      <w:r>
        <w:rPr>
          <w:rFonts w:ascii="宋体" w:hAnsi="宋体" w:eastAsia="宋体"/>
          <w:b/>
          <w:sz w:val="28"/>
        </w:rPr>
        <w:t>建设单位：</w:t>
      </w:r>
      <w:r>
        <w:rPr>
          <w:rFonts w:ascii="宋体" w:hAnsi="宋体" w:eastAsia="宋体"/>
          <w:sz w:val="28"/>
        </w:rPr>
        <w:t>中国国际贸易促进委员会成都市委员会</w:t>
      </w:r>
    </w:p>
    <w:p>
      <w:pPr>
        <w:jc w:val="center"/>
      </w:pPr>
      <w:r>
        <w:rPr>
          <w:rFonts w:ascii="宋体" w:hAnsi="宋体" w:eastAsia="宋体"/>
          <w:b/>
          <w:sz w:val="28"/>
        </w:rPr>
        <w:t>编制日期：</w:t>
      </w:r>
      <w:r>
        <w:rPr>
          <w:rFonts w:ascii="宋体" w:hAnsi="宋体" w:eastAsia="宋体"/>
          <w:sz w:val="28"/>
        </w:rPr>
        <w:t>2026年6月</w:t>
      </w:r>
    </w:p>
    <w:p>
      <w:r>
        <w:br w:type="page"/>
      </w:r>
    </w:p>
    <w:p>
      <w:pPr>
        <w:pStyle w:val="Heading1"/>
      </w:pPr>
      <w:r>
        <w:rPr>
          <w:rFonts w:ascii="黑体" w:hAnsi="黑体" w:eastAsia="黑体"/>
        </w:rPr>
        <w:t>目  录</w:t>
      </w:r>
    </w:p>
    <w:p>
      <w:pPr>
        <w:spacing w:line="360" w:lineRule="auto"/>
      </w:pPr>
      <w:r>
        <w:rPr>
          <w:rFonts w:ascii="宋体" w:hAnsi="宋体" w:eastAsia="宋体"/>
          <w:sz w:val="24"/>
        </w:rPr>
        <w:t>1  背景</w:t>
      </w:r>
    </w:p>
    <w:p>
      <w:pPr>
        <w:spacing w:line="360" w:lineRule="auto"/>
      </w:pPr>
      <w:r>
        <w:rPr>
          <w:rFonts w:ascii="宋体" w:hAnsi="宋体" w:eastAsia="宋体"/>
          <w:sz w:val="24"/>
        </w:rPr>
        <w:t xml:space="preserve">  1.1  系统的建设规划</w:t>
      </w:r>
    </w:p>
    <w:p>
      <w:pPr>
        <w:spacing w:line="360" w:lineRule="auto"/>
      </w:pPr>
      <w:r>
        <w:rPr>
          <w:rFonts w:ascii="宋体" w:hAnsi="宋体" w:eastAsia="宋体"/>
          <w:sz w:val="24"/>
        </w:rPr>
        <w:t xml:space="preserve">  1.2  国家及行业有关法律法规要求</w:t>
      </w:r>
    </w:p>
    <w:p>
      <w:pPr>
        <w:spacing w:line="360" w:lineRule="auto"/>
      </w:pPr>
      <w:r>
        <w:rPr>
          <w:rFonts w:ascii="宋体" w:hAnsi="宋体" w:eastAsia="宋体"/>
          <w:sz w:val="24"/>
        </w:rPr>
        <w:t xml:space="preserve">    1.2.1  《中华人民共和国密码法》</w:t>
      </w:r>
    </w:p>
    <w:p>
      <w:pPr>
        <w:spacing w:line="360" w:lineRule="auto"/>
      </w:pPr>
      <w:r>
        <w:rPr>
          <w:rFonts w:ascii="宋体" w:hAnsi="宋体" w:eastAsia="宋体"/>
          <w:sz w:val="24"/>
        </w:rPr>
        <w:t xml:space="preserve">    1.2.2  《网络安全等级保护条例》</w:t>
      </w:r>
    </w:p>
    <w:p>
      <w:pPr>
        <w:spacing w:line="360" w:lineRule="auto"/>
      </w:pPr>
      <w:r>
        <w:rPr>
          <w:rFonts w:ascii="宋体" w:hAnsi="宋体" w:eastAsia="宋体"/>
          <w:sz w:val="24"/>
        </w:rPr>
        <w:t xml:space="preserve">    1.2.3  《商用密码应用安全性评估管理办法》</w:t>
      </w:r>
    </w:p>
    <w:p>
      <w:pPr>
        <w:spacing w:line="360" w:lineRule="auto"/>
      </w:pPr>
      <w:r>
        <w:rPr>
          <w:rFonts w:ascii="宋体" w:hAnsi="宋体" w:eastAsia="宋体"/>
          <w:sz w:val="24"/>
        </w:rPr>
        <w:t xml:space="preserve">    1.2.4  《商用密码管理条例》</w:t>
      </w:r>
    </w:p>
    <w:p>
      <w:pPr>
        <w:spacing w:line="360" w:lineRule="auto"/>
      </w:pPr>
      <w:r>
        <w:rPr>
          <w:rFonts w:ascii="宋体" w:hAnsi="宋体" w:eastAsia="宋体"/>
          <w:sz w:val="24"/>
        </w:rPr>
        <w:t xml:space="preserve">  1.3  与规划有关的前期情况描述</w:t>
      </w:r>
    </w:p>
    <w:p>
      <w:pPr>
        <w:spacing w:line="360" w:lineRule="auto"/>
      </w:pPr>
      <w:r>
        <w:rPr>
          <w:rFonts w:ascii="宋体" w:hAnsi="宋体" w:eastAsia="宋体"/>
          <w:sz w:val="24"/>
        </w:rPr>
        <w:t xml:space="preserve">  1.4  项目实施的必要性</w:t>
      </w:r>
    </w:p>
    <w:p>
      <w:pPr>
        <w:spacing w:line="360" w:lineRule="auto"/>
      </w:pPr>
      <w:r>
        <w:rPr>
          <w:rFonts w:ascii="宋体" w:hAnsi="宋体" w:eastAsia="宋体"/>
          <w:sz w:val="24"/>
        </w:rPr>
        <w:t>2  系统概述</w:t>
      </w:r>
    </w:p>
    <w:p>
      <w:pPr>
        <w:spacing w:line="360" w:lineRule="auto"/>
      </w:pPr>
      <w:r>
        <w:rPr>
          <w:rFonts w:ascii="宋体" w:hAnsi="宋体" w:eastAsia="宋体"/>
          <w:sz w:val="24"/>
        </w:rPr>
        <w:t xml:space="preserve">  2.1  基本情况</w:t>
      </w:r>
    </w:p>
    <w:p>
      <w:pPr>
        <w:spacing w:line="360" w:lineRule="auto"/>
      </w:pPr>
      <w:r>
        <w:rPr>
          <w:rFonts w:ascii="宋体" w:hAnsi="宋体" w:eastAsia="宋体"/>
          <w:sz w:val="24"/>
        </w:rPr>
        <w:t xml:space="preserve">    2.1.1  系统简介</w:t>
      </w:r>
    </w:p>
    <w:p>
      <w:pPr>
        <w:spacing w:line="360" w:lineRule="auto"/>
      </w:pPr>
      <w:r>
        <w:rPr>
          <w:rFonts w:ascii="宋体" w:hAnsi="宋体" w:eastAsia="宋体"/>
          <w:sz w:val="24"/>
        </w:rPr>
        <w:t xml:space="preserve">    2.1.2  系统责任主体单位</w:t>
      </w:r>
    </w:p>
    <w:p>
      <w:pPr>
        <w:spacing w:line="360" w:lineRule="auto"/>
      </w:pPr>
      <w:r>
        <w:rPr>
          <w:rFonts w:ascii="宋体" w:hAnsi="宋体" w:eastAsia="宋体"/>
          <w:sz w:val="24"/>
        </w:rPr>
        <w:t xml:space="preserve">    2.1.3  系统上线运行时间</w:t>
      </w:r>
    </w:p>
    <w:p>
      <w:pPr>
        <w:spacing w:line="360" w:lineRule="auto"/>
      </w:pPr>
      <w:r>
        <w:rPr>
          <w:rFonts w:ascii="宋体" w:hAnsi="宋体" w:eastAsia="宋体"/>
          <w:sz w:val="24"/>
        </w:rPr>
        <w:t xml:space="preserve">    2.1.4  系统用户情况</w:t>
      </w:r>
    </w:p>
    <w:p>
      <w:pPr>
        <w:spacing w:line="360" w:lineRule="auto"/>
      </w:pPr>
      <w:r>
        <w:rPr>
          <w:rFonts w:ascii="宋体" w:hAnsi="宋体" w:eastAsia="宋体"/>
          <w:sz w:val="24"/>
        </w:rPr>
        <w:t xml:space="preserve">    2.1.5  关键基础设施说明</w:t>
      </w:r>
    </w:p>
    <w:p>
      <w:pPr>
        <w:spacing w:line="360" w:lineRule="auto"/>
      </w:pPr>
      <w:r>
        <w:rPr>
          <w:rFonts w:ascii="宋体" w:hAnsi="宋体" w:eastAsia="宋体"/>
          <w:sz w:val="24"/>
        </w:rPr>
        <w:t xml:space="preserve">    2.1.6  网络安全等级保护情况</w:t>
      </w:r>
    </w:p>
    <w:p>
      <w:pPr>
        <w:spacing w:line="360" w:lineRule="auto"/>
      </w:pPr>
      <w:r>
        <w:rPr>
          <w:rFonts w:ascii="宋体" w:hAnsi="宋体" w:eastAsia="宋体"/>
          <w:sz w:val="24"/>
        </w:rPr>
        <w:t xml:space="preserve">    2.1.7  密码应用安全性评估情况</w:t>
      </w:r>
    </w:p>
    <w:p>
      <w:pPr>
        <w:spacing w:line="360" w:lineRule="auto"/>
      </w:pPr>
      <w:r>
        <w:rPr>
          <w:rFonts w:ascii="宋体" w:hAnsi="宋体" w:eastAsia="宋体"/>
          <w:sz w:val="24"/>
        </w:rPr>
        <w:t xml:space="preserve">    2.1.8  部署情况</w:t>
      </w:r>
    </w:p>
    <w:p>
      <w:pPr>
        <w:spacing w:line="360" w:lineRule="auto"/>
      </w:pPr>
      <w:r>
        <w:rPr>
          <w:rFonts w:ascii="宋体" w:hAnsi="宋体" w:eastAsia="宋体"/>
          <w:sz w:val="24"/>
        </w:rPr>
        <w:t xml:space="preserve">  2.2  计算平台现状</w:t>
      </w:r>
    </w:p>
    <w:p>
      <w:pPr>
        <w:spacing w:line="360" w:lineRule="auto"/>
      </w:pPr>
      <w:r>
        <w:rPr>
          <w:rFonts w:ascii="宋体" w:hAnsi="宋体" w:eastAsia="宋体"/>
          <w:sz w:val="24"/>
        </w:rPr>
        <w:t xml:space="preserve">    2.2.1  物理和环境</w:t>
      </w:r>
    </w:p>
    <w:p>
      <w:pPr>
        <w:spacing w:line="360" w:lineRule="auto"/>
      </w:pPr>
      <w:r>
        <w:rPr>
          <w:rFonts w:ascii="宋体" w:hAnsi="宋体" w:eastAsia="宋体"/>
          <w:sz w:val="24"/>
        </w:rPr>
        <w:t xml:space="preserve">    2.2.2  网络环境</w:t>
      </w:r>
    </w:p>
    <w:p>
      <w:pPr>
        <w:spacing w:line="360" w:lineRule="auto"/>
      </w:pPr>
      <w:r>
        <w:rPr>
          <w:rFonts w:ascii="宋体" w:hAnsi="宋体" w:eastAsia="宋体"/>
          <w:sz w:val="24"/>
        </w:rPr>
        <w:t xml:space="preserve">    2.2.3  计算环境</w:t>
      </w:r>
    </w:p>
    <w:p>
      <w:pPr>
        <w:spacing w:line="360" w:lineRule="auto"/>
      </w:pPr>
      <w:r>
        <w:rPr>
          <w:rFonts w:ascii="宋体" w:hAnsi="宋体" w:eastAsia="宋体"/>
          <w:sz w:val="24"/>
        </w:rPr>
        <w:t xml:space="preserve">  2.3  业务应用现状</w:t>
      </w:r>
    </w:p>
    <w:p>
      <w:pPr>
        <w:spacing w:line="360" w:lineRule="auto"/>
      </w:pPr>
      <w:r>
        <w:rPr>
          <w:rFonts w:ascii="宋体" w:hAnsi="宋体" w:eastAsia="宋体"/>
          <w:sz w:val="24"/>
        </w:rPr>
        <w:t xml:space="preserve">    2.3.1  业务应用基本情况</w:t>
      </w:r>
    </w:p>
    <w:p>
      <w:pPr>
        <w:spacing w:line="360" w:lineRule="auto"/>
      </w:pPr>
      <w:r>
        <w:rPr>
          <w:rFonts w:ascii="宋体" w:hAnsi="宋体" w:eastAsia="宋体"/>
          <w:sz w:val="24"/>
        </w:rPr>
        <w:t xml:space="preserve">    2.3.2  承载业务情况</w:t>
      </w:r>
    </w:p>
    <w:p>
      <w:pPr>
        <w:spacing w:line="360" w:lineRule="auto"/>
      </w:pPr>
      <w:r>
        <w:rPr>
          <w:rFonts w:ascii="宋体" w:hAnsi="宋体" w:eastAsia="宋体"/>
          <w:sz w:val="24"/>
        </w:rPr>
        <w:t xml:space="preserve">  2.4  密码应用现状</w:t>
      </w:r>
    </w:p>
    <w:p>
      <w:pPr>
        <w:spacing w:line="360" w:lineRule="auto"/>
      </w:pPr>
      <w:r>
        <w:rPr>
          <w:rFonts w:ascii="宋体" w:hAnsi="宋体" w:eastAsia="宋体"/>
          <w:sz w:val="24"/>
        </w:rPr>
        <w:t xml:space="preserve">  2.5  密码应用管理现状</w:t>
      </w:r>
    </w:p>
    <w:p>
      <w:pPr>
        <w:spacing w:line="360" w:lineRule="auto"/>
      </w:pPr>
      <w:r>
        <w:rPr>
          <w:rFonts w:ascii="宋体" w:hAnsi="宋体" w:eastAsia="宋体"/>
          <w:sz w:val="24"/>
        </w:rPr>
        <w:t>3  密码应用需求分析</w:t>
      </w:r>
    </w:p>
    <w:p>
      <w:pPr>
        <w:spacing w:line="360" w:lineRule="auto"/>
      </w:pPr>
      <w:r>
        <w:rPr>
          <w:rFonts w:ascii="宋体" w:hAnsi="宋体" w:eastAsia="宋体"/>
          <w:sz w:val="24"/>
        </w:rPr>
        <w:t xml:space="preserve">  3.1  计算平台安全需求分析</w:t>
      </w:r>
    </w:p>
    <w:p>
      <w:pPr>
        <w:spacing w:line="360" w:lineRule="auto"/>
      </w:pPr>
      <w:r>
        <w:rPr>
          <w:rFonts w:ascii="宋体" w:hAnsi="宋体" w:eastAsia="宋体"/>
          <w:sz w:val="24"/>
        </w:rPr>
        <w:t xml:space="preserve">    3.1.1  物理和环境安全</w:t>
      </w:r>
    </w:p>
    <w:p>
      <w:pPr>
        <w:spacing w:line="360" w:lineRule="auto"/>
      </w:pPr>
      <w:r>
        <w:rPr>
          <w:rFonts w:ascii="宋体" w:hAnsi="宋体" w:eastAsia="宋体"/>
          <w:sz w:val="24"/>
        </w:rPr>
        <w:t xml:space="preserve">    3.1.2  网络和通信安全</w:t>
      </w:r>
    </w:p>
    <w:p>
      <w:pPr>
        <w:spacing w:line="360" w:lineRule="auto"/>
      </w:pPr>
      <w:r>
        <w:rPr>
          <w:rFonts w:ascii="宋体" w:hAnsi="宋体" w:eastAsia="宋体"/>
          <w:sz w:val="24"/>
        </w:rPr>
        <w:t xml:space="preserve">    3.1.3  设备和计算安全</w:t>
      </w:r>
    </w:p>
    <w:p>
      <w:pPr>
        <w:spacing w:line="360" w:lineRule="auto"/>
      </w:pPr>
      <w:r>
        <w:rPr>
          <w:rFonts w:ascii="宋体" w:hAnsi="宋体" w:eastAsia="宋体"/>
          <w:sz w:val="24"/>
        </w:rPr>
        <w:t xml:space="preserve">  3.2  业务应用安全分析</w:t>
      </w:r>
    </w:p>
    <w:p>
      <w:pPr>
        <w:spacing w:line="360" w:lineRule="auto"/>
      </w:pPr>
      <w:r>
        <w:rPr>
          <w:rFonts w:ascii="宋体" w:hAnsi="宋体" w:eastAsia="宋体"/>
          <w:sz w:val="24"/>
        </w:rPr>
        <w:t xml:space="preserve">  3.3  管理要求安全分析</w:t>
      </w:r>
    </w:p>
    <w:p>
      <w:pPr>
        <w:spacing w:line="360" w:lineRule="auto"/>
      </w:pPr>
      <w:r>
        <w:rPr>
          <w:rFonts w:ascii="宋体" w:hAnsi="宋体" w:eastAsia="宋体"/>
          <w:sz w:val="24"/>
        </w:rPr>
        <w:t>4  安全目标及设计原则</w:t>
      </w:r>
    </w:p>
    <w:p>
      <w:pPr>
        <w:spacing w:line="360" w:lineRule="auto"/>
      </w:pPr>
      <w:r>
        <w:rPr>
          <w:rFonts w:ascii="宋体" w:hAnsi="宋体" w:eastAsia="宋体"/>
          <w:sz w:val="24"/>
        </w:rPr>
        <w:t xml:space="preserve">  4.1  安全目标</w:t>
      </w:r>
    </w:p>
    <w:p>
      <w:pPr>
        <w:spacing w:line="360" w:lineRule="auto"/>
      </w:pPr>
      <w:r>
        <w:rPr>
          <w:rFonts w:ascii="宋体" w:hAnsi="宋体" w:eastAsia="宋体"/>
          <w:sz w:val="24"/>
        </w:rPr>
        <w:t xml:space="preserve">  4.2  设计原则与依据</w:t>
      </w:r>
    </w:p>
    <w:p>
      <w:pPr>
        <w:spacing w:line="360" w:lineRule="auto"/>
      </w:pPr>
      <w:r>
        <w:rPr>
          <w:rFonts w:ascii="宋体" w:hAnsi="宋体" w:eastAsia="宋体"/>
          <w:sz w:val="24"/>
        </w:rPr>
        <w:t xml:space="preserve">    4.2.1  密码应用设计原则</w:t>
      </w:r>
    </w:p>
    <w:p>
      <w:pPr>
        <w:spacing w:line="360" w:lineRule="auto"/>
      </w:pPr>
      <w:r>
        <w:rPr>
          <w:rFonts w:ascii="宋体" w:hAnsi="宋体" w:eastAsia="宋体"/>
          <w:sz w:val="24"/>
        </w:rPr>
        <w:t xml:space="preserve">    4.2.2  密码应用设计依据</w:t>
      </w:r>
    </w:p>
    <w:p>
      <w:pPr>
        <w:spacing w:line="360" w:lineRule="auto"/>
      </w:pPr>
      <w:r>
        <w:rPr>
          <w:rFonts w:ascii="宋体" w:hAnsi="宋体" w:eastAsia="宋体"/>
          <w:sz w:val="24"/>
        </w:rPr>
        <w:t>5  密码应用设计</w:t>
      </w:r>
    </w:p>
    <w:p>
      <w:pPr>
        <w:spacing w:line="360" w:lineRule="auto"/>
      </w:pPr>
      <w:r>
        <w:rPr>
          <w:rFonts w:ascii="宋体" w:hAnsi="宋体" w:eastAsia="宋体"/>
          <w:sz w:val="24"/>
        </w:rPr>
        <w:t xml:space="preserve">  5.1  密码应用技术框架</w:t>
      </w:r>
    </w:p>
    <w:p>
      <w:pPr>
        <w:spacing w:line="360" w:lineRule="auto"/>
      </w:pPr>
      <w:r>
        <w:rPr>
          <w:rFonts w:ascii="宋体" w:hAnsi="宋体" w:eastAsia="宋体"/>
          <w:sz w:val="24"/>
        </w:rPr>
        <w:t xml:space="preserve">  5.2  计算平台密码应用方案</w:t>
      </w:r>
    </w:p>
    <w:p>
      <w:pPr>
        <w:spacing w:line="360" w:lineRule="auto"/>
      </w:pPr>
      <w:r>
        <w:rPr>
          <w:rFonts w:ascii="宋体" w:hAnsi="宋体" w:eastAsia="宋体"/>
          <w:sz w:val="24"/>
        </w:rPr>
        <w:t xml:space="preserve">    5.2.1  密码应用设计</w:t>
      </w:r>
    </w:p>
    <w:p>
      <w:pPr>
        <w:spacing w:line="360" w:lineRule="auto"/>
      </w:pPr>
      <w:r>
        <w:rPr>
          <w:rFonts w:ascii="宋体" w:hAnsi="宋体" w:eastAsia="宋体"/>
          <w:sz w:val="24"/>
        </w:rPr>
        <w:t xml:space="preserve">    5.2.2  采用的密码产品/服务及其遵循的标准</w:t>
      </w:r>
    </w:p>
    <w:p>
      <w:pPr>
        <w:spacing w:line="360" w:lineRule="auto"/>
      </w:pPr>
      <w:r>
        <w:rPr>
          <w:rFonts w:ascii="宋体" w:hAnsi="宋体" w:eastAsia="宋体"/>
          <w:sz w:val="24"/>
        </w:rPr>
        <w:t xml:space="preserve">    5.2.3  密码设备的部署、使用和管理</w:t>
      </w:r>
    </w:p>
    <w:p>
      <w:pPr>
        <w:spacing w:line="360" w:lineRule="auto"/>
      </w:pPr>
      <w:r>
        <w:rPr>
          <w:rFonts w:ascii="宋体" w:hAnsi="宋体" w:eastAsia="宋体"/>
          <w:sz w:val="24"/>
        </w:rPr>
        <w:t xml:space="preserve">  5.3  密码支撑平台</w:t>
      </w:r>
    </w:p>
    <w:p>
      <w:pPr>
        <w:spacing w:line="360" w:lineRule="auto"/>
      </w:pPr>
      <w:r>
        <w:rPr>
          <w:rFonts w:ascii="宋体" w:hAnsi="宋体" w:eastAsia="宋体"/>
          <w:sz w:val="24"/>
        </w:rPr>
        <w:t xml:space="preserve">  5.4  业务应用密码应用方案</w:t>
      </w:r>
    </w:p>
    <w:p>
      <w:pPr>
        <w:spacing w:line="360" w:lineRule="auto"/>
      </w:pPr>
      <w:r>
        <w:rPr>
          <w:rFonts w:ascii="宋体" w:hAnsi="宋体" w:eastAsia="宋体"/>
          <w:sz w:val="24"/>
        </w:rPr>
        <w:t xml:space="preserve">  5.5  密码应用部署</w:t>
      </w:r>
    </w:p>
    <w:p>
      <w:pPr>
        <w:spacing w:line="360" w:lineRule="auto"/>
      </w:pPr>
      <w:r>
        <w:rPr>
          <w:rFonts w:ascii="宋体" w:hAnsi="宋体" w:eastAsia="宋体"/>
          <w:sz w:val="24"/>
        </w:rPr>
        <w:t>6  安全管理方案</w:t>
      </w:r>
    </w:p>
    <w:p>
      <w:pPr>
        <w:spacing w:line="360" w:lineRule="auto"/>
      </w:pPr>
      <w:r>
        <w:rPr>
          <w:rFonts w:ascii="宋体" w:hAnsi="宋体" w:eastAsia="宋体"/>
          <w:sz w:val="24"/>
        </w:rPr>
        <w:t xml:space="preserve">  6.1  管理制度</w:t>
      </w:r>
    </w:p>
    <w:p>
      <w:pPr>
        <w:spacing w:line="360" w:lineRule="auto"/>
      </w:pPr>
      <w:r>
        <w:rPr>
          <w:rFonts w:ascii="宋体" w:hAnsi="宋体" w:eastAsia="宋体"/>
          <w:sz w:val="24"/>
        </w:rPr>
        <w:t xml:space="preserve">  6.2  人员管理</w:t>
      </w:r>
    </w:p>
    <w:p>
      <w:pPr>
        <w:spacing w:line="360" w:lineRule="auto"/>
      </w:pPr>
      <w:r>
        <w:rPr>
          <w:rFonts w:ascii="宋体" w:hAnsi="宋体" w:eastAsia="宋体"/>
          <w:sz w:val="24"/>
        </w:rPr>
        <w:t xml:space="preserve">  6.3  建设运行</w:t>
      </w:r>
    </w:p>
    <w:p>
      <w:pPr>
        <w:spacing w:line="360" w:lineRule="auto"/>
      </w:pPr>
      <w:r>
        <w:rPr>
          <w:rFonts w:ascii="宋体" w:hAnsi="宋体" w:eastAsia="宋体"/>
          <w:sz w:val="24"/>
        </w:rPr>
        <w:t xml:space="preserve">  6.4  应急处置</w:t>
      </w:r>
    </w:p>
    <w:p>
      <w:pPr>
        <w:spacing w:line="360" w:lineRule="auto"/>
      </w:pPr>
      <w:r>
        <w:rPr>
          <w:rFonts w:ascii="宋体" w:hAnsi="宋体" w:eastAsia="宋体"/>
          <w:sz w:val="24"/>
        </w:rPr>
        <w:t>7  实施计划</w:t>
      </w:r>
    </w:p>
    <w:p>
      <w:pPr>
        <w:spacing w:line="360" w:lineRule="auto"/>
      </w:pPr>
      <w:r>
        <w:rPr>
          <w:rFonts w:ascii="宋体" w:hAnsi="宋体" w:eastAsia="宋体"/>
          <w:sz w:val="24"/>
        </w:rPr>
        <w:t>8  保障措施</w:t>
      </w:r>
    </w:p>
    <w:p>
      <w:pPr>
        <w:spacing w:line="360" w:lineRule="auto"/>
      </w:pPr>
      <w:r>
        <w:rPr>
          <w:rFonts w:ascii="宋体" w:hAnsi="宋体" w:eastAsia="宋体"/>
          <w:sz w:val="24"/>
        </w:rPr>
        <w:t xml:space="preserve">  8.1  制定质量计划</w:t>
      </w:r>
    </w:p>
    <w:p>
      <w:pPr>
        <w:spacing w:line="360" w:lineRule="auto"/>
      </w:pPr>
      <w:r>
        <w:rPr>
          <w:rFonts w:ascii="宋体" w:hAnsi="宋体" w:eastAsia="宋体"/>
          <w:sz w:val="24"/>
        </w:rPr>
        <w:t xml:space="preserve">  8.2  规范质量审核</w:t>
      </w:r>
    </w:p>
    <w:p>
      <w:pPr>
        <w:spacing w:line="360" w:lineRule="auto"/>
      </w:pPr>
      <w:r>
        <w:rPr>
          <w:rFonts w:ascii="宋体" w:hAnsi="宋体" w:eastAsia="宋体"/>
          <w:sz w:val="24"/>
        </w:rPr>
        <w:t xml:space="preserve">  8.3  实施配置管理</w:t>
      </w:r>
    </w:p>
    <w:p>
      <w:pPr>
        <w:spacing w:line="360" w:lineRule="auto"/>
      </w:pPr>
      <w:r>
        <w:rPr>
          <w:rFonts w:ascii="宋体" w:hAnsi="宋体" w:eastAsia="宋体"/>
          <w:sz w:val="24"/>
        </w:rPr>
        <w:t>9  经费概算</w:t>
      </w:r>
    </w:p>
    <w:p>
      <w:r>
        <w:br w:type="page"/>
      </w:r>
    </w:p>
    <w:p>
      <w:pPr>
        <w:pStyle w:val="Heading1"/>
      </w:pPr>
      <w:r>
        <w:rPr>
          <w:rFonts w:ascii="黑体" w:hAnsi="黑体" w:eastAsia="黑体"/>
        </w:rPr>
        <w:t>1  背景</w:t>
      </w:r>
    </w:p>
    <w:p>
      <w:pPr>
        <w:pStyle w:val="Heading2"/>
      </w:pPr>
      <w:r>
        <w:rPr>
          <w:rFonts w:ascii="黑体" w:hAnsi="黑体" w:eastAsia="黑体"/>
        </w:rPr>
        <w:t>1.1  系统的建设规划</w:t>
      </w:r>
    </w:p>
    <w:p>
      <w:pPr>
        <w:ind w:firstLine="420"/>
      </w:pPr>
      <w:r>
        <w:rPr>
          <w:rFonts w:ascii="宋体" w:hAnsi="宋体" w:eastAsia="宋体"/>
          <w:b w:val="0"/>
          <w:sz w:val="24"/>
        </w:rPr>
        <w:t>当前，网络威胁形式复杂多样，未知威胁渐成主流，网络安全威胁被许多国家列为第一层级的安全威胁。密码是网络安全的核心技术和基础支撑，是构建网络信任体系的重要基石。利用密码在安全认证、加密保护、信任传递等方面的重要作用，能够有效消除或控制潜在的"安全危机"，实现被动防御向积极防御的战略转变。</w:t>
      </w:r>
    </w:p>
    <w:p>
      <w:pPr>
        <w:ind w:firstLine="420"/>
      </w:pPr>
      <w:r>
        <w:rPr>
          <w:rFonts w:ascii="宋体" w:hAnsi="宋体" w:eastAsia="宋体"/>
          <w:b w:val="0"/>
          <w:sz w:val="24"/>
        </w:rPr>
        <w:t>全球信息技术革命持续演进，信息化应用发展所依托的技术手段正面临重大飞跃，人工智能、云计算、移动互联网、大数据等新技术应用和发展为新型研究机构转变发展模式，实现管理和服务创新提供了新机遇，为新型研究机构发展提供了更为强有力的科技支撑。</w:t>
      </w:r>
    </w:p>
    <w:p>
      <w:pPr>
        <w:ind w:firstLine="420"/>
      </w:pPr>
      <w:r>
        <w:rPr>
          <w:rFonts w:ascii="宋体" w:hAnsi="宋体" w:eastAsia="宋体"/>
          <w:b w:val="0"/>
          <w:sz w:val="24"/>
        </w:rPr>
        <w:t>严格落实网络和数据安全法律法规和政策标准，建立健全安全管理制度，采用国产密码技术，增强安全可控技术和产品应用，加强日常监测和安全演练，确保中国国际贸易促进委员会成都市委员会门户网站网络和数据安全。规范与第三方平台合作，在数据安全、应用安全、网络安全、应急处理等方面，制定安全管理策略，实现中国国际贸易促进委员会成都市委员会门户网站计算资源和数据资源的有序共享。全面建立隐私数据保护机制，保障用户知情权、选择权和隐私权。</w:t>
      </w:r>
    </w:p>
    <w:p>
      <w:pPr>
        <w:ind w:firstLine="420"/>
      </w:pPr>
      <w:r>
        <w:rPr>
          <w:rFonts w:ascii="宋体" w:hAnsi="宋体" w:eastAsia="宋体"/>
          <w:b w:val="0"/>
          <w:sz w:val="24"/>
        </w:rPr>
        <w:t>中国国际贸易促进委员会成都市委员会门户网站是中国国际贸易促进委员会成都市委员会面向社会公众提供信息服务的核心平台，承载了贸促新闻、政务服务、展会信息、行业组织、信息公开、咨询互动等8个一级栏目、41个二级栏目的资讯信息，截至目前已发布新闻数据共计7339条。一旦系统数据泄露或遭到篡改，将给社会造成不良影响，因此，建立健全网络和信息系统密码保障体系，完善密码基础设施，提升密码适用管理水平，推进密码在重要领域系统身份认证、安全隔离、信息加密、信息数据保护等方面的应用，实现系统密码应用安全工作全面展开迫在眉睫。</w:t>
      </w:r>
    </w:p>
    <w:p>
      <w:pPr>
        <w:ind w:firstLine="420"/>
      </w:pPr>
      <w:r>
        <w:rPr>
          <w:rFonts w:ascii="宋体" w:hAnsi="宋体" w:eastAsia="宋体"/>
          <w:b w:val="0"/>
          <w:sz w:val="24"/>
        </w:rPr>
        <w:t>本项目严格遵循国家政务信息化建设总体要求，落实《中华人民共和国网络安全法》《中华人民共和国数据安全法》《中华人民共和国密码法》等法律法规，对照2023年全国网络安全和信息化工作会议提出的"统筹发展与安全，加强网络内容建设与管理，筑牢网络安全屏障，发挥信息化驱动引领作用"核心要求，结合成都市安全可靠应用推进工作领导小组办公室《关于加快推进深化安全可靠应用替代工作应用系统适配改造的通知》（2024年4月）具体部署，完成中国国际贸易促进委员会成都市委员会门户网站的国产化升级改造并同步完善密码应用保障体系，确保信息系统符合国家信创战略和密码管理要求。</w:t>
      </w:r>
    </w:p>
    <w:p>
      <w:pPr>
        <w:pStyle w:val="Heading2"/>
      </w:pPr>
      <w:r>
        <w:rPr>
          <w:rFonts w:ascii="黑体" w:hAnsi="黑体" w:eastAsia="黑体"/>
        </w:rPr>
        <w:t>1.2  国家及行业有关法律法规要求</w:t>
      </w:r>
    </w:p>
    <w:p>
      <w:pPr>
        <w:pStyle w:val="Heading3"/>
      </w:pPr>
      <w:r>
        <w:rPr>
          <w:rFonts w:ascii="黑体" w:hAnsi="黑体" w:eastAsia="黑体"/>
        </w:rPr>
        <w:t>1.2.1  《中华人民共和国密码法》</w:t>
      </w:r>
    </w:p>
    <w:p>
      <w:pPr>
        <w:ind w:firstLine="420"/>
      </w:pPr>
      <w:r>
        <w:rPr>
          <w:rFonts w:ascii="宋体" w:hAnsi="宋体" w:eastAsia="宋体"/>
          <w:b w:val="0"/>
          <w:sz w:val="24"/>
        </w:rPr>
        <w:t>2019年10月26日，十三届全国人大常委会第十四次会议通过《中华人民共和国密码法》，习近平主席签署第35号主席令予以公布，于2020年1月1日起正式施行。</w:t>
      </w:r>
    </w:p>
    <w:p>
      <w:pPr>
        <w:ind w:firstLine="420"/>
      </w:pPr>
      <w:r>
        <w:rPr>
          <w:rFonts w:ascii="宋体" w:hAnsi="宋体" w:eastAsia="宋体"/>
          <w:b w:val="0"/>
          <w:sz w:val="24"/>
        </w:rPr>
        <w:t>根据密码法第二条的规定，本法中的密码，是指采用特定变换的方法对信息等进行加密保护、安全认证的技术、产品和服务。密码是保障网络与信息安全的核心技术和基础支撑，是解决网络与信息安全问题最有效、最可靠、最经济的手段，在我国革命、建设、改革各个历史时期，都发挥了不可替代的重要作用。密码就像网络空间的DNA，是构筑网络信息系统免疫体系和网络信任体系的基石，直接关系国家政治安全、经济安全、国防安全和信息安全，是保护党和国家根本利益的战略性资源，是国之重器。</w:t>
      </w:r>
    </w:p>
    <w:p>
      <w:pPr>
        <w:ind w:firstLine="420"/>
      </w:pPr>
      <w:r>
        <w:rPr>
          <w:rFonts w:ascii="宋体" w:hAnsi="宋体" w:eastAsia="宋体"/>
          <w:b w:val="0"/>
          <w:sz w:val="24"/>
        </w:rPr>
        <w:t>在商用密码使用方面，一方面，为了保障关键信息基础设施安全稳定运行，维护国家安全和社会公共利益，密码法第二十七条要求关键信息基础设施必须依法使用商用密码进行保护并开展商用密码应用安全性评估，要求关键信息基础设施的运营者采购涉及商用密码的网络产品和服务，可能影响国家安全的，应当依法通过国家网信办会同国家密码管理局等有关部门组织的国家安全审查。另一方面，密码法第八条规定公民、法人和其他组织可以依法使用商用密码保护网络与信息安全。</w:t>
      </w:r>
    </w:p>
    <w:p>
      <w:pPr>
        <w:pStyle w:val="Heading3"/>
      </w:pPr>
      <w:r>
        <w:rPr>
          <w:rFonts w:ascii="黑体" w:hAnsi="黑体" w:eastAsia="黑体"/>
        </w:rPr>
        <w:t>1.2.2  《网络安全等级保护条例》</w:t>
      </w:r>
    </w:p>
    <w:p>
      <w:pPr>
        <w:ind w:firstLine="420"/>
      </w:pPr>
      <w:r>
        <w:rPr>
          <w:rFonts w:ascii="宋体" w:hAnsi="宋体" w:eastAsia="宋体"/>
          <w:b w:val="0"/>
          <w:sz w:val="24"/>
        </w:rPr>
        <w:t>第二十条"网络运营者应当落实数据分类、重要数据备份和加密等措施"；第四十七条"【非涉密网络密码保护】非涉密网络应当按照国家密码管理法律法规和标准的要求，使用密码技术、产品和服务"。</w:t>
      </w:r>
    </w:p>
    <w:p>
      <w:pPr>
        <w:ind w:firstLine="420"/>
      </w:pPr>
      <w:r>
        <w:rPr>
          <w:rFonts w:ascii="宋体" w:hAnsi="宋体" w:eastAsia="宋体"/>
          <w:b w:val="0"/>
          <w:sz w:val="24"/>
        </w:rPr>
        <w:t>第三级以上网络运营者应在网络规划、建设和运行阶段，按照密码应用安全性评估管理办法和相关标准，委托密码应用安全性测评机构开展密码应用安全性评估。网络通过评估后，方可上线运行，并在投入运行后，每年至少组织一次评估。密码应用安全性评估结果应当报受理备案的公安机关和所在地区市的密码管理部门备案。</w:t>
      </w:r>
    </w:p>
    <w:p>
      <w:pPr>
        <w:pStyle w:val="Heading3"/>
      </w:pPr>
      <w:r>
        <w:rPr>
          <w:rFonts w:ascii="黑体" w:hAnsi="黑体" w:eastAsia="黑体"/>
        </w:rPr>
        <w:t>1.2.3  《商用密码应用安全性评估管理办法》</w:t>
      </w:r>
    </w:p>
    <w:p>
      <w:pPr>
        <w:ind w:firstLine="420"/>
      </w:pPr>
      <w:r>
        <w:rPr>
          <w:rFonts w:ascii="宋体" w:hAnsi="宋体" w:eastAsia="宋体"/>
          <w:b w:val="0"/>
          <w:sz w:val="24"/>
        </w:rPr>
        <w:t>第六条 法律、行政法规和国家有关规定要求使用商用密码进行保护的网络与信息系统（以下简称重要网络与信息系统），其运营者应当使用商用密码进行保护，制定商用密码应用方案，配备必要的资金和专业人员，同步规划、同步建设、同步运行商用密码保障系统，并定期开展商用密码应用安全性评估。</w:t>
      </w:r>
    </w:p>
    <w:p>
      <w:pPr>
        <w:ind w:firstLine="420"/>
      </w:pPr>
      <w:r>
        <w:rPr>
          <w:rFonts w:ascii="宋体" w:hAnsi="宋体" w:eastAsia="宋体"/>
          <w:b w:val="0"/>
          <w:sz w:val="24"/>
        </w:rPr>
        <w:t>第八条 重要网络与信息系统建设阶段，其运营者应当按照通过商用密码应用安全性评估的商用密码应用方案组织实施，落实商用密码安全防护措施，建设商用密码保障系统。重要网络与信息系统运行前，其运营者应当自行或者委托商用密码检测机构开展商用密码应用安全性评估。网络与信息系统未通过商用密码应用安全性评估的，运营者应当进行改造，改造期间不得投入运行。</w:t>
      </w:r>
    </w:p>
    <w:p>
      <w:pPr>
        <w:pStyle w:val="Heading3"/>
      </w:pPr>
      <w:r>
        <w:rPr>
          <w:rFonts w:ascii="黑体" w:hAnsi="黑体" w:eastAsia="黑体"/>
        </w:rPr>
        <w:t>1.2.4  《商用密码管理条例》</w:t>
      </w:r>
    </w:p>
    <w:p>
      <w:pPr>
        <w:ind w:firstLine="420"/>
      </w:pPr>
      <w:r>
        <w:rPr>
          <w:rFonts w:ascii="宋体" w:hAnsi="宋体" w:eastAsia="宋体"/>
          <w:b w:val="0"/>
          <w:sz w:val="24"/>
        </w:rPr>
        <w:t>第四十一条 网络运营者应当按照国家网络安全等级保护制度要求，使用商用密码保护网络安全。国家密码管理部门根据网络的安全保护等级，确定商用密码的使用、管理和应用安全性评估要求，制定网络安全等级保护密码标准规范。</w:t>
      </w:r>
    </w:p>
    <w:p>
      <w:pPr>
        <w:ind w:firstLine="420"/>
      </w:pPr>
      <w:r>
        <w:rPr>
          <w:rFonts w:ascii="宋体" w:hAnsi="宋体" w:eastAsia="宋体"/>
          <w:b w:val="0"/>
          <w:sz w:val="24"/>
        </w:rPr>
        <w:t>第四十二条 商用密码应用安全性评估、关键信息基础设施安全检测评估、网络安全等级测评应当加强衔接，避免重复评估、测评。</w:t>
      </w:r>
    </w:p>
    <w:p>
      <w:pPr>
        <w:pStyle w:val="Heading2"/>
      </w:pPr>
      <w:r>
        <w:rPr>
          <w:rFonts w:ascii="黑体" w:hAnsi="黑体" w:eastAsia="黑体"/>
        </w:rPr>
        <w:t>1.3  与规划有关的前期情况描述</w:t>
      </w:r>
    </w:p>
    <w:p>
      <w:pPr>
        <w:ind w:firstLine="420"/>
      </w:pPr>
      <w:r>
        <w:rPr>
          <w:rFonts w:ascii="宋体" w:hAnsi="宋体" w:eastAsia="宋体"/>
          <w:b w:val="0"/>
          <w:sz w:val="24"/>
        </w:rPr>
        <w:t>中国国际贸易促进委员会成都市委员会门户网站建设于2018年，于2023年11月启动门户网站运维服务采购项目招标，预算10万元左右/年，服务期覆盖2023-2026年。本项目为已建设系统进行国产化升级改造，现有系统采用Windows + MySQL + Redis技术架构，操作系统、数据库、中间件均为非国产化软件。需根据系统的业务用户以及关键业务数据，明确保护对象，分析其密码应用的需求；为保障用户身份的真实性，业务系统的数据机密性、完整性和有效性，需要按GB/T 39786-2021《信息安全技术 信息系统密码应用基本要求》的要求编制密码应用方案，进行密码应用建设。</w:t>
      </w:r>
    </w:p>
    <w:p>
      <w:pPr>
        <w:ind w:firstLine="420"/>
      </w:pPr>
      <w:r>
        <w:rPr>
          <w:rFonts w:ascii="宋体" w:hAnsi="宋体" w:eastAsia="宋体"/>
          <w:b w:val="0"/>
          <w:sz w:val="24"/>
        </w:rPr>
        <w:t>目前系统尚未部署在成都市政务云平台，按照市安可办要求，需在本项目中同步完成系统的国产化替代工作并迁移至成都市政务云信创平台互联网区。系统将部署至成都市政务云平台（曙光云），新增信创主机资源（32核CPU、64GB内存）、信创存储（2TB高IO存储），以及虚拟Web防火墙、虚拟防火墙、虚拟入侵防御、防病毒、日志审计、数据库审计、安全审计（云堡垒机）等安全防护资源。</w:t>
      </w:r>
    </w:p>
    <w:p>
      <w:pPr>
        <w:pStyle w:val="Heading2"/>
      </w:pPr>
      <w:r>
        <w:rPr>
          <w:rFonts w:ascii="黑体" w:hAnsi="黑体" w:eastAsia="黑体"/>
        </w:rPr>
        <w:t>1.4  项目实施的必要性</w:t>
      </w:r>
    </w:p>
    <w:p>
      <w:pPr>
        <w:ind w:firstLine="420"/>
      </w:pPr>
      <w:r>
        <w:rPr>
          <w:rFonts w:ascii="宋体" w:hAnsi="宋体" w:eastAsia="宋体"/>
          <w:b w:val="0"/>
          <w:sz w:val="24"/>
        </w:rPr>
        <w:t>密码技术作为网络与信息安全保障的核心技术和基础支撑，在维护国家安全、促进经济社会发展、保护人民群众利益中发挥着不可替代的重要作用。等级保护第三级及以上的信息系统要严格落实国家商用密码应用"三同步一评估"要求，同步规划、同步建设、同步运行商用密码保障系统，定期开展商用密码应用安全性评估。</w:t>
      </w:r>
    </w:p>
    <w:p>
      <w:pPr>
        <w:ind w:firstLine="420"/>
      </w:pPr>
      <w:r>
        <w:rPr>
          <w:rFonts w:ascii="宋体" w:hAnsi="宋体" w:eastAsia="宋体"/>
          <w:b w:val="0"/>
          <w:sz w:val="24"/>
        </w:rPr>
        <w:t>中国国际贸易促进委员会成都市委员会门户网站是中国国际贸易促进委员会成都市委员会为在底层打通数据提升信息宣传工作效率而建设的信息系统，采用国产密码算法加强系统的安全性，在一定程度上说，更具自主可控性，同时能提高安全强度、减少威胁、降低风险。</w:t>
      </w:r>
    </w:p>
    <w:p>
      <w:pPr>
        <w:ind w:firstLine="420"/>
      </w:pPr>
      <w:r>
        <w:rPr>
          <w:rFonts w:ascii="宋体" w:hAnsi="宋体" w:eastAsia="宋体"/>
          <w:b w:val="0"/>
          <w:sz w:val="24"/>
        </w:rPr>
        <w:t>本项目密码应用建设的必要性主要体现在以下方面：</w:t>
      </w:r>
    </w:p>
    <w:p>
      <w:pPr>
        <w:ind w:firstLine="420"/>
      </w:pPr>
      <w:r>
        <w:rPr>
          <w:rFonts w:ascii="宋体" w:hAnsi="宋体" w:eastAsia="宋体"/>
          <w:b w:val="0"/>
          <w:sz w:val="24"/>
        </w:rPr>
        <w:t>（1）法律法规合规要求：严格落实《中华人民共和国密码法》《商用密码管理条例》等法律法规要求，第三级及以上信息系统必须使用商用密码进行保护并定期开展密码应用安全性评估；</w:t>
      </w:r>
    </w:p>
    <w:p>
      <w:pPr>
        <w:ind w:firstLine="420"/>
      </w:pPr>
      <w:r>
        <w:rPr>
          <w:rFonts w:ascii="宋体" w:hAnsi="宋体" w:eastAsia="宋体"/>
          <w:b w:val="0"/>
          <w:sz w:val="24"/>
        </w:rPr>
        <w:t>（2）安全风险防范需求：系统现存的用户身份鉴别、数据传输保护、数据存储安全等方面的风险，需要通过合规的密码技术手段进行有效控制；</w:t>
      </w:r>
    </w:p>
    <w:p>
      <w:pPr>
        <w:ind w:firstLine="420"/>
      </w:pPr>
      <w:r>
        <w:rPr>
          <w:rFonts w:ascii="宋体" w:hAnsi="宋体" w:eastAsia="宋体"/>
          <w:b w:val="0"/>
          <w:sz w:val="24"/>
        </w:rPr>
        <w:t>（3）国产化升级配套：在完成操作系统、数据库、中间件等国产化替代的同时，同步建设密码保障体系，确保系统整体安全可控；</w:t>
      </w:r>
    </w:p>
    <w:p>
      <w:pPr>
        <w:ind w:firstLine="420"/>
      </w:pPr>
      <w:r>
        <w:rPr>
          <w:rFonts w:ascii="宋体" w:hAnsi="宋体" w:eastAsia="宋体"/>
          <w:b w:val="0"/>
          <w:sz w:val="24"/>
        </w:rPr>
        <w:t>（4）等保测评达标要求：系统已定级为三级，密码应用安全性评估是等保测评的重要组成部分，必须同步满足密码应用合规性要求。</w:t>
      </w:r>
    </w:p>
    <w:p>
      <w:r>
        <w:br w:type="page"/>
      </w:r>
    </w:p>
    <w:p>
      <w:pPr>
        <w:pStyle w:val="Heading1"/>
      </w:pPr>
      <w:r>
        <w:rPr>
          <w:rFonts w:ascii="黑体" w:hAnsi="黑体" w:eastAsia="黑体"/>
        </w:rPr>
        <w:t>2  系统概述</w:t>
      </w:r>
    </w:p>
    <w:p>
      <w:pPr>
        <w:pStyle w:val="Heading2"/>
      </w:pPr>
      <w:r>
        <w:rPr>
          <w:rFonts w:ascii="黑体" w:hAnsi="黑体" w:eastAsia="黑体"/>
        </w:rPr>
        <w:t>2.1  基本情况</w:t>
      </w:r>
    </w:p>
    <w:p>
      <w:pPr>
        <w:pStyle w:val="Heading3"/>
      </w:pPr>
      <w:r>
        <w:rPr>
          <w:rFonts w:ascii="黑体" w:hAnsi="黑体" w:eastAsia="黑体"/>
        </w:rPr>
        <w:t>2.1.1  系统简介</w:t>
      </w:r>
    </w:p>
    <w:p>
      <w:pPr>
        <w:ind w:firstLine="420"/>
      </w:pPr>
      <w:r>
        <w:rPr>
          <w:rFonts w:ascii="宋体" w:hAnsi="宋体" w:eastAsia="宋体"/>
          <w:b w:val="0"/>
          <w:sz w:val="24"/>
        </w:rPr>
        <w:t>中国国际贸易促进委员会成都市委员会门户网站，用于承担单位新闻宣传、政务服务、展会信息发布等业务。门户网站包括8个一级栏目（首页、新闻动态、政务服务、展会信息、行业组织、信息公开、咨询互动、魅力成都）、41个二级栏目，截至目前已发布新闻数据共计7339条，日均独立访客约800-1200人次，日均页面浏览量约4000-6000次。</w:t>
      </w:r>
    </w:p>
    <w:p>
      <w:pPr>
        <w:ind w:firstLine="420"/>
      </w:pPr>
      <w:r>
        <w:rPr>
          <w:rFonts w:ascii="宋体" w:hAnsi="宋体" w:eastAsia="宋体"/>
          <w:b w:val="0"/>
          <w:sz w:val="24"/>
        </w:rPr>
        <w:t>平台包含"中国国际贸易促进委员会成都市委员会门户网站"与"中国国际贸易促进委员会成都市委员会门户网站内容管理系统"两个系统。项目整体系统由Web区域、应用区域和备份区域组成：Web区域配置三台虚拟服务器，对外提供前台页面访问服务；应用区域配置两台虚拟服务器，运行网站群平台，对内提供站点管理及资料维护服务；备份区域一台虚拟服务器，用于保存数据及所有文件的完整备份。</w:t>
      </w:r>
    </w:p>
    <w:p>
      <w:pPr>
        <w:pStyle w:val="Heading3"/>
      </w:pPr>
      <w:r>
        <w:rPr>
          <w:rFonts w:ascii="黑体" w:hAnsi="黑体" w:eastAsia="黑体"/>
        </w:rPr>
        <w:t>2.1.2  系统责任主体单位</w:t>
      </w:r>
    </w:p>
    <w:p>
      <w:pPr>
        <w:ind w:firstLine="420"/>
      </w:pPr>
      <w:r>
        <w:rPr>
          <w:rFonts w:ascii="宋体" w:hAnsi="宋体" w:eastAsia="宋体"/>
          <w:b w:val="0"/>
          <w:sz w:val="24"/>
        </w:rPr>
        <w:t>建设单位名称：中国国际贸易促进委员会成都市委员会。</w:t>
      </w:r>
    </w:p>
    <w:p>
      <w:pPr>
        <w:ind w:firstLine="420"/>
      </w:pPr>
      <w:r>
        <w:rPr>
          <w:rFonts w:ascii="宋体" w:hAnsi="宋体" w:eastAsia="宋体"/>
          <w:b w:val="0"/>
          <w:sz w:val="24"/>
        </w:rPr>
        <w:t>地址：成都市。</w:t>
      </w:r>
    </w:p>
    <w:p>
      <w:pPr>
        <w:ind w:firstLine="420"/>
      </w:pPr>
      <w:r>
        <w:rPr>
          <w:rFonts w:ascii="宋体" w:hAnsi="宋体" w:eastAsia="宋体"/>
          <w:b w:val="0"/>
          <w:sz w:val="24"/>
        </w:rPr>
        <w:t>所属密码管理部门：四川省密码管理局。</w:t>
      </w:r>
    </w:p>
    <w:p>
      <w:pPr>
        <w:ind w:firstLine="420"/>
      </w:pPr>
      <w:r>
        <w:rPr>
          <w:rFonts w:ascii="宋体" w:hAnsi="宋体" w:eastAsia="宋体"/>
          <w:b w:val="0"/>
          <w:sz w:val="24"/>
        </w:rPr>
        <w:t>单位类型：行政机关。</w:t>
      </w:r>
    </w:p>
    <w:p>
      <w:pPr>
        <w:pStyle w:val="Heading3"/>
      </w:pPr>
      <w:r>
        <w:rPr>
          <w:rFonts w:ascii="黑体" w:hAnsi="黑体" w:eastAsia="黑体"/>
        </w:rPr>
        <w:t>2.1.3  系统上线运行时间</w:t>
      </w:r>
    </w:p>
    <w:p>
      <w:pPr>
        <w:ind w:firstLine="420"/>
      </w:pPr>
      <w:r>
        <w:rPr>
          <w:rFonts w:ascii="宋体" w:hAnsi="宋体" w:eastAsia="宋体"/>
          <w:b w:val="0"/>
          <w:sz w:val="24"/>
        </w:rPr>
        <w:t>系统2018年建设上线运行，2026年进行国产化升级改造及密码应用建设。</w:t>
      </w:r>
    </w:p>
    <w:p>
      <w:pPr>
        <w:pStyle w:val="Heading3"/>
      </w:pPr>
      <w:r>
        <w:rPr>
          <w:rFonts w:ascii="黑体" w:hAnsi="黑体" w:eastAsia="黑体"/>
        </w:rPr>
        <w:t>2.1.4  系统用户情况</w:t>
      </w:r>
    </w:p>
    <w:p>
      <w:pPr>
        <w:ind w:firstLine="420"/>
      </w:pPr>
      <w:r>
        <w:rPr>
          <w:rFonts w:ascii="宋体" w:hAnsi="宋体" w:eastAsia="宋体"/>
          <w:b w:val="0"/>
          <w:sz w:val="24"/>
        </w:rPr>
        <w:t>使用单位：公众人员、企业用户、政务用户。</w:t>
      </w:r>
    </w:p>
    <w:p>
      <w:pPr>
        <w:ind w:firstLine="420"/>
      </w:pPr>
      <w:r>
        <w:rPr>
          <w:rFonts w:ascii="宋体" w:hAnsi="宋体" w:eastAsia="宋体"/>
          <w:b w:val="0"/>
          <w:sz w:val="24"/>
        </w:rPr>
        <w:t>使用人员：公众人员、企业用户和系统管理员。</w:t>
      </w:r>
    </w:p>
    <w:p>
      <w:pPr>
        <w:ind w:firstLine="420"/>
      </w:pPr>
      <w:r>
        <w:rPr>
          <w:rFonts w:ascii="宋体" w:hAnsi="宋体" w:eastAsia="宋体"/>
          <w:b w:val="0"/>
          <w:sz w:val="24"/>
        </w:rPr>
        <w:t>使用场景：</w:t>
      </w:r>
    </w:p>
    <w:p>
      <w:r>
        <w:rPr>
          <w:rFonts w:ascii="宋体" w:hAnsi="宋体" w:eastAsia="宋体"/>
          <w:b w:val="0"/>
          <w:sz w:val="24"/>
        </w:rPr>
        <w:t>公众用户及企业用户，用户PC端或移动端通过互联网访问，查看网站内容、信息等。日均独立访客约800-1200人次，日均页面浏览量约4000-6000次，峰值并发用户数约500用户。</w:t>
      </w:r>
    </w:p>
    <w:p>
      <w:r>
        <w:rPr>
          <w:rFonts w:ascii="宋体" w:hAnsi="宋体" w:eastAsia="宋体"/>
          <w:b w:val="0"/>
          <w:sz w:val="24"/>
        </w:rPr>
        <w:t>系统管理员（约6人），用户PC端通过互联网访问，完成后台内容管理、审核发布、权限管理等操作。</w:t>
      </w:r>
    </w:p>
    <w:p>
      <w:pPr>
        <w:pStyle w:val="Heading3"/>
      </w:pPr>
      <w:r>
        <w:rPr>
          <w:rFonts w:ascii="黑体" w:hAnsi="黑体" w:eastAsia="黑体"/>
        </w:rPr>
        <w:t>2.1.5  关键基础设施说明</w:t>
      </w:r>
    </w:p>
    <w:p>
      <w:pPr>
        <w:ind w:firstLine="420"/>
      </w:pPr>
      <w:r>
        <w:rPr>
          <w:rFonts w:ascii="宋体" w:hAnsi="宋体" w:eastAsia="宋体"/>
          <w:b w:val="0"/>
          <w:sz w:val="24"/>
        </w:rPr>
        <w:t>系统未被认定为关键信息基础设施。</w:t>
      </w:r>
    </w:p>
    <w:p>
      <w:pPr>
        <w:pStyle w:val="Heading3"/>
      </w:pPr>
      <w:r>
        <w:rPr>
          <w:rFonts w:ascii="黑体" w:hAnsi="黑体" w:eastAsia="黑体"/>
        </w:rPr>
        <w:t>2.1.6  网络安全等级保护情况</w:t>
      </w:r>
    </w:p>
    <w:p>
      <w:pPr>
        <w:ind w:firstLine="420"/>
      </w:pPr>
      <w:r>
        <w:rPr>
          <w:rFonts w:ascii="宋体" w:hAnsi="宋体" w:eastAsia="宋体"/>
          <w:b w:val="0"/>
          <w:sz w:val="24"/>
        </w:rPr>
        <w:t>系统已定级为网络安全等级保护第三级，等级保护定级备案编号待本次升级改造完成后重新备案。</w:t>
      </w:r>
    </w:p>
    <w:p>
      <w:pPr>
        <w:pStyle w:val="Heading3"/>
      </w:pPr>
      <w:r>
        <w:rPr>
          <w:rFonts w:ascii="黑体" w:hAnsi="黑体" w:eastAsia="黑体"/>
        </w:rPr>
        <w:t>2.1.7  密码应用安全性评估情况</w:t>
      </w:r>
    </w:p>
    <w:p>
      <w:pPr>
        <w:ind w:firstLine="420"/>
      </w:pPr>
      <w:r>
        <w:rPr>
          <w:rFonts w:ascii="宋体" w:hAnsi="宋体" w:eastAsia="宋体"/>
          <w:b w:val="0"/>
          <w:sz w:val="24"/>
        </w:rPr>
        <w:t>目前系统正在国产化升级改造中，尚未进行密码应用安全性评估。本次升级改造将同步建设密码保障体系，建设完成后委托密评机构进行密码应用安全性评估。</w:t>
      </w:r>
    </w:p>
    <w:p>
      <w:pPr>
        <w:pStyle w:val="Heading3"/>
      </w:pPr>
      <w:r>
        <w:rPr>
          <w:rFonts w:ascii="黑体" w:hAnsi="黑体" w:eastAsia="黑体"/>
        </w:rPr>
        <w:t>2.1.8  部署情况</w:t>
      </w:r>
    </w:p>
    <w:p>
      <w:pPr>
        <w:ind w:firstLine="420"/>
      </w:pPr>
      <w:r>
        <w:rPr>
          <w:rFonts w:ascii="宋体" w:hAnsi="宋体" w:eastAsia="宋体"/>
          <w:b w:val="0"/>
          <w:sz w:val="24"/>
        </w:rPr>
        <w:t>中国国际贸易促进委员会成都市委员会无自建机房，也缺少可供平台部署所需的网络环境。升级改造后，门户网站的服务器、数据库、安全系统等将统一部署在成都市政务云信创平台（曙光云平台）互联网区，为系统的运行提供包括存储、计算、网络、灾备等在内的一系列资源支持。</w:t>
      </w:r>
    </w:p>
    <w:p>
      <w:pPr>
        <w:pStyle w:val="Heading2"/>
      </w:pPr>
      <w:r>
        <w:rPr>
          <w:rFonts w:ascii="黑体" w:hAnsi="黑体" w:eastAsia="黑体"/>
        </w:rPr>
        <w:t>2.2  计算平台现状</w:t>
      </w:r>
    </w:p>
    <w:p>
      <w:pPr>
        <w:pStyle w:val="Heading3"/>
      </w:pPr>
      <w:r>
        <w:rPr>
          <w:rFonts w:ascii="黑体" w:hAnsi="黑体" w:eastAsia="黑体"/>
        </w:rPr>
        <w:t>2.2.1  物理和环境</w:t>
      </w:r>
    </w:p>
    <w:p>
      <w:pPr>
        <w:ind w:firstLine="420"/>
      </w:pPr>
      <w:r>
        <w:rPr>
          <w:rFonts w:ascii="宋体" w:hAnsi="宋体" w:eastAsia="宋体"/>
          <w:b w:val="0"/>
          <w:sz w:val="24"/>
        </w:rPr>
        <w:t>中国国际贸易促进委员会成都市委员会门户网站部署在成都市政务云平台曙光云数据中心机房内，由中国国际贸易促进委员会成都市委员会与政务云服务商共同管理。曙光云数据中心机房地址位于成都市，机房具备高等级的防火、防水、防震等物理保护措施，通过冗余电力供应、环境监控、温湿度控制等手段，确保系统服务器的稳定运行。机房内配备了专业的运维团队，提供7×24小时全天候的监控和维护服务。</w:t>
      </w:r>
    </w:p>
    <w:p>
      <w:pPr>
        <w:ind w:firstLine="420"/>
      </w:pPr>
      <w:r>
        <w:rPr>
          <w:rFonts w:ascii="宋体" w:hAnsi="宋体" w:eastAsia="宋体"/>
          <w:b w:val="0"/>
          <w:sz w:val="24"/>
        </w:rPr>
        <w:t>机房部署了普通的电子门禁系统和视频监控系统，通过电子门禁系统控制、鉴别和记录进入的人员，关键出入口通过视频监控系统监控。</w:t>
      </w:r>
    </w:p>
    <w:p>
      <w:pPr>
        <w:pStyle w:val="Heading3"/>
      </w:pPr>
      <w:r>
        <w:rPr>
          <w:rFonts w:ascii="黑体" w:hAnsi="黑体" w:eastAsia="黑体"/>
        </w:rPr>
        <w:t>2.2.2  网络环境</w:t>
      </w:r>
    </w:p>
    <w:p>
      <w:pPr>
        <w:ind w:firstLine="420"/>
      </w:pPr>
      <w:r>
        <w:rPr>
          <w:rFonts w:ascii="宋体" w:hAnsi="宋体" w:eastAsia="宋体"/>
          <w:b w:val="0"/>
          <w:sz w:val="24"/>
        </w:rPr>
        <w:t>中国国际贸易促进委员会成都市委员会门户网站部署在成都市政务云信创平台互联网区，公众通过互联网访问门户网站获取相关服务。系统网络结构主要包括：互联网边界区、Web应用区、应用服务区、数据存储区。</w:t>
      </w:r>
    </w:p>
    <w:p>
      <w:pPr>
        <w:ind w:firstLine="420"/>
      </w:pPr>
      <w:r>
        <w:rPr>
          <w:rFonts w:ascii="宋体" w:hAnsi="宋体" w:eastAsia="宋体"/>
          <w:b w:val="0"/>
          <w:sz w:val="24"/>
        </w:rPr>
        <w:t>1、互联网边界区</w:t>
      </w:r>
    </w:p>
    <w:p>
      <w:pPr>
        <w:ind w:firstLine="420"/>
      </w:pPr>
      <w:r>
        <w:rPr>
          <w:rFonts w:ascii="宋体" w:hAnsi="宋体" w:eastAsia="宋体"/>
          <w:b w:val="0"/>
          <w:sz w:val="24"/>
        </w:rPr>
        <w:t>系统互联网边界区通过政务云防火墙与互联网连接，通过边界防火墙进行精确的南北向访问控制，且防火墙配备了入侵防御模块和防病毒模块，实现精确访问控制、网络层的入侵防御和防病毒。</w:t>
      </w:r>
    </w:p>
    <w:p>
      <w:pPr>
        <w:ind w:firstLine="420"/>
      </w:pPr>
      <w:r>
        <w:rPr>
          <w:rFonts w:ascii="宋体" w:hAnsi="宋体" w:eastAsia="宋体"/>
          <w:b w:val="0"/>
          <w:sz w:val="24"/>
        </w:rPr>
        <w:t>2、Web应用区</w:t>
      </w:r>
    </w:p>
    <w:p>
      <w:pPr>
        <w:ind w:firstLine="420"/>
      </w:pPr>
      <w:r>
        <w:rPr>
          <w:rFonts w:ascii="宋体" w:hAnsi="宋体" w:eastAsia="宋体"/>
          <w:b w:val="0"/>
          <w:sz w:val="24"/>
        </w:rPr>
        <w:t>Web应用区部署门户网站前端服务器，通过负载均衡实现流量分发，对外提供前台页面访问服务。部署Web应用防火墙（WAF），实现应用层的入侵防护。</w:t>
      </w:r>
    </w:p>
    <w:p>
      <w:pPr>
        <w:ind w:firstLine="420"/>
      </w:pPr>
      <w:r>
        <w:rPr>
          <w:rFonts w:ascii="宋体" w:hAnsi="宋体" w:eastAsia="宋体"/>
          <w:b w:val="0"/>
          <w:sz w:val="24"/>
        </w:rPr>
        <w:t>3、应用服务区</w:t>
      </w:r>
    </w:p>
    <w:p>
      <w:pPr>
        <w:ind w:firstLine="420"/>
      </w:pPr>
      <w:r>
        <w:rPr>
          <w:rFonts w:ascii="宋体" w:hAnsi="宋体" w:eastAsia="宋体"/>
          <w:b w:val="0"/>
          <w:sz w:val="24"/>
        </w:rPr>
        <w:t>应用服务区部署网站群平台应用服务器和内容管理服务器，对内提供站点管理及资料维护服务。部署日志审计系统，收集设备日志并进行集中审计；部署堡垒机，实现运维操作审计。</w:t>
      </w:r>
    </w:p>
    <w:p>
      <w:pPr>
        <w:ind w:firstLine="420"/>
      </w:pPr>
      <w:r>
        <w:rPr>
          <w:rFonts w:ascii="宋体" w:hAnsi="宋体" w:eastAsia="宋体"/>
          <w:b w:val="0"/>
          <w:sz w:val="24"/>
        </w:rPr>
        <w:t>4、数据存储区</w:t>
      </w:r>
    </w:p>
    <w:p>
      <w:pPr>
        <w:ind w:firstLine="420"/>
      </w:pPr>
      <w:r>
        <w:rPr>
          <w:rFonts w:ascii="宋体" w:hAnsi="宋体" w:eastAsia="宋体"/>
          <w:b w:val="0"/>
          <w:sz w:val="24"/>
        </w:rPr>
        <w:t>数据存储区部署国产数据库服务器和备份服务器，数据库用于存储中国国际贸易促进委员会成都市委员会门户网站的重要数据。</w:t>
      </w:r>
    </w:p>
    <w:p>
      <w:pPr>
        <w:pStyle w:val="Heading3"/>
      </w:pPr>
      <w:r>
        <w:rPr>
          <w:rFonts w:ascii="黑体" w:hAnsi="黑体" w:eastAsia="黑体"/>
        </w:rPr>
        <w:t>2.2.3  计算环境</w:t>
      </w:r>
    </w:p>
    <w:p>
      <w:pPr>
        <w:ind w:firstLine="420"/>
      </w:pPr>
      <w:r>
        <w:rPr>
          <w:rFonts w:ascii="宋体" w:hAnsi="宋体" w:eastAsia="宋体"/>
          <w:b w:val="0"/>
          <w:sz w:val="24"/>
        </w:rPr>
        <w:t>中国国际贸易促进委员会成都市委员会门户网站升级改造后部署以下系统软硬件：</w:t>
      </w:r>
    </w:p>
    <w:p>
      <w:r>
        <w:rPr>
          <w:rFonts w:ascii="宋体" w:hAnsi="宋体" w:eastAsia="宋体"/>
          <w:b/>
          <w:sz w:val="24"/>
        </w:rPr>
        <w:t>表2-1 服务器/存储设备</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序号</w:t>
            </w:r>
          </w:p>
        </w:tc>
        <w:tc>
          <w:tcPr>
            <w:tcW w:type="dxa" w:w="1728"/>
          </w:tcPr>
          <w:p>
            <w:pPr>
              <w:jc w:val="center"/>
            </w:pPr>
            <w:r>
              <w:rPr>
                <w:b/>
                <w:sz w:val="20"/>
              </w:rPr>
              <w:t>设备名称</w:t>
            </w:r>
          </w:p>
        </w:tc>
        <w:tc>
          <w:tcPr>
            <w:tcW w:type="dxa" w:w="1728"/>
          </w:tcPr>
          <w:p>
            <w:pPr>
              <w:jc w:val="center"/>
            </w:pPr>
            <w:r>
              <w:rPr>
                <w:b/>
                <w:sz w:val="20"/>
              </w:rPr>
              <w:t>操作系统</w:t>
            </w:r>
          </w:p>
        </w:tc>
        <w:tc>
          <w:tcPr>
            <w:tcW w:type="dxa" w:w="1728"/>
          </w:tcPr>
          <w:p>
            <w:pPr>
              <w:jc w:val="center"/>
            </w:pPr>
            <w:r>
              <w:rPr>
                <w:b/>
                <w:sz w:val="20"/>
              </w:rPr>
              <w:t>数量</w:t>
            </w:r>
          </w:p>
        </w:tc>
        <w:tc>
          <w:tcPr>
            <w:tcW w:type="dxa" w:w="1728"/>
          </w:tcPr>
          <w:p>
            <w:pPr>
              <w:jc w:val="center"/>
            </w:pPr>
            <w:r>
              <w:rPr>
                <w:b/>
                <w:sz w:val="20"/>
              </w:rPr>
              <w:t>用途</w:t>
            </w:r>
          </w:p>
        </w:tc>
      </w:tr>
      <w:tr>
        <w:tc>
          <w:tcPr>
            <w:tcW w:type="dxa" w:w="1728"/>
          </w:tcPr>
          <w:p>
            <w:pPr>
              <w:jc w:val="center"/>
            </w:pPr>
            <w:r/>
            <w:r>
              <w:rPr>
                <w:rFonts w:ascii="宋体" w:hAnsi="宋体" w:eastAsia="宋体"/>
                <w:b w:val="0"/>
                <w:sz w:val="20"/>
              </w:rPr>
              <w:t>1</w:t>
            </w:r>
          </w:p>
        </w:tc>
        <w:tc>
          <w:tcPr>
            <w:tcW w:type="dxa" w:w="1728"/>
          </w:tcPr>
          <w:p>
            <w:pPr>
              <w:jc w:val="center"/>
            </w:pPr>
            <w:r/>
            <w:r>
              <w:rPr>
                <w:rFonts w:ascii="宋体" w:hAnsi="宋体" w:eastAsia="宋体"/>
                <w:b w:val="0"/>
                <w:sz w:val="20"/>
              </w:rPr>
              <w:t>Web前端服务器</w:t>
            </w:r>
          </w:p>
        </w:tc>
        <w:tc>
          <w:tcPr>
            <w:tcW w:type="dxa" w:w="1728"/>
          </w:tcPr>
          <w:p>
            <w:pPr>
              <w:jc w:val="center"/>
            </w:pPr>
            <w:r/>
            <w:r>
              <w:rPr>
                <w:rFonts w:ascii="宋体" w:hAnsi="宋体" w:eastAsia="宋体"/>
                <w:b w:val="0"/>
                <w:sz w:val="20"/>
              </w:rPr>
              <w:t>统信UOS/麒麟Kylin OS</w:t>
            </w:r>
          </w:p>
        </w:tc>
        <w:tc>
          <w:tcPr>
            <w:tcW w:type="dxa" w:w="1728"/>
          </w:tcPr>
          <w:p>
            <w:pPr>
              <w:jc w:val="center"/>
            </w:pPr>
            <w:r/>
            <w:r>
              <w:rPr>
                <w:rFonts w:ascii="宋体" w:hAnsi="宋体" w:eastAsia="宋体"/>
                <w:b w:val="0"/>
                <w:sz w:val="20"/>
              </w:rPr>
              <w:t>3台</w:t>
            </w:r>
          </w:p>
        </w:tc>
        <w:tc>
          <w:tcPr>
            <w:tcW w:type="dxa" w:w="1728"/>
          </w:tcPr>
          <w:p>
            <w:pPr>
              <w:jc w:val="center"/>
            </w:pPr>
            <w:r/>
            <w:r>
              <w:rPr>
                <w:rFonts w:ascii="宋体" w:hAnsi="宋体" w:eastAsia="宋体"/>
                <w:b w:val="0"/>
                <w:sz w:val="20"/>
              </w:rPr>
              <w:t>对外提供前台页面访问服务</w:t>
            </w:r>
          </w:p>
        </w:tc>
      </w:tr>
      <w:tr>
        <w:tc>
          <w:tcPr>
            <w:tcW w:type="dxa" w:w="1728"/>
          </w:tcPr>
          <w:p>
            <w:pPr>
              <w:jc w:val="center"/>
            </w:pPr>
            <w:r/>
            <w:r>
              <w:rPr>
                <w:rFonts w:ascii="宋体" w:hAnsi="宋体" w:eastAsia="宋体"/>
                <w:b w:val="0"/>
                <w:sz w:val="20"/>
              </w:rPr>
              <w:t>2</w:t>
            </w:r>
          </w:p>
        </w:tc>
        <w:tc>
          <w:tcPr>
            <w:tcW w:type="dxa" w:w="1728"/>
          </w:tcPr>
          <w:p>
            <w:pPr>
              <w:jc w:val="center"/>
            </w:pPr>
            <w:r/>
            <w:r>
              <w:rPr>
                <w:rFonts w:ascii="宋体" w:hAnsi="宋体" w:eastAsia="宋体"/>
                <w:b w:val="0"/>
                <w:sz w:val="20"/>
              </w:rPr>
              <w:t>应用服务器</w:t>
            </w:r>
          </w:p>
        </w:tc>
        <w:tc>
          <w:tcPr>
            <w:tcW w:type="dxa" w:w="1728"/>
          </w:tcPr>
          <w:p>
            <w:pPr>
              <w:jc w:val="center"/>
            </w:pPr>
            <w:r/>
            <w:r>
              <w:rPr>
                <w:rFonts w:ascii="宋体" w:hAnsi="宋体" w:eastAsia="宋体"/>
                <w:b w:val="0"/>
                <w:sz w:val="20"/>
              </w:rPr>
              <w:t>统信UOS/麒麟Kylin OS</w:t>
            </w:r>
          </w:p>
        </w:tc>
        <w:tc>
          <w:tcPr>
            <w:tcW w:type="dxa" w:w="1728"/>
          </w:tcPr>
          <w:p>
            <w:pPr>
              <w:jc w:val="center"/>
            </w:pPr>
            <w:r/>
            <w:r>
              <w:rPr>
                <w:rFonts w:ascii="宋体" w:hAnsi="宋体" w:eastAsia="宋体"/>
                <w:b w:val="0"/>
                <w:sz w:val="20"/>
              </w:rPr>
              <w:t>2台</w:t>
            </w:r>
          </w:p>
        </w:tc>
        <w:tc>
          <w:tcPr>
            <w:tcW w:type="dxa" w:w="1728"/>
          </w:tcPr>
          <w:p>
            <w:pPr>
              <w:jc w:val="center"/>
            </w:pPr>
            <w:r/>
            <w:r>
              <w:rPr>
                <w:rFonts w:ascii="宋体" w:hAnsi="宋体" w:eastAsia="宋体"/>
                <w:b w:val="0"/>
                <w:sz w:val="20"/>
              </w:rPr>
              <w:t>运行网站群平台及管理系统</w:t>
            </w:r>
          </w:p>
        </w:tc>
      </w:tr>
      <w:tr>
        <w:tc>
          <w:tcPr>
            <w:tcW w:type="dxa" w:w="1728"/>
          </w:tcPr>
          <w:p>
            <w:pPr>
              <w:jc w:val="center"/>
            </w:pPr>
            <w:r/>
            <w:r>
              <w:rPr>
                <w:rFonts w:ascii="宋体" w:hAnsi="宋体" w:eastAsia="宋体"/>
                <w:b w:val="0"/>
                <w:sz w:val="20"/>
              </w:rPr>
              <w:t>3</w:t>
            </w:r>
          </w:p>
        </w:tc>
        <w:tc>
          <w:tcPr>
            <w:tcW w:type="dxa" w:w="1728"/>
          </w:tcPr>
          <w:p>
            <w:pPr>
              <w:jc w:val="center"/>
            </w:pPr>
            <w:r/>
            <w:r>
              <w:rPr>
                <w:rFonts w:ascii="宋体" w:hAnsi="宋体" w:eastAsia="宋体"/>
                <w:b w:val="0"/>
                <w:sz w:val="20"/>
              </w:rPr>
              <w:t>数据库服务器</w:t>
            </w:r>
          </w:p>
        </w:tc>
        <w:tc>
          <w:tcPr>
            <w:tcW w:type="dxa" w:w="1728"/>
          </w:tcPr>
          <w:p>
            <w:pPr>
              <w:jc w:val="center"/>
            </w:pPr>
            <w:r/>
            <w:r>
              <w:rPr>
                <w:rFonts w:ascii="宋体" w:hAnsi="宋体" w:eastAsia="宋体"/>
                <w:b w:val="0"/>
                <w:sz w:val="20"/>
              </w:rPr>
              <w:t>统信UOS/麒麟Kylin OS</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运行国产数据库（达梦/人大金仓）</w:t>
            </w:r>
          </w:p>
        </w:tc>
      </w:tr>
      <w:tr>
        <w:tc>
          <w:tcPr>
            <w:tcW w:type="dxa" w:w="1728"/>
          </w:tcPr>
          <w:p>
            <w:pPr>
              <w:jc w:val="center"/>
            </w:pPr>
            <w:r/>
            <w:r>
              <w:rPr>
                <w:rFonts w:ascii="宋体" w:hAnsi="宋体" w:eastAsia="宋体"/>
                <w:b w:val="0"/>
                <w:sz w:val="20"/>
              </w:rPr>
              <w:t>4</w:t>
            </w:r>
          </w:p>
        </w:tc>
        <w:tc>
          <w:tcPr>
            <w:tcW w:type="dxa" w:w="1728"/>
          </w:tcPr>
          <w:p>
            <w:pPr>
              <w:jc w:val="center"/>
            </w:pPr>
            <w:r/>
            <w:r>
              <w:rPr>
                <w:rFonts w:ascii="宋体" w:hAnsi="宋体" w:eastAsia="宋体"/>
                <w:b w:val="0"/>
                <w:sz w:val="20"/>
              </w:rPr>
              <w:t>备份服务器</w:t>
            </w:r>
          </w:p>
        </w:tc>
        <w:tc>
          <w:tcPr>
            <w:tcW w:type="dxa" w:w="1728"/>
          </w:tcPr>
          <w:p>
            <w:pPr>
              <w:jc w:val="center"/>
            </w:pPr>
            <w:r/>
            <w:r>
              <w:rPr>
                <w:rFonts w:ascii="宋体" w:hAnsi="宋体" w:eastAsia="宋体"/>
                <w:b w:val="0"/>
                <w:sz w:val="20"/>
              </w:rPr>
              <w:t>统信UOS/麒麟Kylin OS</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数据及文件完整备份</w:t>
            </w:r>
          </w:p>
        </w:tc>
      </w:tr>
    </w:tbl>
    <w:p/>
    <w:p>
      <w:r>
        <w:rPr>
          <w:rFonts w:ascii="宋体" w:hAnsi="宋体" w:eastAsia="宋体"/>
          <w:b/>
          <w:sz w:val="24"/>
        </w:rPr>
        <w:t>表2-2 数据库管理系统</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序号</w:t>
            </w:r>
          </w:p>
        </w:tc>
        <w:tc>
          <w:tcPr>
            <w:tcW w:type="dxa" w:w="1728"/>
          </w:tcPr>
          <w:p>
            <w:pPr>
              <w:jc w:val="center"/>
            </w:pPr>
            <w:r>
              <w:rPr>
                <w:b/>
                <w:sz w:val="20"/>
              </w:rPr>
              <w:t>软件名称</w:t>
            </w:r>
          </w:p>
        </w:tc>
        <w:tc>
          <w:tcPr>
            <w:tcW w:type="dxa" w:w="1728"/>
          </w:tcPr>
          <w:p>
            <w:pPr>
              <w:jc w:val="center"/>
            </w:pPr>
            <w:r>
              <w:rPr>
                <w:b/>
                <w:sz w:val="20"/>
              </w:rPr>
              <w:t>版本</w:t>
            </w:r>
          </w:p>
        </w:tc>
        <w:tc>
          <w:tcPr>
            <w:tcW w:type="dxa" w:w="1728"/>
          </w:tcPr>
          <w:p>
            <w:pPr>
              <w:jc w:val="center"/>
            </w:pPr>
            <w:r>
              <w:rPr>
                <w:b/>
                <w:sz w:val="20"/>
              </w:rPr>
              <w:t>数量</w:t>
            </w:r>
          </w:p>
        </w:tc>
        <w:tc>
          <w:tcPr>
            <w:tcW w:type="dxa" w:w="1728"/>
          </w:tcPr>
          <w:p>
            <w:pPr>
              <w:jc w:val="center"/>
            </w:pPr>
            <w:r>
              <w:rPr>
                <w:b/>
                <w:sz w:val="20"/>
              </w:rPr>
              <w:t>用途</w:t>
            </w:r>
          </w:p>
        </w:tc>
      </w:tr>
      <w:tr>
        <w:tc>
          <w:tcPr>
            <w:tcW w:type="dxa" w:w="1728"/>
          </w:tcPr>
          <w:p>
            <w:pPr>
              <w:jc w:val="center"/>
            </w:pPr>
            <w:r/>
            <w:r>
              <w:rPr>
                <w:rFonts w:ascii="宋体" w:hAnsi="宋体" w:eastAsia="宋体"/>
                <w:b w:val="0"/>
                <w:sz w:val="20"/>
              </w:rPr>
              <w:t>1</w:t>
            </w:r>
          </w:p>
        </w:tc>
        <w:tc>
          <w:tcPr>
            <w:tcW w:type="dxa" w:w="1728"/>
          </w:tcPr>
          <w:p>
            <w:pPr>
              <w:jc w:val="center"/>
            </w:pPr>
            <w:r/>
            <w:r>
              <w:rPr>
                <w:rFonts w:ascii="宋体" w:hAnsi="宋体" w:eastAsia="宋体"/>
                <w:b w:val="0"/>
                <w:sz w:val="20"/>
              </w:rPr>
              <w:t>达梦数据库/人大金仓</w:t>
            </w:r>
          </w:p>
        </w:tc>
        <w:tc>
          <w:tcPr>
            <w:tcW w:type="dxa" w:w="1728"/>
          </w:tcPr>
          <w:p>
            <w:pPr>
              <w:jc w:val="center"/>
            </w:pPr>
            <w:r/>
            <w:r>
              <w:rPr>
                <w:rFonts w:ascii="宋体" w:hAnsi="宋体" w:eastAsia="宋体"/>
                <w:b w:val="0"/>
                <w:sz w:val="20"/>
              </w:rPr>
              <w:t>V8及以上</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存储业务数据和管理数据</w:t>
            </w:r>
          </w:p>
        </w:tc>
      </w:tr>
    </w:tbl>
    <w:p/>
    <w:p>
      <w:r>
        <w:rPr>
          <w:rFonts w:ascii="宋体" w:hAnsi="宋体" w:eastAsia="宋体"/>
          <w:b/>
          <w:sz w:val="24"/>
        </w:rPr>
        <w:t>表2-3 网络及安全设备</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序号</w:t>
            </w:r>
          </w:p>
        </w:tc>
        <w:tc>
          <w:tcPr>
            <w:tcW w:type="dxa" w:w="1728"/>
          </w:tcPr>
          <w:p>
            <w:pPr>
              <w:jc w:val="center"/>
            </w:pPr>
            <w:r>
              <w:rPr>
                <w:b/>
                <w:sz w:val="20"/>
              </w:rPr>
              <w:t>设备名称</w:t>
            </w:r>
          </w:p>
        </w:tc>
        <w:tc>
          <w:tcPr>
            <w:tcW w:type="dxa" w:w="1728"/>
          </w:tcPr>
          <w:p>
            <w:pPr>
              <w:jc w:val="center"/>
            </w:pPr>
            <w:r>
              <w:rPr>
                <w:b/>
                <w:sz w:val="20"/>
              </w:rPr>
              <w:t>类型</w:t>
            </w:r>
          </w:p>
        </w:tc>
        <w:tc>
          <w:tcPr>
            <w:tcW w:type="dxa" w:w="1728"/>
          </w:tcPr>
          <w:p>
            <w:pPr>
              <w:jc w:val="center"/>
            </w:pPr>
            <w:r>
              <w:rPr>
                <w:b/>
                <w:sz w:val="20"/>
              </w:rPr>
              <w:t>数量</w:t>
            </w:r>
          </w:p>
        </w:tc>
        <w:tc>
          <w:tcPr>
            <w:tcW w:type="dxa" w:w="1728"/>
          </w:tcPr>
          <w:p>
            <w:pPr>
              <w:jc w:val="center"/>
            </w:pPr>
            <w:r>
              <w:rPr>
                <w:b/>
                <w:sz w:val="20"/>
              </w:rPr>
              <w:t>用途</w:t>
            </w:r>
          </w:p>
        </w:tc>
      </w:tr>
      <w:tr>
        <w:tc>
          <w:tcPr>
            <w:tcW w:type="dxa" w:w="1728"/>
          </w:tcPr>
          <w:p>
            <w:pPr>
              <w:jc w:val="center"/>
            </w:pPr>
            <w:r/>
            <w:r>
              <w:rPr>
                <w:rFonts w:ascii="宋体" w:hAnsi="宋体" w:eastAsia="宋体"/>
                <w:b w:val="0"/>
                <w:sz w:val="20"/>
              </w:rPr>
              <w:t>1</w:t>
            </w:r>
          </w:p>
        </w:tc>
        <w:tc>
          <w:tcPr>
            <w:tcW w:type="dxa" w:w="1728"/>
          </w:tcPr>
          <w:p>
            <w:pPr>
              <w:jc w:val="center"/>
            </w:pPr>
            <w:r/>
            <w:r>
              <w:rPr>
                <w:rFonts w:ascii="宋体" w:hAnsi="宋体" w:eastAsia="宋体"/>
                <w:b w:val="0"/>
                <w:sz w:val="20"/>
              </w:rPr>
              <w:t>虚拟Web防火墙</w:t>
            </w:r>
          </w:p>
        </w:tc>
        <w:tc>
          <w:tcPr>
            <w:tcW w:type="dxa" w:w="1728"/>
          </w:tcPr>
          <w:p>
            <w:pPr>
              <w:jc w:val="center"/>
            </w:pPr>
            <w:r/>
            <w:r>
              <w:rPr>
                <w:rFonts w:ascii="宋体" w:hAnsi="宋体" w:eastAsia="宋体"/>
                <w:b w:val="0"/>
                <w:sz w:val="20"/>
              </w:rPr>
              <w:t>应用安全</w:t>
            </w:r>
          </w:p>
        </w:tc>
        <w:tc>
          <w:tcPr>
            <w:tcW w:type="dxa" w:w="1728"/>
          </w:tcPr>
          <w:p>
            <w:pPr>
              <w:jc w:val="center"/>
            </w:pPr>
            <w:r/>
            <w:r>
              <w:rPr>
                <w:rFonts w:ascii="宋体" w:hAnsi="宋体" w:eastAsia="宋体"/>
                <w:b w:val="0"/>
                <w:sz w:val="20"/>
              </w:rPr>
              <w:t>2套</w:t>
            </w:r>
          </w:p>
        </w:tc>
        <w:tc>
          <w:tcPr>
            <w:tcW w:type="dxa" w:w="1728"/>
          </w:tcPr>
          <w:p>
            <w:pPr>
              <w:jc w:val="center"/>
            </w:pPr>
            <w:r/>
            <w:r>
              <w:rPr>
                <w:rFonts w:ascii="宋体" w:hAnsi="宋体" w:eastAsia="宋体"/>
                <w:b w:val="0"/>
                <w:sz w:val="20"/>
              </w:rPr>
              <w:t>Web应用层防护</w:t>
            </w:r>
          </w:p>
        </w:tc>
      </w:tr>
      <w:tr>
        <w:tc>
          <w:tcPr>
            <w:tcW w:type="dxa" w:w="1728"/>
          </w:tcPr>
          <w:p>
            <w:pPr>
              <w:jc w:val="center"/>
            </w:pPr>
            <w:r/>
            <w:r>
              <w:rPr>
                <w:rFonts w:ascii="宋体" w:hAnsi="宋体" w:eastAsia="宋体"/>
                <w:b w:val="0"/>
                <w:sz w:val="20"/>
              </w:rPr>
              <w:t>2</w:t>
            </w:r>
          </w:p>
        </w:tc>
        <w:tc>
          <w:tcPr>
            <w:tcW w:type="dxa" w:w="1728"/>
          </w:tcPr>
          <w:p>
            <w:pPr>
              <w:jc w:val="center"/>
            </w:pPr>
            <w:r/>
            <w:r>
              <w:rPr>
                <w:rFonts w:ascii="宋体" w:hAnsi="宋体" w:eastAsia="宋体"/>
                <w:b w:val="0"/>
                <w:sz w:val="20"/>
              </w:rPr>
              <w:t>虚拟防火墙</w:t>
            </w:r>
          </w:p>
        </w:tc>
        <w:tc>
          <w:tcPr>
            <w:tcW w:type="dxa" w:w="1728"/>
          </w:tcPr>
          <w:p>
            <w:pPr>
              <w:jc w:val="center"/>
            </w:pPr>
            <w:r/>
            <w:r>
              <w:rPr>
                <w:rFonts w:ascii="宋体" w:hAnsi="宋体" w:eastAsia="宋体"/>
                <w:b w:val="0"/>
                <w:sz w:val="20"/>
              </w:rPr>
              <w:t>网络安全</w:t>
            </w:r>
          </w:p>
        </w:tc>
        <w:tc>
          <w:tcPr>
            <w:tcW w:type="dxa" w:w="1728"/>
          </w:tcPr>
          <w:p>
            <w:pPr>
              <w:jc w:val="center"/>
            </w:pPr>
            <w:r/>
            <w:r>
              <w:rPr>
                <w:rFonts w:ascii="宋体" w:hAnsi="宋体" w:eastAsia="宋体"/>
                <w:b w:val="0"/>
                <w:sz w:val="20"/>
              </w:rPr>
              <w:t>2套</w:t>
            </w:r>
          </w:p>
        </w:tc>
        <w:tc>
          <w:tcPr>
            <w:tcW w:type="dxa" w:w="1728"/>
          </w:tcPr>
          <w:p>
            <w:pPr>
              <w:jc w:val="center"/>
            </w:pPr>
            <w:r/>
            <w:r>
              <w:rPr>
                <w:rFonts w:ascii="宋体" w:hAnsi="宋体" w:eastAsia="宋体"/>
                <w:b w:val="0"/>
                <w:sz w:val="20"/>
              </w:rPr>
              <w:t>网络层访问控制</w:t>
            </w:r>
          </w:p>
        </w:tc>
      </w:tr>
      <w:tr>
        <w:tc>
          <w:tcPr>
            <w:tcW w:type="dxa" w:w="1728"/>
          </w:tcPr>
          <w:p>
            <w:pPr>
              <w:jc w:val="center"/>
            </w:pPr>
            <w:r/>
            <w:r>
              <w:rPr>
                <w:rFonts w:ascii="宋体" w:hAnsi="宋体" w:eastAsia="宋体"/>
                <w:b w:val="0"/>
                <w:sz w:val="20"/>
              </w:rPr>
              <w:t>3</w:t>
            </w:r>
          </w:p>
        </w:tc>
        <w:tc>
          <w:tcPr>
            <w:tcW w:type="dxa" w:w="1728"/>
          </w:tcPr>
          <w:p>
            <w:pPr>
              <w:jc w:val="center"/>
            </w:pPr>
            <w:r/>
            <w:r>
              <w:rPr>
                <w:rFonts w:ascii="宋体" w:hAnsi="宋体" w:eastAsia="宋体"/>
                <w:b w:val="0"/>
                <w:sz w:val="20"/>
              </w:rPr>
              <w:t>虚拟入侵防御</w:t>
            </w:r>
          </w:p>
        </w:tc>
        <w:tc>
          <w:tcPr>
            <w:tcW w:type="dxa" w:w="1728"/>
          </w:tcPr>
          <w:p>
            <w:pPr>
              <w:jc w:val="center"/>
            </w:pPr>
            <w:r/>
            <w:r>
              <w:rPr>
                <w:rFonts w:ascii="宋体" w:hAnsi="宋体" w:eastAsia="宋体"/>
                <w:b w:val="0"/>
                <w:sz w:val="20"/>
              </w:rPr>
              <w:t>网络安全</w:t>
            </w:r>
          </w:p>
        </w:tc>
        <w:tc>
          <w:tcPr>
            <w:tcW w:type="dxa" w:w="1728"/>
          </w:tcPr>
          <w:p>
            <w:pPr>
              <w:jc w:val="center"/>
            </w:pPr>
            <w:r/>
            <w:r>
              <w:rPr>
                <w:rFonts w:ascii="宋体" w:hAnsi="宋体" w:eastAsia="宋体"/>
                <w:b w:val="0"/>
                <w:sz w:val="20"/>
              </w:rPr>
              <w:t>2套</w:t>
            </w:r>
          </w:p>
        </w:tc>
        <w:tc>
          <w:tcPr>
            <w:tcW w:type="dxa" w:w="1728"/>
          </w:tcPr>
          <w:p>
            <w:pPr>
              <w:jc w:val="center"/>
            </w:pPr>
            <w:r/>
            <w:r>
              <w:rPr>
                <w:rFonts w:ascii="宋体" w:hAnsi="宋体" w:eastAsia="宋体"/>
                <w:b w:val="0"/>
                <w:sz w:val="20"/>
              </w:rPr>
              <w:t>入侵检测与防御</w:t>
            </w:r>
          </w:p>
        </w:tc>
      </w:tr>
      <w:tr>
        <w:tc>
          <w:tcPr>
            <w:tcW w:type="dxa" w:w="1728"/>
          </w:tcPr>
          <w:p>
            <w:pPr>
              <w:jc w:val="center"/>
            </w:pPr>
            <w:r/>
            <w:r>
              <w:rPr>
                <w:rFonts w:ascii="宋体" w:hAnsi="宋体" w:eastAsia="宋体"/>
                <w:b w:val="0"/>
                <w:sz w:val="20"/>
              </w:rPr>
              <w:t>4</w:t>
            </w:r>
          </w:p>
        </w:tc>
        <w:tc>
          <w:tcPr>
            <w:tcW w:type="dxa" w:w="1728"/>
          </w:tcPr>
          <w:p>
            <w:pPr>
              <w:jc w:val="center"/>
            </w:pPr>
            <w:r/>
            <w:r>
              <w:rPr>
                <w:rFonts w:ascii="宋体" w:hAnsi="宋体" w:eastAsia="宋体"/>
                <w:b w:val="0"/>
                <w:sz w:val="20"/>
              </w:rPr>
              <w:t>防病毒</w:t>
            </w:r>
          </w:p>
        </w:tc>
        <w:tc>
          <w:tcPr>
            <w:tcW w:type="dxa" w:w="1728"/>
          </w:tcPr>
          <w:p>
            <w:pPr>
              <w:jc w:val="center"/>
            </w:pPr>
            <w:r/>
            <w:r>
              <w:rPr>
                <w:rFonts w:ascii="宋体" w:hAnsi="宋体" w:eastAsia="宋体"/>
                <w:b w:val="0"/>
                <w:sz w:val="20"/>
              </w:rPr>
              <w:t>终端安全</w:t>
            </w:r>
          </w:p>
        </w:tc>
        <w:tc>
          <w:tcPr>
            <w:tcW w:type="dxa" w:w="1728"/>
          </w:tcPr>
          <w:p>
            <w:pPr>
              <w:jc w:val="center"/>
            </w:pPr>
            <w:r/>
            <w:r>
              <w:rPr>
                <w:rFonts w:ascii="宋体" w:hAnsi="宋体" w:eastAsia="宋体"/>
                <w:b w:val="0"/>
                <w:sz w:val="20"/>
              </w:rPr>
              <w:t>4实例</w:t>
            </w:r>
          </w:p>
        </w:tc>
        <w:tc>
          <w:tcPr>
            <w:tcW w:type="dxa" w:w="1728"/>
          </w:tcPr>
          <w:p>
            <w:pPr>
              <w:jc w:val="center"/>
            </w:pPr>
            <w:r/>
            <w:r>
              <w:rPr>
                <w:rFonts w:ascii="宋体" w:hAnsi="宋体" w:eastAsia="宋体"/>
                <w:b w:val="0"/>
                <w:sz w:val="20"/>
              </w:rPr>
              <w:t>病毒防护</w:t>
            </w:r>
          </w:p>
        </w:tc>
      </w:tr>
      <w:tr>
        <w:tc>
          <w:tcPr>
            <w:tcW w:type="dxa" w:w="1728"/>
          </w:tcPr>
          <w:p>
            <w:pPr>
              <w:jc w:val="center"/>
            </w:pPr>
            <w:r/>
            <w:r>
              <w:rPr>
                <w:rFonts w:ascii="宋体" w:hAnsi="宋体" w:eastAsia="宋体"/>
                <w:b w:val="0"/>
                <w:sz w:val="20"/>
              </w:rPr>
              <w:t>5</w:t>
            </w:r>
          </w:p>
        </w:tc>
        <w:tc>
          <w:tcPr>
            <w:tcW w:type="dxa" w:w="1728"/>
          </w:tcPr>
          <w:p>
            <w:pPr>
              <w:jc w:val="center"/>
            </w:pPr>
            <w:r/>
            <w:r>
              <w:rPr>
                <w:rFonts w:ascii="宋体" w:hAnsi="宋体" w:eastAsia="宋体"/>
                <w:b w:val="0"/>
                <w:sz w:val="20"/>
              </w:rPr>
              <w:t>日志审计</w:t>
            </w:r>
          </w:p>
        </w:tc>
        <w:tc>
          <w:tcPr>
            <w:tcW w:type="dxa" w:w="1728"/>
          </w:tcPr>
          <w:p>
            <w:pPr>
              <w:jc w:val="center"/>
            </w:pPr>
            <w:r/>
            <w:r>
              <w:rPr>
                <w:rFonts w:ascii="宋体" w:hAnsi="宋体" w:eastAsia="宋体"/>
                <w:b w:val="0"/>
                <w:sz w:val="20"/>
              </w:rPr>
              <w:t>安全审计</w:t>
            </w:r>
          </w:p>
        </w:tc>
        <w:tc>
          <w:tcPr>
            <w:tcW w:type="dxa" w:w="1728"/>
          </w:tcPr>
          <w:p>
            <w:pPr>
              <w:jc w:val="center"/>
            </w:pPr>
            <w:r/>
            <w:r>
              <w:rPr>
                <w:rFonts w:ascii="宋体" w:hAnsi="宋体" w:eastAsia="宋体"/>
                <w:b w:val="0"/>
                <w:sz w:val="20"/>
              </w:rPr>
              <w:t>2套</w:t>
            </w:r>
          </w:p>
        </w:tc>
        <w:tc>
          <w:tcPr>
            <w:tcW w:type="dxa" w:w="1728"/>
          </w:tcPr>
          <w:p>
            <w:pPr>
              <w:jc w:val="center"/>
            </w:pPr>
            <w:r/>
            <w:r>
              <w:rPr>
                <w:rFonts w:ascii="宋体" w:hAnsi="宋体" w:eastAsia="宋体"/>
                <w:b w:val="0"/>
                <w:sz w:val="20"/>
              </w:rPr>
              <w:t>日志集中审计</w:t>
            </w:r>
          </w:p>
        </w:tc>
      </w:tr>
      <w:tr>
        <w:tc>
          <w:tcPr>
            <w:tcW w:type="dxa" w:w="1728"/>
          </w:tcPr>
          <w:p>
            <w:pPr>
              <w:jc w:val="center"/>
            </w:pPr>
            <w:r/>
            <w:r>
              <w:rPr>
                <w:rFonts w:ascii="宋体" w:hAnsi="宋体" w:eastAsia="宋体"/>
                <w:b w:val="0"/>
                <w:sz w:val="20"/>
              </w:rPr>
              <w:t>6</w:t>
            </w:r>
          </w:p>
        </w:tc>
        <w:tc>
          <w:tcPr>
            <w:tcW w:type="dxa" w:w="1728"/>
          </w:tcPr>
          <w:p>
            <w:pPr>
              <w:jc w:val="center"/>
            </w:pPr>
            <w:r/>
            <w:r>
              <w:rPr>
                <w:rFonts w:ascii="宋体" w:hAnsi="宋体" w:eastAsia="宋体"/>
                <w:b w:val="0"/>
                <w:sz w:val="20"/>
              </w:rPr>
              <w:t>数据库审计</w:t>
            </w:r>
          </w:p>
        </w:tc>
        <w:tc>
          <w:tcPr>
            <w:tcW w:type="dxa" w:w="1728"/>
          </w:tcPr>
          <w:p>
            <w:pPr>
              <w:jc w:val="center"/>
            </w:pPr>
            <w:r/>
            <w:r>
              <w:rPr>
                <w:rFonts w:ascii="宋体" w:hAnsi="宋体" w:eastAsia="宋体"/>
                <w:b w:val="0"/>
                <w:sz w:val="20"/>
              </w:rPr>
              <w:t>安全审计</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数据库操作审计</w:t>
            </w:r>
          </w:p>
        </w:tc>
      </w:tr>
      <w:tr>
        <w:tc>
          <w:tcPr>
            <w:tcW w:type="dxa" w:w="1728"/>
          </w:tcPr>
          <w:p>
            <w:pPr>
              <w:jc w:val="center"/>
            </w:pPr>
            <w:r/>
            <w:r>
              <w:rPr>
                <w:rFonts w:ascii="宋体" w:hAnsi="宋体" w:eastAsia="宋体"/>
                <w:b w:val="0"/>
                <w:sz w:val="20"/>
              </w:rPr>
              <w:t>7</w:t>
            </w:r>
          </w:p>
        </w:tc>
        <w:tc>
          <w:tcPr>
            <w:tcW w:type="dxa" w:w="1728"/>
          </w:tcPr>
          <w:p>
            <w:pPr>
              <w:jc w:val="center"/>
            </w:pPr>
            <w:r/>
            <w:r>
              <w:rPr>
                <w:rFonts w:ascii="宋体" w:hAnsi="宋体" w:eastAsia="宋体"/>
                <w:b w:val="0"/>
                <w:sz w:val="20"/>
              </w:rPr>
              <w:t>云堡垒机</w:t>
            </w:r>
          </w:p>
        </w:tc>
        <w:tc>
          <w:tcPr>
            <w:tcW w:type="dxa" w:w="1728"/>
          </w:tcPr>
          <w:p>
            <w:pPr>
              <w:jc w:val="center"/>
            </w:pPr>
            <w:r/>
            <w:r>
              <w:rPr>
                <w:rFonts w:ascii="宋体" w:hAnsi="宋体" w:eastAsia="宋体"/>
                <w:b w:val="0"/>
                <w:sz w:val="20"/>
              </w:rPr>
              <w:t>运维安全</w:t>
            </w:r>
          </w:p>
        </w:tc>
        <w:tc>
          <w:tcPr>
            <w:tcW w:type="dxa" w:w="1728"/>
          </w:tcPr>
          <w:p>
            <w:pPr>
              <w:jc w:val="center"/>
            </w:pPr>
            <w:r/>
            <w:r>
              <w:rPr>
                <w:rFonts w:ascii="宋体" w:hAnsi="宋体" w:eastAsia="宋体"/>
                <w:b w:val="0"/>
                <w:sz w:val="20"/>
              </w:rPr>
              <w:t>2套</w:t>
            </w:r>
          </w:p>
        </w:tc>
        <w:tc>
          <w:tcPr>
            <w:tcW w:type="dxa" w:w="1728"/>
          </w:tcPr>
          <w:p>
            <w:pPr>
              <w:jc w:val="center"/>
            </w:pPr>
            <w:r/>
            <w:r>
              <w:rPr>
                <w:rFonts w:ascii="宋体" w:hAnsi="宋体" w:eastAsia="宋体"/>
                <w:b w:val="0"/>
                <w:sz w:val="20"/>
              </w:rPr>
              <w:t>运维操作审计</w:t>
            </w:r>
          </w:p>
        </w:tc>
      </w:tr>
    </w:tbl>
    <w:p>
      <w:pPr>
        <w:pStyle w:val="Heading2"/>
      </w:pPr>
      <w:r>
        <w:rPr>
          <w:rFonts w:ascii="黑体" w:hAnsi="黑体" w:eastAsia="黑体"/>
        </w:rPr>
        <w:t>2.3  业务应用现状</w:t>
      </w:r>
    </w:p>
    <w:p>
      <w:pPr>
        <w:pStyle w:val="Heading3"/>
      </w:pPr>
      <w:r>
        <w:rPr>
          <w:rFonts w:ascii="黑体" w:hAnsi="黑体" w:eastAsia="黑体"/>
        </w:rPr>
        <w:t>2.3.1  业务应用基本情况</w:t>
      </w:r>
    </w:p>
    <w:p>
      <w:pPr>
        <w:ind w:firstLine="420"/>
      </w:pPr>
      <w:r>
        <w:rPr>
          <w:rFonts w:ascii="宋体" w:hAnsi="宋体" w:eastAsia="宋体"/>
          <w:b w:val="0"/>
          <w:sz w:val="24"/>
        </w:rPr>
        <w:t>本项目系统部署在成都市政务云信创平台互联网区中。平台的核心功能是面向公众提供贸促新闻动态、政务服务、展会信息等新闻宣传和信息服务，同时通过内容管理系统为政务用户提供信息采编、审核、发布全流程管理。</w:t>
      </w:r>
    </w:p>
    <w:p>
      <w:pPr>
        <w:ind w:firstLine="420"/>
      </w:pPr>
      <w:r>
        <w:rPr>
          <w:rFonts w:ascii="宋体" w:hAnsi="宋体" w:eastAsia="宋体"/>
          <w:b w:val="0"/>
          <w:sz w:val="24"/>
        </w:rPr>
        <w:t>中国国际贸易促进委员会成都市委员会门户网站责任主体：中国国际贸易促进委员会成都市委员会。</w:t>
      </w:r>
    </w:p>
    <w:p>
      <w:pPr>
        <w:pStyle w:val="Heading3"/>
      </w:pPr>
      <w:r>
        <w:rPr>
          <w:rFonts w:ascii="黑体" w:hAnsi="黑体" w:eastAsia="黑体"/>
        </w:rPr>
        <w:t>2.3.2  承载业务情况</w:t>
      </w:r>
    </w:p>
    <w:p>
      <w:r>
        <w:rPr>
          <w:rFonts w:ascii="宋体" w:hAnsi="宋体" w:eastAsia="宋体"/>
          <w:b/>
          <w:sz w:val="24"/>
        </w:rPr>
        <w:t>业务应用</w:t>
      </w:r>
    </w:p>
    <w:p>
      <w:pPr>
        <w:ind w:firstLine="420"/>
      </w:pPr>
      <w:r>
        <w:rPr>
          <w:rFonts w:ascii="宋体" w:hAnsi="宋体" w:eastAsia="宋体"/>
          <w:b w:val="0"/>
          <w:sz w:val="24"/>
        </w:rPr>
        <w:t>项目整体系统由Web区域、应用区域和备份区域组成。</w:t>
      </w:r>
    </w:p>
    <w:p>
      <w:pPr>
        <w:ind w:firstLine="420"/>
      </w:pPr>
      <w:r>
        <w:rPr>
          <w:rFonts w:ascii="宋体" w:hAnsi="宋体" w:eastAsia="宋体"/>
          <w:b w:val="0"/>
          <w:sz w:val="24"/>
        </w:rPr>
        <w:t>Web区域：实际配置三台虚拟服务器，对外提供前台页面访问服务。</w:t>
      </w:r>
    </w:p>
    <w:p>
      <w:pPr>
        <w:ind w:firstLine="420"/>
      </w:pPr>
      <w:r>
        <w:rPr>
          <w:rFonts w:ascii="宋体" w:hAnsi="宋体" w:eastAsia="宋体"/>
          <w:b w:val="0"/>
          <w:sz w:val="24"/>
        </w:rPr>
        <w:t>应用区域：实际配置两台虚拟服务器，运行网站群平台，对内提供站点管理及资料维护服务，另一台使用冷备方式部署，用于管理平台应用备份。</w:t>
      </w:r>
    </w:p>
    <w:p>
      <w:pPr>
        <w:ind w:firstLine="420"/>
      </w:pPr>
      <w:r>
        <w:rPr>
          <w:rFonts w:ascii="宋体" w:hAnsi="宋体" w:eastAsia="宋体"/>
          <w:b w:val="0"/>
          <w:sz w:val="24"/>
        </w:rPr>
        <w:t>备份区域：一台虚拟服务器，使用完全独立的磁盘或存储空间，与正式服务器完全独立，用于保存数据及所有文件的完整备份。</w:t>
      </w:r>
    </w:p>
    <w:p>
      <w:r>
        <w:rPr>
          <w:rFonts w:ascii="宋体" w:hAnsi="宋体" w:eastAsia="宋体"/>
          <w:b/>
          <w:sz w:val="24"/>
        </w:rPr>
        <w:t>业务功能</w:t>
      </w:r>
    </w:p>
    <w:p>
      <w:pPr>
        <w:ind w:firstLine="420"/>
      </w:pPr>
      <w:r>
        <w:rPr>
          <w:rFonts w:ascii="宋体" w:hAnsi="宋体" w:eastAsia="宋体"/>
          <w:b w:val="0"/>
          <w:sz w:val="24"/>
        </w:rPr>
        <w:t>中国国际贸易促进委员会成都市委员会门户网站，实现双核心驱动，将应用开放、智能搜索、用户分析、全媒体等系统体系化，实现共版发布。同时引入智能化管理技术和全媒体发布渠道，建立统一的媒体资源库，涵盖了全媒体的资源采集、信息编辑、内容发布、运营分析等全周期的管理。平台以智能化视角出发，以人工智能、语义识别、文本挖掘、自然语言处理等多种先进技术为支撑，构建一个更安全、更统一、更智能的集群化管理平台。</w:t>
      </w:r>
    </w:p>
    <w:p>
      <w:pPr>
        <w:ind w:firstLine="420"/>
      </w:pPr>
      <w:r>
        <w:rPr>
          <w:rFonts w:ascii="宋体" w:hAnsi="宋体" w:eastAsia="宋体"/>
          <w:b w:val="0"/>
          <w:sz w:val="24"/>
        </w:rPr>
        <w:t>业务流程主要包括：信息采编→内容编辑（调用行业敏感词库+AI智能纠错）→初审→复审→发布上线→用户访问。</w:t>
      </w:r>
    </w:p>
    <w:p>
      <w:r>
        <w:rPr>
          <w:rFonts w:ascii="宋体" w:hAnsi="宋体" w:eastAsia="宋体"/>
          <w:b/>
          <w:sz w:val="24"/>
        </w:rPr>
        <w:t>关键数据类型</w:t>
      </w:r>
    </w:p>
    <w:p>
      <w:pPr>
        <w:ind w:firstLine="420"/>
      </w:pPr>
      <w:r>
        <w:rPr>
          <w:rFonts w:ascii="宋体" w:hAnsi="宋体" w:eastAsia="宋体"/>
          <w:b w:val="0"/>
          <w:sz w:val="24"/>
        </w:rPr>
        <w:t>中国国际贸易促进委员会成都市委员会门户网站用户包括内容管理管理员和公众用户。涉及的重要数据包括：</w:t>
      </w:r>
    </w:p>
    <w:p>
      <w:r>
        <w:rPr>
          <w:rFonts w:ascii="宋体" w:hAnsi="宋体" w:eastAsia="宋体"/>
          <w:b w:val="0"/>
          <w:sz w:val="24"/>
        </w:rPr>
        <w:t>（1）鉴别数据：管理员账号、口令数据等；</w:t>
      </w:r>
    </w:p>
    <w:p>
      <w:r>
        <w:rPr>
          <w:rFonts w:ascii="宋体" w:hAnsi="宋体" w:eastAsia="宋体"/>
          <w:b w:val="0"/>
          <w:sz w:val="24"/>
        </w:rPr>
        <w:t>（2）重要业务数据：新闻动态、政务服务信息、展会信息、政策文件、工作动态等资讯数据；</w:t>
      </w:r>
    </w:p>
    <w:p>
      <w:r>
        <w:rPr>
          <w:rFonts w:ascii="宋体" w:hAnsi="宋体" w:eastAsia="宋体"/>
          <w:b w:val="0"/>
          <w:sz w:val="24"/>
        </w:rPr>
        <w:t>（3）个人敏感信息：咨询互动模块中公民提交的手机号、邮箱等个人信息；</w:t>
      </w:r>
    </w:p>
    <w:p>
      <w:r>
        <w:rPr>
          <w:rFonts w:ascii="宋体" w:hAnsi="宋体" w:eastAsia="宋体"/>
          <w:b w:val="0"/>
          <w:sz w:val="24"/>
        </w:rPr>
        <w:t>（4）日志数据：系统操作日志、访问日志、审计日志数据。</w:t>
      </w:r>
    </w:p>
    <w:p>
      <w:pPr>
        <w:ind w:firstLine="420"/>
      </w:pPr>
      <w:r>
        <w:rPr>
          <w:rFonts w:ascii="宋体" w:hAnsi="宋体" w:eastAsia="宋体"/>
          <w:b w:val="0"/>
          <w:sz w:val="24"/>
        </w:rPr>
        <w:t>现存数据量约为50GB（含文字、图片、附件等），年数据增长量约10-15GB，5年数据总量预估约100-125GB。</w:t>
      </w:r>
    </w:p>
    <w:p>
      <w:pPr>
        <w:pStyle w:val="Heading2"/>
      </w:pPr>
      <w:r>
        <w:rPr>
          <w:rFonts w:ascii="黑体" w:hAnsi="黑体" w:eastAsia="黑体"/>
        </w:rPr>
        <w:t>2.4  密码应用现状</w:t>
      </w:r>
    </w:p>
    <w:p>
      <w:pPr>
        <w:ind w:firstLine="420"/>
      </w:pPr>
      <w:r>
        <w:rPr>
          <w:rFonts w:ascii="宋体" w:hAnsi="宋体" w:eastAsia="宋体"/>
          <w:b w:val="0"/>
          <w:sz w:val="24"/>
        </w:rPr>
        <w:t>系统正在规划设计密码应用，按照GB/T 39786-2021《信息安全技术 信息系统密码应用基本要求》要求，完善密码基础设施，提升密码适用管理水平，推进密码在系统的用户身份鉴别、重要数据机密性、重要数据完整性、关键操作不可否认性等方面的应用。</w:t>
      </w:r>
    </w:p>
    <w:p>
      <w:pPr>
        <w:ind w:firstLine="420"/>
      </w:pPr>
      <w:r>
        <w:rPr>
          <w:rFonts w:ascii="宋体" w:hAnsi="宋体" w:eastAsia="宋体"/>
          <w:b w:val="0"/>
          <w:sz w:val="24"/>
        </w:rPr>
        <w:t>当前系统存在以下密码应用不足：</w:t>
      </w:r>
    </w:p>
    <w:p>
      <w:pPr>
        <w:ind w:firstLine="420"/>
      </w:pPr>
      <w:r>
        <w:rPr>
          <w:rFonts w:ascii="宋体" w:hAnsi="宋体" w:eastAsia="宋体"/>
          <w:b w:val="0"/>
          <w:sz w:val="24"/>
        </w:rPr>
        <w:t>（1）物理和环境安全层面：电子门禁系统和视频监控系统未采用国密算法，未使用密码技术对门禁进出记录和视频监控记录进行完整性保护；</w:t>
      </w:r>
    </w:p>
    <w:p>
      <w:pPr>
        <w:ind w:firstLine="420"/>
      </w:pPr>
      <w:r>
        <w:rPr>
          <w:rFonts w:ascii="宋体" w:hAnsi="宋体" w:eastAsia="宋体"/>
          <w:b w:val="0"/>
          <w:sz w:val="24"/>
        </w:rPr>
        <w:t>（2）网络和通信安全层面：互联网传输通道未采用国密VPN建立安全通信信道，未使用密码技术对通信实体进行身份鉴别、未对传输数据进行机密性和完整性保护；</w:t>
      </w:r>
    </w:p>
    <w:p>
      <w:pPr>
        <w:ind w:firstLine="420"/>
      </w:pPr>
      <w:r>
        <w:rPr>
          <w:rFonts w:ascii="宋体" w:hAnsi="宋体" w:eastAsia="宋体"/>
          <w:b w:val="0"/>
          <w:sz w:val="24"/>
        </w:rPr>
        <w:t>（3）设备和计算安全层面：设备登录未采用基于国密算法的智能密码钥匙进行身份鉴别，远程管理通道未采用国密算法建立安全连接；</w:t>
      </w:r>
    </w:p>
    <w:p>
      <w:pPr>
        <w:ind w:firstLine="420"/>
      </w:pPr>
      <w:r>
        <w:rPr>
          <w:rFonts w:ascii="宋体" w:hAnsi="宋体" w:eastAsia="宋体"/>
          <w:b w:val="0"/>
          <w:sz w:val="24"/>
        </w:rPr>
        <w:t>（4）应用和数据安全层面：应用系统用户身份鉴别未采用国密数字签名技术，重要数据存储未采用国密算法进行机密性和完整性保护；</w:t>
      </w:r>
    </w:p>
    <w:p>
      <w:pPr>
        <w:ind w:firstLine="420"/>
      </w:pPr>
      <w:r>
        <w:rPr>
          <w:rFonts w:ascii="宋体" w:hAnsi="宋体" w:eastAsia="宋体"/>
          <w:b w:val="0"/>
          <w:sz w:val="24"/>
        </w:rPr>
        <w:t>（5）管理制度层面：尚未制定密码安全管理制度和操作规范。</w:t>
      </w:r>
    </w:p>
    <w:p>
      <w:pPr>
        <w:pStyle w:val="Heading2"/>
      </w:pPr>
      <w:r>
        <w:rPr>
          <w:rFonts w:ascii="黑体" w:hAnsi="黑体" w:eastAsia="黑体"/>
        </w:rPr>
        <w:t>2.5  密码应用管理现状</w:t>
      </w:r>
    </w:p>
    <w:p>
      <w:pPr>
        <w:ind w:firstLine="420"/>
      </w:pPr>
      <w:r>
        <w:rPr>
          <w:rFonts w:ascii="宋体" w:hAnsi="宋体" w:eastAsia="宋体"/>
          <w:b w:val="0"/>
          <w:sz w:val="24"/>
        </w:rPr>
        <w:t>系统目前尚未制定相关密码安全制度，后期在密码应用方案中制定包含密码人员管理、密钥管理、建设运行、应急处置、密码软件及介质管理等在内的管理体系。</w:t>
      </w:r>
    </w:p>
    <w:p>
      <w:r>
        <w:br w:type="page"/>
      </w:r>
    </w:p>
    <w:p>
      <w:pPr>
        <w:pStyle w:val="Heading1"/>
      </w:pPr>
      <w:r>
        <w:rPr>
          <w:rFonts w:ascii="黑体" w:hAnsi="黑体" w:eastAsia="黑体"/>
        </w:rPr>
        <w:t>3  密码应用需求分析</w:t>
      </w:r>
    </w:p>
    <w:p>
      <w:pPr>
        <w:pStyle w:val="Heading2"/>
      </w:pPr>
      <w:r>
        <w:rPr>
          <w:rFonts w:ascii="黑体" w:hAnsi="黑体" w:eastAsia="黑体"/>
        </w:rPr>
        <w:t>3.1  计算平台安全需求分析</w:t>
      </w:r>
    </w:p>
    <w:p>
      <w:pPr>
        <w:ind w:firstLine="420"/>
      </w:pPr>
      <w:r>
        <w:rPr>
          <w:rFonts w:ascii="宋体" w:hAnsi="宋体" w:eastAsia="宋体"/>
          <w:b w:val="0"/>
          <w:sz w:val="24"/>
        </w:rPr>
        <w:t>结合系统安全风险控制需求，以及GB/T 39786-2021《信息安全技术 信息系统密码应用基本要求》对系统密码应用需求进行分析。</w:t>
      </w:r>
    </w:p>
    <w:p>
      <w:pPr>
        <w:pStyle w:val="Heading3"/>
      </w:pPr>
      <w:r>
        <w:rPr>
          <w:rFonts w:ascii="黑体" w:hAnsi="黑体" w:eastAsia="黑体"/>
        </w:rPr>
        <w:t>3.1.1  物理和环境安全</w:t>
      </w:r>
    </w:p>
    <w:p>
      <w:pPr>
        <w:ind w:firstLine="420"/>
      </w:pPr>
      <w:r>
        <w:rPr>
          <w:rFonts w:ascii="宋体" w:hAnsi="宋体" w:eastAsia="宋体"/>
          <w:b w:val="0"/>
          <w:sz w:val="24"/>
        </w:rPr>
        <w:t>物理和环境是指信息机房等重要场所。物理和环境安全是保障网络系统安全的前提。特别是对电子门禁和视频监控等需要采用密码技术保证重要区域进入人员身份的真实性，保证电子门禁进出记录和视频监控数据的完整性。</w:t>
      </w:r>
    </w:p>
    <w:p>
      <w:pPr>
        <w:ind w:firstLine="420"/>
      </w:pPr>
      <w:r>
        <w:rPr>
          <w:rFonts w:ascii="宋体" w:hAnsi="宋体" w:eastAsia="宋体"/>
          <w:b w:val="0"/>
          <w:sz w:val="24"/>
        </w:rPr>
        <w:t>曙光云数据中心机房部署了普通的电子门禁系统和视频监控系统，通过电子门禁系统控制、鉴别和记录进入的人员，关键出入口通过视频监控系统监控。</w:t>
      </w:r>
    </w:p>
    <w:p>
      <w:r>
        <w:rPr>
          <w:rFonts w:ascii="宋体" w:hAnsi="宋体" w:eastAsia="宋体"/>
          <w:b/>
          <w:sz w:val="24"/>
        </w:rPr>
        <w:t>(一)风险分析</w:t>
      </w:r>
    </w:p>
    <w:p>
      <w:pPr>
        <w:ind w:firstLine="420"/>
      </w:pPr>
      <w:r>
        <w:rPr>
          <w:rFonts w:ascii="宋体" w:hAnsi="宋体" w:eastAsia="宋体"/>
          <w:b w:val="0"/>
          <w:sz w:val="24"/>
        </w:rPr>
        <w:t>（1）身份鉴别：目前进出机房的工作人员采用刷IC卡或者输入密码的方式进行身份识别，未采用密码技术进行进入人员的身份鉴别，存在非法人员进入系统所在物理机房等重要物理环境，对软硬件设备和数据进行直接破坏的风险。</w:t>
      </w:r>
    </w:p>
    <w:p>
      <w:pPr>
        <w:ind w:firstLine="420"/>
      </w:pPr>
      <w:r>
        <w:rPr>
          <w:rFonts w:ascii="宋体" w:hAnsi="宋体" w:eastAsia="宋体"/>
          <w:b w:val="0"/>
          <w:sz w:val="24"/>
        </w:rPr>
        <w:t>（2）电子门禁记录数据存储完整性：未使用密码技术对电子门禁记录数据存储完整性进行保护，存在物理进出记录遭到非授权篡改，以掩盖非授权人员进出情况的风险。</w:t>
      </w:r>
    </w:p>
    <w:p>
      <w:pPr>
        <w:ind w:firstLine="420"/>
      </w:pPr>
      <w:r>
        <w:rPr>
          <w:rFonts w:ascii="宋体" w:hAnsi="宋体" w:eastAsia="宋体"/>
          <w:b w:val="0"/>
          <w:sz w:val="24"/>
        </w:rPr>
        <w:t>（3）视频监控记录数据存储完整性：未使用密码技术对视频监控记录数据存储完整性进行保护，存在视频记录遭到非授权篡改，以掩盖非授权人员进出情况的风险。</w:t>
      </w:r>
    </w:p>
    <w:p>
      <w:r>
        <w:rPr>
          <w:rFonts w:ascii="宋体" w:hAnsi="宋体" w:eastAsia="宋体"/>
          <w:b/>
          <w:sz w:val="24"/>
        </w:rPr>
        <w:t>(二)密码应用需求</w:t>
      </w:r>
    </w:p>
    <w:p>
      <w:pPr>
        <w:ind w:firstLine="420"/>
      </w:pPr>
      <w:r>
        <w:rPr>
          <w:rFonts w:ascii="宋体" w:hAnsi="宋体" w:eastAsia="宋体"/>
          <w:b w:val="0"/>
          <w:sz w:val="24"/>
        </w:rPr>
        <w:t>曙光云数据中心机房需部署GM/T 0036-2014标准要求的电子门禁系统对进出机房人员进行身份鉴别，部署符合密码相关国家、行业标准要求的国密门禁系统，采用合规的密码技术对门禁进出记录进行完整性保护；部署符合商用密码测评要求的视频监控系统，并对视频监控系统进出记录数据进行存储完整性保护。</w:t>
      </w:r>
    </w:p>
    <w:p>
      <w:pPr>
        <w:ind w:firstLine="420"/>
      </w:pPr>
      <w:r>
        <w:rPr>
          <w:rFonts w:ascii="宋体" w:hAnsi="宋体" w:eastAsia="宋体"/>
          <w:b w:val="0"/>
          <w:sz w:val="24"/>
        </w:rPr>
        <w:t>需保证系统中使用的密码算法符合法律、法规的规定和密码相关国家标准、行业标准的有关要求；需保证系统中使用的密码技术需遵循密码相关国家标准和行业标准；需保证系统中使用的密码产品均需符合GB/T 37092-2021的二级及以上的安全要求进行密钥的管理和密码运算。</w:t>
      </w:r>
    </w:p>
    <w:p>
      <w:pPr>
        <w:pStyle w:val="Heading3"/>
      </w:pPr>
      <w:r>
        <w:rPr>
          <w:rFonts w:ascii="黑体" w:hAnsi="黑体" w:eastAsia="黑体"/>
        </w:rPr>
        <w:t>3.1.2  网络和通信安全</w:t>
      </w:r>
    </w:p>
    <w:p>
      <w:pPr>
        <w:ind w:firstLine="420"/>
      </w:pPr>
      <w:r>
        <w:rPr>
          <w:rFonts w:ascii="宋体" w:hAnsi="宋体" w:eastAsia="宋体"/>
          <w:b w:val="0"/>
          <w:sz w:val="24"/>
        </w:rPr>
        <w:t>网络和通信安全层面主要针对跨网络访问的通信信道。主要从通信主体和网络类型两方面来确定网络和通信安全层面的描述对象：</w:t>
      </w:r>
    </w:p>
    <w:p>
      <w:pPr>
        <w:ind w:firstLine="420"/>
      </w:pPr>
      <w:r>
        <w:rPr>
          <w:rFonts w:ascii="宋体" w:hAnsi="宋体" w:eastAsia="宋体"/>
          <w:b w:val="0"/>
          <w:sz w:val="24"/>
        </w:rPr>
        <w:t>中国国际贸易促进委员会成都市委员会门户网站在网络和通信层面主要涉及以下通信信道：</w:t>
      </w:r>
    </w:p>
    <w:p>
      <w:r>
        <w:rPr>
          <w:rFonts w:ascii="宋体" w:hAnsi="宋体" w:eastAsia="宋体"/>
          <w:b w:val="0"/>
          <w:sz w:val="24"/>
        </w:rPr>
        <w:t>（1）公众用户PC端/移动端通过互联网访问门户网站之间的业务通信信道；</w:t>
      </w:r>
    </w:p>
    <w:p>
      <w:r>
        <w:rPr>
          <w:rFonts w:ascii="宋体" w:hAnsi="宋体" w:eastAsia="宋体"/>
          <w:b w:val="0"/>
          <w:sz w:val="24"/>
        </w:rPr>
        <w:t>（2）系统管理员PC端通过互联网访问内容管理系统之间的管理通信信道；</w:t>
      </w:r>
    </w:p>
    <w:p>
      <w:r>
        <w:rPr>
          <w:rFonts w:ascii="宋体" w:hAnsi="宋体" w:eastAsia="宋体"/>
          <w:b w:val="0"/>
          <w:sz w:val="24"/>
        </w:rPr>
        <w:t>（3）运维用户PC端通过互联网访问堡垒机之间的运维通信信道。</w:t>
      </w:r>
    </w:p>
    <w:p>
      <w:pPr>
        <w:ind w:firstLine="420"/>
      </w:pPr>
      <w:r>
        <w:rPr>
          <w:rFonts w:ascii="宋体" w:hAnsi="宋体" w:eastAsia="宋体"/>
          <w:b w:val="0"/>
          <w:sz w:val="24"/>
        </w:rPr>
        <w:t>系统与本单位其它系统对接通信信道属于同一个政务云平台，不涉及物理跨域，列为不适用项。</w:t>
      </w:r>
    </w:p>
    <w:p>
      <w:r>
        <w:rPr>
          <w:rFonts w:ascii="宋体" w:hAnsi="宋体" w:eastAsia="宋体"/>
          <w:b/>
          <w:sz w:val="24"/>
        </w:rPr>
        <w:t>(一)风险分析</w:t>
      </w:r>
    </w:p>
    <w:p>
      <w:pPr>
        <w:ind w:firstLine="420"/>
      </w:pPr>
      <w:r>
        <w:rPr>
          <w:rFonts w:ascii="宋体" w:hAnsi="宋体" w:eastAsia="宋体"/>
          <w:b w:val="0"/>
          <w:sz w:val="24"/>
        </w:rPr>
        <w:t>（1）身份鉴别</w:t>
      </w:r>
    </w:p>
    <w:p>
      <w:pPr>
        <w:ind w:firstLine="420"/>
      </w:pPr>
      <w:r>
        <w:rPr>
          <w:rFonts w:ascii="宋体" w:hAnsi="宋体" w:eastAsia="宋体"/>
          <w:b w:val="0"/>
          <w:sz w:val="24"/>
        </w:rPr>
        <w:t>公众用户PC端/移动端通过互联网访问门户网站之间的业务通信信道、系统管理员PC端通过互联网访问内容管理系统之间的管理通信信道和运维用户PC端通过互联网访问堡垒机之间的运维通信信道，使用http/https协议建立数据传输通道，通信前未使用密码技术对通信实体双方进行验证，存在非法通信实体接入网络的风险。</w:t>
      </w:r>
    </w:p>
    <w:p>
      <w:pPr>
        <w:ind w:firstLine="420"/>
      </w:pPr>
      <w:r>
        <w:rPr>
          <w:rFonts w:ascii="宋体" w:hAnsi="宋体" w:eastAsia="宋体"/>
          <w:b w:val="0"/>
          <w:sz w:val="24"/>
        </w:rPr>
        <w:t>（2）通信过程中重要数据的完整性</w:t>
      </w:r>
    </w:p>
    <w:p>
      <w:pPr>
        <w:ind w:firstLine="420"/>
      </w:pPr>
      <w:r>
        <w:rPr>
          <w:rFonts w:ascii="宋体" w:hAnsi="宋体" w:eastAsia="宋体"/>
          <w:b w:val="0"/>
          <w:sz w:val="24"/>
        </w:rPr>
        <w:t>上述通信信道未使用密码技术建立安全的数据传输通道实现数据传输的完整性保护，存在通信数据在信息系统外部被非授权的截取、篡改的风险。</w:t>
      </w:r>
    </w:p>
    <w:p>
      <w:pPr>
        <w:ind w:firstLine="420"/>
      </w:pPr>
      <w:r>
        <w:rPr>
          <w:rFonts w:ascii="宋体" w:hAnsi="宋体" w:eastAsia="宋体"/>
          <w:b w:val="0"/>
          <w:sz w:val="24"/>
        </w:rPr>
        <w:t>（3）通信过程中重要数据的机密性</w:t>
      </w:r>
    </w:p>
    <w:p>
      <w:pPr>
        <w:ind w:firstLine="420"/>
      </w:pPr>
      <w:r>
        <w:rPr>
          <w:rFonts w:ascii="宋体" w:hAnsi="宋体" w:eastAsia="宋体"/>
          <w:b w:val="0"/>
          <w:sz w:val="24"/>
        </w:rPr>
        <w:t>上述通信信道未使用密码技术建立安全的数据传输通道实现数据传输的机密性保护，存在通信数据在信息系统外部被非授权的截取、窃取的风险。</w:t>
      </w:r>
    </w:p>
    <w:p>
      <w:pPr>
        <w:ind w:firstLine="420"/>
      </w:pPr>
      <w:r>
        <w:rPr>
          <w:rFonts w:ascii="宋体" w:hAnsi="宋体" w:eastAsia="宋体"/>
          <w:b w:val="0"/>
          <w:sz w:val="24"/>
        </w:rPr>
        <w:t>（4）网络边界访问控制信息完整性</w:t>
      </w:r>
    </w:p>
    <w:p>
      <w:pPr>
        <w:ind w:firstLine="420"/>
      </w:pPr>
      <w:r>
        <w:rPr>
          <w:rFonts w:ascii="宋体" w:hAnsi="宋体" w:eastAsia="宋体"/>
          <w:b w:val="0"/>
          <w:sz w:val="24"/>
        </w:rPr>
        <w:t>上述通信信道未使用密码技术对该条信道的网络边界访问控制信息进行完整性保护，存在访问控制信息被非授权篡改的风险。</w:t>
      </w:r>
    </w:p>
    <w:p>
      <w:r>
        <w:rPr>
          <w:rFonts w:ascii="宋体" w:hAnsi="宋体" w:eastAsia="宋体"/>
          <w:b/>
          <w:sz w:val="24"/>
        </w:rPr>
        <w:t>(二)密码应用需求</w:t>
      </w:r>
    </w:p>
    <w:p>
      <w:pPr>
        <w:ind w:firstLine="420"/>
      </w:pPr>
      <w:r>
        <w:rPr>
          <w:rFonts w:ascii="宋体" w:hAnsi="宋体" w:eastAsia="宋体"/>
          <w:b w:val="0"/>
          <w:sz w:val="24"/>
        </w:rPr>
        <w:t>需在系统互联网边界部署VPN安全网关，采用国密数字证书实现通信实体的身份鉴别，建立国密SSL VPN通道保护传输数据的机密性和完整性，同时保护网络边界访问控制信息的完整性。对于公众用户访问通道，可部署SSL VPN安全网关实现基于国密证书的单向身份鉴别并建立国密https通道；对于管理用户和运维用户通道，需部署SSL VPN安全网关配合国密浏览器和智能密码钥匙实现双向身份鉴别并建立国密SSL VPN通道。</w:t>
      </w:r>
    </w:p>
    <w:p>
      <w:pPr>
        <w:pStyle w:val="Heading3"/>
      </w:pPr>
      <w:r>
        <w:rPr>
          <w:rFonts w:ascii="黑体" w:hAnsi="黑体" w:eastAsia="黑体"/>
        </w:rPr>
        <w:t>3.1.3  设备和计算安全</w:t>
      </w:r>
    </w:p>
    <w:p>
      <w:pPr>
        <w:ind w:firstLine="420"/>
      </w:pPr>
      <w:r>
        <w:rPr>
          <w:rFonts w:ascii="宋体" w:hAnsi="宋体" w:eastAsia="宋体"/>
          <w:b w:val="0"/>
          <w:sz w:val="24"/>
        </w:rPr>
        <w:t>设备和计算安全层面主要针对系统涉及的各类设备，包括通用设备（堡垒机、通用服务器等）和密码产品（VPN安全网关、服务器密码机、签名验签服务器等）。</w:t>
      </w:r>
    </w:p>
    <w:p>
      <w:r>
        <w:rPr>
          <w:rFonts w:ascii="宋体" w:hAnsi="宋体" w:eastAsia="宋体"/>
          <w:b/>
          <w:sz w:val="24"/>
        </w:rPr>
        <w:t>(一)风险分析</w:t>
      </w:r>
    </w:p>
    <w:p>
      <w:pPr>
        <w:ind w:firstLine="420"/>
      </w:pPr>
      <w:r>
        <w:rPr>
          <w:rFonts w:ascii="宋体" w:hAnsi="宋体" w:eastAsia="宋体"/>
          <w:b w:val="0"/>
          <w:sz w:val="24"/>
        </w:rPr>
        <w:t>（1）身份鉴别：堡垒机、通用服务器（应用服务器、数据库服务器）、密码产品等设备登录未采用基于密码技术的身份鉴别，存在设备被非法登录的风险。</w:t>
      </w:r>
    </w:p>
    <w:p>
      <w:pPr>
        <w:ind w:firstLine="420"/>
      </w:pPr>
      <w:r>
        <w:rPr>
          <w:rFonts w:ascii="宋体" w:hAnsi="宋体" w:eastAsia="宋体"/>
          <w:b w:val="0"/>
          <w:sz w:val="24"/>
        </w:rPr>
        <w:t>（2）远程管理通道安全：设备远程管理通道未采用密码技术保证安全，存在管理信息被截取和篡改的风险。</w:t>
      </w:r>
    </w:p>
    <w:p>
      <w:pPr>
        <w:ind w:firstLine="420"/>
      </w:pPr>
      <w:r>
        <w:rPr>
          <w:rFonts w:ascii="宋体" w:hAnsi="宋体" w:eastAsia="宋体"/>
          <w:b w:val="0"/>
          <w:sz w:val="24"/>
        </w:rPr>
        <w:t>（3）系统资源访问控制信息完整性、日志记录完整性、重要可执行程序完整性及来源真实性：相关设备暂未使用密码技术进行保护。</w:t>
      </w:r>
    </w:p>
    <w:p>
      <w:r>
        <w:rPr>
          <w:rFonts w:ascii="宋体" w:hAnsi="宋体" w:eastAsia="宋体"/>
          <w:b/>
          <w:sz w:val="24"/>
        </w:rPr>
        <w:t>(二)密码应用需求</w:t>
      </w:r>
    </w:p>
    <w:p>
      <w:pPr>
        <w:ind w:firstLine="420"/>
      </w:pPr>
      <w:r>
        <w:rPr>
          <w:rFonts w:ascii="宋体" w:hAnsi="宋体" w:eastAsia="宋体"/>
          <w:b w:val="0"/>
          <w:sz w:val="24"/>
        </w:rPr>
        <w:t>需为运维人员配发智能密码钥匙，通过VPN安全网关与堡垒机相结合的方式实现对设备登录的身份鉴别和远程管理通道安全保护；需采用密码技术保证系统资源访问控制信息完整性、日志记录完整性，重要可执行程序完整性及来源真实性复用产品检测结果。</w:t>
      </w:r>
    </w:p>
    <w:p>
      <w:pPr>
        <w:pStyle w:val="Heading2"/>
      </w:pPr>
      <w:r>
        <w:rPr>
          <w:rFonts w:ascii="黑体" w:hAnsi="黑体" w:eastAsia="黑体"/>
        </w:rPr>
        <w:t>3.2  业务应用安全分析</w:t>
      </w:r>
    </w:p>
    <w:p>
      <w:pPr>
        <w:ind w:firstLine="420"/>
      </w:pPr>
      <w:r>
        <w:rPr>
          <w:rFonts w:ascii="宋体" w:hAnsi="宋体" w:eastAsia="宋体"/>
          <w:b w:val="0"/>
          <w:sz w:val="24"/>
        </w:rPr>
        <w:t>应用和数据安全层面主要针对业务应用和数据。</w:t>
      </w:r>
    </w:p>
    <w:p>
      <w:r>
        <w:rPr>
          <w:rFonts w:ascii="宋体" w:hAnsi="宋体" w:eastAsia="宋体"/>
          <w:b/>
          <w:sz w:val="24"/>
        </w:rPr>
        <w:t>(一)风险分析</w:t>
      </w:r>
    </w:p>
    <w:p>
      <w:pPr>
        <w:ind w:firstLine="420"/>
      </w:pPr>
      <w:r>
        <w:rPr>
          <w:rFonts w:ascii="宋体" w:hAnsi="宋体" w:eastAsia="宋体"/>
          <w:b w:val="0"/>
          <w:sz w:val="24"/>
        </w:rPr>
        <w:t>（1）身份鉴别：公众用户无需身份鉴别；管理用户登录采用"用户名+口令"方式，未采用密码技术进行身份鉴别，存在管理员账号被冒用的风险。</w:t>
      </w:r>
    </w:p>
    <w:p>
      <w:pPr>
        <w:ind w:firstLine="420"/>
      </w:pPr>
      <w:r>
        <w:rPr>
          <w:rFonts w:ascii="宋体" w:hAnsi="宋体" w:eastAsia="宋体"/>
          <w:b w:val="0"/>
          <w:sz w:val="24"/>
        </w:rPr>
        <w:t>（2）访问控制信息完整性：应用系统访问控制信息未采用密码技术进行完整性保护，存在权限信息被篡改的风险。</w:t>
      </w:r>
    </w:p>
    <w:p>
      <w:pPr>
        <w:ind w:firstLine="420"/>
      </w:pPr>
      <w:r>
        <w:rPr>
          <w:rFonts w:ascii="宋体" w:hAnsi="宋体" w:eastAsia="宋体"/>
          <w:b w:val="0"/>
          <w:sz w:val="24"/>
        </w:rPr>
        <w:t>（3）重要数据传输机密性和完整性：应用层重要数据传输由网络和通信安全层面构建的安全通道进行缓解。</w:t>
      </w:r>
    </w:p>
    <w:p>
      <w:pPr>
        <w:ind w:firstLine="420"/>
      </w:pPr>
      <w:r>
        <w:rPr>
          <w:rFonts w:ascii="宋体" w:hAnsi="宋体" w:eastAsia="宋体"/>
          <w:b w:val="0"/>
          <w:sz w:val="24"/>
        </w:rPr>
        <w:t>（4）重要数据存储机密性：鉴别数据（管理员口令）、个人敏感信息（手机号、邮箱等）、重要业务数据等在数据库中未采用密码技术进行加密存储，存在数据泄露的风险。</w:t>
      </w:r>
    </w:p>
    <w:p>
      <w:pPr>
        <w:ind w:firstLine="420"/>
      </w:pPr>
      <w:r>
        <w:rPr>
          <w:rFonts w:ascii="宋体" w:hAnsi="宋体" w:eastAsia="宋体"/>
          <w:b w:val="0"/>
          <w:sz w:val="24"/>
        </w:rPr>
        <w:t>（5）重要数据存储完整性：重要数据存储未采用密码技术进行完整性保护，存在数据被非授权篡改的风险。</w:t>
      </w:r>
    </w:p>
    <w:p>
      <w:r>
        <w:rPr>
          <w:rFonts w:ascii="宋体" w:hAnsi="宋体" w:eastAsia="宋体"/>
          <w:b/>
          <w:sz w:val="24"/>
        </w:rPr>
        <w:t>(二)密码应用需求</w:t>
      </w:r>
    </w:p>
    <w:p>
      <w:pPr>
        <w:ind w:firstLine="420"/>
      </w:pPr>
      <w:r>
        <w:rPr>
          <w:rFonts w:ascii="宋体" w:hAnsi="宋体" w:eastAsia="宋体"/>
          <w:b w:val="0"/>
          <w:sz w:val="24"/>
        </w:rPr>
        <w:t>需为管理用户配发智能密码钥匙，采用SM2数字签名技术进行身份鉴别；需部署服务器密码机或签名验签服务器，采用HMAC-SM3或SM2-SM3技术对访问控制信息和重要数据存储进行完整性保护；需部署服务器密码机，采用SM4-CBC算法对鉴别数据、个人敏感信息、重要业务数据等进行加密存储。</w:t>
      </w:r>
    </w:p>
    <w:p>
      <w:pPr>
        <w:pStyle w:val="Heading2"/>
      </w:pPr>
      <w:r>
        <w:rPr>
          <w:rFonts w:ascii="黑体" w:hAnsi="黑体" w:eastAsia="黑体"/>
        </w:rPr>
        <w:t>3.3  管理要求安全分析</w:t>
      </w:r>
    </w:p>
    <w:p>
      <w:pPr>
        <w:ind w:firstLine="420"/>
      </w:pPr>
      <w:r>
        <w:rPr>
          <w:rFonts w:ascii="宋体" w:hAnsi="宋体" w:eastAsia="宋体"/>
          <w:b w:val="0"/>
          <w:sz w:val="24"/>
        </w:rPr>
        <w:t>系统目前尚未制定密码安全管理制度，需要对管理制度、人员管理、建设运行、应急处置等方面进行完善：</w:t>
      </w:r>
    </w:p>
    <w:p>
      <w:pPr>
        <w:ind w:firstLine="420"/>
      </w:pPr>
      <w:r>
        <w:rPr>
          <w:rFonts w:ascii="宋体" w:hAnsi="宋体" w:eastAsia="宋体"/>
          <w:b w:val="0"/>
          <w:sz w:val="24"/>
        </w:rPr>
        <w:t>（1）管理制度：需制定包含密码人员管理、密钥管理、建设运行、应急处置、密码软件及介质管理等在内的密码安全管理制度和操作规范；</w:t>
      </w:r>
    </w:p>
    <w:p>
      <w:pPr>
        <w:ind w:firstLine="420"/>
      </w:pPr>
      <w:r>
        <w:rPr>
          <w:rFonts w:ascii="宋体" w:hAnsi="宋体" w:eastAsia="宋体"/>
          <w:b w:val="0"/>
          <w:sz w:val="24"/>
        </w:rPr>
        <w:t>（2）人员管理：需设置密钥管理员、安全审计员、密码操作员等岗位，明确各岗位职责，建立培训考核和离岗管理制度；</w:t>
      </w:r>
    </w:p>
    <w:p>
      <w:pPr>
        <w:ind w:firstLine="420"/>
      </w:pPr>
      <w:r>
        <w:rPr>
          <w:rFonts w:ascii="宋体" w:hAnsi="宋体" w:eastAsia="宋体"/>
          <w:b w:val="0"/>
          <w:sz w:val="24"/>
        </w:rPr>
        <w:t>（3）建设运行：需制定密码应用方案并经密评机构评估，建设完成后委托密评机构进行评估，上线后每年进行一次密码应用安全性评估；</w:t>
      </w:r>
    </w:p>
    <w:p>
      <w:pPr>
        <w:ind w:firstLine="420"/>
      </w:pPr>
      <w:r>
        <w:rPr>
          <w:rFonts w:ascii="宋体" w:hAnsi="宋体" w:eastAsia="宋体"/>
          <w:b w:val="0"/>
          <w:sz w:val="24"/>
        </w:rPr>
        <w:t>（4）应急处置：需制定密码应用安全事件应急策略，明确应急处理流程及上报机制。</w:t>
      </w:r>
    </w:p>
    <w:p>
      <w:r>
        <w:br w:type="page"/>
      </w:r>
    </w:p>
    <w:p>
      <w:pPr>
        <w:pStyle w:val="Heading1"/>
      </w:pPr>
      <w:r>
        <w:rPr>
          <w:rFonts w:ascii="黑体" w:hAnsi="黑体" w:eastAsia="黑体"/>
        </w:rPr>
        <w:t>4  安全目标及设计原则</w:t>
      </w:r>
    </w:p>
    <w:p>
      <w:pPr>
        <w:pStyle w:val="Heading2"/>
      </w:pPr>
      <w:r>
        <w:rPr>
          <w:rFonts w:ascii="黑体" w:hAnsi="黑体" w:eastAsia="黑体"/>
        </w:rPr>
        <w:t>4.1  安全目标</w:t>
      </w:r>
    </w:p>
    <w:p>
      <w:pPr>
        <w:ind w:firstLine="420"/>
      </w:pPr>
      <w:r>
        <w:rPr>
          <w:rFonts w:ascii="宋体" w:hAnsi="宋体" w:eastAsia="宋体"/>
          <w:b w:val="0"/>
          <w:sz w:val="24"/>
        </w:rPr>
        <w:t>此项目遵循《中华人民共和国密码法》与商用密码的相关规定，在符合网络安全等级保护和GB/T 39786-2021《信息安全技术 信息系统密码应用基本要求》、GB/T 43207-2023《信息安全技术 信息系统密码应用设计指南》等标准的基础上制定信息系统密码使用计划。此项目关注物理环境安全、网络通信安全、设备计算安全以及应用和数据安全等领域，通过使用国内的商用密码产品和技术来应对传统密码服务性能低下、密钥安全风险高以及数据隐私泄露等安全问题，有效提高密码资源的利用率，从而为提供密码服务。</w:t>
      </w:r>
    </w:p>
    <w:p>
      <w:pPr>
        <w:ind w:firstLine="420"/>
      </w:pPr>
      <w:r>
        <w:rPr>
          <w:rFonts w:ascii="宋体" w:hAnsi="宋体" w:eastAsia="宋体"/>
          <w:b w:val="0"/>
          <w:sz w:val="24"/>
        </w:rPr>
        <w:t>建成后的项目能够为中国国际贸易促进委员会成都市委员会门户网站提供包括身份鉴别、机密性、完整性以及不可否认性保护在内的多项密码防护措施，以确保系统安全稳定地运行并提供高效的密码支持，确保满足国家密码管理局对于密码应用合规性、正确性以及有效性的需求。项目的实施有利于提升的信息技术水平，实现系统在可控制、可信度、可管理、可监督以及可追踪方面的全面改进，并推动信息资源在经济发展和社会进步中的重要作用，促进信息服务产业的发展。</w:t>
      </w:r>
    </w:p>
    <w:p>
      <w:pPr>
        <w:pStyle w:val="Heading2"/>
      </w:pPr>
      <w:r>
        <w:rPr>
          <w:rFonts w:ascii="黑体" w:hAnsi="黑体" w:eastAsia="黑体"/>
        </w:rPr>
        <w:t>4.2  设计原则与依据</w:t>
      </w:r>
    </w:p>
    <w:p>
      <w:pPr>
        <w:pStyle w:val="Heading3"/>
      </w:pPr>
      <w:r>
        <w:rPr>
          <w:rFonts w:ascii="黑体" w:hAnsi="黑体" w:eastAsia="黑体"/>
        </w:rPr>
        <w:t>4.2.1  密码应用设计原则</w:t>
      </w:r>
    </w:p>
    <w:p>
      <w:r>
        <w:rPr>
          <w:rFonts w:ascii="宋体" w:hAnsi="宋体" w:eastAsia="宋体"/>
          <w:b/>
          <w:sz w:val="24"/>
        </w:rPr>
        <w:t>总体性原则</w:t>
      </w:r>
    </w:p>
    <w:p>
      <w:pPr>
        <w:ind w:firstLine="420"/>
      </w:pPr>
      <w:r>
        <w:rPr>
          <w:rFonts w:ascii="宋体" w:hAnsi="宋体" w:eastAsia="宋体"/>
          <w:b w:val="0"/>
          <w:sz w:val="24"/>
        </w:rPr>
        <w:t>按照GB/T 39786-2021《信息安全技术 信息系统密码应用基本要求》，通过从整体层面，对本系统的密码应用开展顶层设计，明确密码应用需求和预期目标，并与本系统网络安全等级保护相结合，通过系统的设计形成涵盖技术、管理、实施保障的整体方案，为在本系统中落实密码应用相关要求奠定基础。</w:t>
      </w:r>
    </w:p>
    <w:p>
      <w:r>
        <w:rPr>
          <w:rFonts w:ascii="宋体" w:hAnsi="宋体" w:eastAsia="宋体"/>
          <w:b/>
          <w:sz w:val="24"/>
        </w:rPr>
        <w:t>科学性原则</w:t>
      </w:r>
    </w:p>
    <w:p>
      <w:pPr>
        <w:ind w:firstLine="420"/>
      </w:pPr>
      <w:r>
        <w:rPr>
          <w:rFonts w:ascii="宋体" w:hAnsi="宋体" w:eastAsia="宋体"/>
          <w:b w:val="0"/>
          <w:sz w:val="24"/>
        </w:rPr>
        <w:t>综合考虑本系统的密码需求、管理需求和整体规划，有针对性地进行密码技术的选取及密码管理策略的制定，合理整合和部署密码资源，确保密码应用方案的设计能够切实有效地解决系统应用中存在的安全问题。</w:t>
      </w:r>
    </w:p>
    <w:p>
      <w:r>
        <w:rPr>
          <w:rFonts w:ascii="宋体" w:hAnsi="宋体" w:eastAsia="宋体"/>
          <w:b/>
          <w:sz w:val="24"/>
        </w:rPr>
        <w:t>完备性原则</w:t>
      </w:r>
    </w:p>
    <w:p>
      <w:pPr>
        <w:ind w:firstLine="420"/>
      </w:pPr>
      <w:r>
        <w:rPr>
          <w:rFonts w:ascii="宋体" w:hAnsi="宋体" w:eastAsia="宋体"/>
          <w:b w:val="0"/>
          <w:sz w:val="24"/>
        </w:rPr>
        <w:t>围绕本系统实际业务应用与安全保护等级，站在整体角度，通过自上而下的体系化设计，综合考虑物理和环境安全、网络和通信安全、设备和计算安全、应用和数据安全等多个层面密码应用需求，设计本系统密码改造方案。</w:t>
      </w:r>
    </w:p>
    <w:p>
      <w:r>
        <w:rPr>
          <w:rFonts w:ascii="宋体" w:hAnsi="宋体" w:eastAsia="宋体"/>
          <w:b/>
          <w:sz w:val="24"/>
        </w:rPr>
        <w:t>可行性原则</w:t>
      </w:r>
    </w:p>
    <w:p>
      <w:pPr>
        <w:ind w:firstLine="420"/>
      </w:pPr>
      <w:r>
        <w:rPr>
          <w:rFonts w:ascii="宋体" w:hAnsi="宋体" w:eastAsia="宋体"/>
          <w:b w:val="0"/>
          <w:sz w:val="24"/>
        </w:rPr>
        <w:t>密码应用方案应切合实际、便于实现，全面考虑系统的复杂性、实际运行环境和建设难点，注重实施的可行性和操作的便利性，能够有效指导系统进行密码应用建设，并能够作为系统验收和密码应用安全性评估的参考依据。</w:t>
      </w:r>
    </w:p>
    <w:p>
      <w:r>
        <w:rPr>
          <w:rFonts w:ascii="宋体" w:hAnsi="宋体" w:eastAsia="宋体"/>
          <w:b/>
          <w:sz w:val="24"/>
        </w:rPr>
        <w:t>合规性原则</w:t>
      </w:r>
    </w:p>
    <w:p>
      <w:pPr>
        <w:ind w:firstLine="420"/>
      </w:pPr>
      <w:r>
        <w:rPr>
          <w:rFonts w:ascii="宋体" w:hAnsi="宋体" w:eastAsia="宋体"/>
          <w:b w:val="0"/>
          <w:sz w:val="24"/>
        </w:rPr>
        <w:t>密码应用方案中使用的密码算法应符合国家有关法律法规的要求，密码技术应符合国家及行业相关标准，涉及国家安全、国计民生、社会公共利益的重要信息系统需经商用密码认证机构认证合格的密码产品和服务。</w:t>
      </w:r>
    </w:p>
    <w:p>
      <w:pPr>
        <w:pStyle w:val="Heading3"/>
      </w:pPr>
      <w:r>
        <w:rPr>
          <w:rFonts w:ascii="黑体" w:hAnsi="黑体" w:eastAsia="黑体"/>
        </w:rPr>
        <w:t>4.2.2  密码应用设计依据</w:t>
      </w:r>
    </w:p>
    <w:p>
      <w:pPr>
        <w:ind w:firstLine="420"/>
      </w:pPr>
      <w:r>
        <w:rPr>
          <w:rFonts w:ascii="宋体" w:hAnsi="宋体" w:eastAsia="宋体"/>
          <w:b w:val="0"/>
          <w:sz w:val="24"/>
        </w:rPr>
        <w:t>方案设计参考以下法律法规及规范性文件：</w:t>
      </w:r>
    </w:p>
    <w:p>
      <w:pPr>
        <w:pStyle w:val="ListBullet"/>
      </w:pPr>
      <w:r>
        <w:rPr>
          <w:sz w:val="24"/>
        </w:rPr>
        <w:t>《中华人民共和国密码法》</w:t>
      </w:r>
    </w:p>
    <w:p>
      <w:pPr>
        <w:pStyle w:val="ListBullet"/>
      </w:pPr>
      <w:r>
        <w:rPr>
          <w:sz w:val="24"/>
        </w:rPr>
        <w:t>《商用密码管理条例》</w:t>
      </w:r>
    </w:p>
    <w:p>
      <w:pPr>
        <w:pStyle w:val="ListBullet"/>
      </w:pPr>
      <w:r>
        <w:rPr>
          <w:sz w:val="24"/>
        </w:rPr>
        <w:t>《中华人民共和国电子签名法》</w:t>
      </w:r>
    </w:p>
    <w:p>
      <w:pPr>
        <w:pStyle w:val="ListBullet"/>
      </w:pPr>
      <w:r>
        <w:rPr>
          <w:sz w:val="24"/>
        </w:rPr>
        <w:t>《中华人民共和国网络安全法》</w:t>
      </w:r>
    </w:p>
    <w:p>
      <w:pPr>
        <w:pStyle w:val="ListBullet"/>
      </w:pPr>
      <w:r>
        <w:rPr>
          <w:sz w:val="24"/>
        </w:rPr>
        <w:t>《中华人民共和国数据安全法》</w:t>
      </w:r>
    </w:p>
    <w:p>
      <w:pPr>
        <w:pStyle w:val="ListBullet"/>
      </w:pPr>
      <w:r>
        <w:rPr>
          <w:sz w:val="24"/>
        </w:rPr>
        <w:t>《关键信息基础设施商用密码使用管理规定》</w:t>
      </w:r>
    </w:p>
    <w:p>
      <w:pPr>
        <w:pStyle w:val="ListBullet"/>
      </w:pPr>
      <w:r>
        <w:rPr>
          <w:sz w:val="24"/>
        </w:rPr>
        <w:t>GB/T 39786-2021 《信息安全技术 信息系统密码应用基本要求》</w:t>
      </w:r>
    </w:p>
    <w:p>
      <w:pPr>
        <w:pStyle w:val="ListBullet"/>
      </w:pPr>
      <w:r>
        <w:rPr>
          <w:sz w:val="24"/>
        </w:rPr>
        <w:t>GB/T 43206-2023 《信息安全技术 信息系统密码应用测评要求》</w:t>
      </w:r>
    </w:p>
    <w:p>
      <w:pPr>
        <w:pStyle w:val="ListBullet"/>
      </w:pPr>
      <w:r>
        <w:rPr>
          <w:sz w:val="24"/>
        </w:rPr>
        <w:t>GB/T 43207-2023 《信息安全技术 信息系统密码应用设计指南》</w:t>
      </w:r>
    </w:p>
    <w:p>
      <w:pPr>
        <w:pStyle w:val="ListBullet"/>
      </w:pPr>
      <w:r>
        <w:rPr>
          <w:sz w:val="24"/>
        </w:rPr>
        <w:t>GM/T 0115-2021 《信息系统密码应用测评要求》</w:t>
      </w:r>
    </w:p>
    <w:p>
      <w:pPr>
        <w:pStyle w:val="ListBullet"/>
      </w:pPr>
      <w:r>
        <w:rPr>
          <w:sz w:val="24"/>
        </w:rPr>
        <w:t>GM/T 0116-2021 《信息系统密码应用测评过程指南》</w:t>
      </w:r>
    </w:p>
    <w:p>
      <w:pPr>
        <w:pStyle w:val="ListBullet"/>
      </w:pPr>
      <w:r>
        <w:rPr>
          <w:sz w:val="24"/>
        </w:rPr>
        <w:t>《商用密码应用安全性评估FAQ(第三版)》</w:t>
      </w:r>
    </w:p>
    <w:p>
      <w:pPr>
        <w:pStyle w:val="ListBullet"/>
      </w:pPr>
      <w:r>
        <w:rPr>
          <w:sz w:val="24"/>
        </w:rPr>
        <w:t>《商用密码应用安全性评估量化评估规则（2023版）》</w:t>
      </w:r>
    </w:p>
    <w:p>
      <w:pPr>
        <w:pStyle w:val="ListBullet"/>
      </w:pPr>
      <w:r>
        <w:rPr>
          <w:sz w:val="24"/>
        </w:rPr>
        <w:t>《信息系统密码应用高风险判定指引》</w:t>
      </w:r>
    </w:p>
    <w:p>
      <w:pPr>
        <w:pStyle w:val="ListBullet"/>
      </w:pPr>
      <w:r>
        <w:rPr>
          <w:sz w:val="24"/>
        </w:rPr>
        <w:t>《信息安全技术 网络安全等级保护基本要求》（GB/T 22239-2019）</w:t>
      </w:r>
    </w:p>
    <w:p>
      <w:r>
        <w:br w:type="page"/>
      </w:r>
    </w:p>
    <w:p>
      <w:pPr>
        <w:pStyle w:val="Heading1"/>
      </w:pPr>
      <w:r>
        <w:rPr>
          <w:rFonts w:ascii="黑体" w:hAnsi="黑体" w:eastAsia="黑体"/>
        </w:rPr>
        <w:t>5  密码应用设计</w:t>
      </w:r>
    </w:p>
    <w:p>
      <w:pPr>
        <w:pStyle w:val="Heading2"/>
      </w:pPr>
      <w:r>
        <w:rPr>
          <w:rFonts w:ascii="黑体" w:hAnsi="黑体" w:eastAsia="黑体"/>
        </w:rPr>
        <w:t>5.1  密码应用技术框架</w:t>
      </w:r>
    </w:p>
    <w:p>
      <w:pPr>
        <w:ind w:firstLine="420"/>
      </w:pPr>
      <w:r>
        <w:rPr>
          <w:rFonts w:ascii="宋体" w:hAnsi="宋体" w:eastAsia="宋体"/>
          <w:b w:val="0"/>
          <w:sz w:val="24"/>
        </w:rPr>
        <w:t>根据《信息安全技术 信息系统密码应用基本要求》，结合系统实际情况，设计合规、正确、有效的密码应用方案，为系统提供密码应用支撑服务，包括数据加解密服务、传输加密服务等。</w:t>
      </w:r>
    </w:p>
    <w:p>
      <w:pPr>
        <w:ind w:firstLine="420"/>
      </w:pPr>
      <w:r>
        <w:rPr>
          <w:rFonts w:ascii="宋体" w:hAnsi="宋体" w:eastAsia="宋体"/>
          <w:b w:val="0"/>
          <w:sz w:val="24"/>
        </w:rPr>
        <w:t>密码应用保障框架根据密码应用需求中物理和环境、网络和通信、设备和计算、应用和数据等层面进行密码应用方案设计，通过合规的密码算法、接口规范、密码协议、技术标准等密码技术对业务系统进行集成改造，并通过制定密钥管理制度、应急措施等进行安全运维和管理，最终使系统改造后基本符合GB/T 39786-2021《信息安全技术 信息系统密码应用基本要求》第三级别要求。</w:t>
      </w:r>
    </w:p>
    <w:p>
      <w:pPr>
        <w:pStyle w:val="Heading2"/>
      </w:pPr>
      <w:r>
        <w:rPr>
          <w:rFonts w:ascii="黑体" w:hAnsi="黑体" w:eastAsia="黑体"/>
        </w:rPr>
        <w:t>5.2  计算平台密码应用方案</w:t>
      </w:r>
    </w:p>
    <w:p>
      <w:pPr>
        <w:pStyle w:val="Heading3"/>
      </w:pPr>
      <w:r>
        <w:rPr>
          <w:rFonts w:ascii="黑体" w:hAnsi="黑体" w:eastAsia="黑体"/>
        </w:rPr>
        <w:t>5.2.1  密码应用设计</w:t>
      </w:r>
    </w:p>
    <w:p>
      <w:r>
        <w:rPr>
          <w:rFonts w:ascii="宋体" w:hAnsi="宋体" w:eastAsia="宋体"/>
          <w:b/>
          <w:sz w:val="24"/>
        </w:rPr>
        <w:t>物理和环境安全</w:t>
      </w:r>
    </w:p>
    <w:p>
      <w:pPr>
        <w:ind w:firstLine="420"/>
      </w:pPr>
      <w:r>
        <w:rPr>
          <w:rFonts w:ascii="宋体" w:hAnsi="宋体" w:eastAsia="宋体"/>
          <w:b w:val="0"/>
          <w:sz w:val="24"/>
        </w:rPr>
        <w:t>物理和环境安全层面的对象为曙光云数据中心机房，具体密码应用设计如下：</w:t>
      </w:r>
    </w:p>
    <w:p>
      <w:r>
        <w:rPr>
          <w:rFonts w:ascii="宋体" w:hAnsi="宋体" w:eastAsia="宋体"/>
          <w:b/>
          <w:sz w:val="24"/>
        </w:rPr>
        <w:t>身份鉴别</w:t>
      </w:r>
    </w:p>
    <w:p>
      <w:pPr>
        <w:ind w:firstLine="420"/>
      </w:pPr>
      <w:r>
        <w:rPr>
          <w:rFonts w:ascii="宋体" w:hAnsi="宋体" w:eastAsia="宋体"/>
          <w:b w:val="0"/>
          <w:sz w:val="24"/>
        </w:rPr>
        <w:t>曙光云数据中心机房部署经商用密码认证机构认证合格，具有二级商用密码产品认证证书的电子门禁系统，门禁卡与读卡器采用SM4算法进行密钥分散，实现门禁卡的"一卡一密"，采用基于SM4算法的"挑战-响应"机制实现进出人员身份鉴别。</w:t>
      </w:r>
    </w:p>
    <w:p>
      <w:r>
        <w:rPr>
          <w:rFonts w:ascii="宋体" w:hAnsi="宋体" w:eastAsia="宋体"/>
          <w:b/>
          <w:sz w:val="24"/>
        </w:rPr>
        <w:t>电子门禁记录数据存储完整性</w:t>
      </w:r>
    </w:p>
    <w:p>
      <w:pPr>
        <w:ind w:firstLine="420"/>
      </w:pPr>
      <w:r>
        <w:rPr>
          <w:rFonts w:ascii="宋体" w:hAnsi="宋体" w:eastAsia="宋体"/>
          <w:b w:val="0"/>
          <w:sz w:val="24"/>
        </w:rPr>
        <w:t>曙光云数据中心机房部署具有二级商用密码产品认证证书且符合GM/T 0036-2014标准的国密电子门禁系统，调用PCI-E密码卡，采用HMAC-SM3技术对电子门禁系统进出记录数据进行完整性保护。</w:t>
      </w:r>
    </w:p>
    <w:p>
      <w:r>
        <w:rPr>
          <w:rFonts w:ascii="宋体" w:hAnsi="宋体" w:eastAsia="宋体"/>
          <w:b/>
          <w:sz w:val="24"/>
        </w:rPr>
        <w:t>视频监控记录数据存储完整性</w:t>
      </w:r>
    </w:p>
    <w:p>
      <w:pPr>
        <w:ind w:firstLine="420"/>
      </w:pPr>
      <w:r>
        <w:rPr>
          <w:rFonts w:ascii="宋体" w:hAnsi="宋体" w:eastAsia="宋体"/>
          <w:b w:val="0"/>
          <w:sz w:val="24"/>
        </w:rPr>
        <w:t>曙光云数据中心机房部署具有二级商用密码产品认证证书的视频监控系统，采用HMAC-SM3技术对视频监控记录数据进行完整性保护。</w:t>
      </w:r>
    </w:p>
    <w:p>
      <w:pPr>
        <w:ind w:firstLine="420"/>
      </w:pPr>
      <w:r>
        <w:rPr>
          <w:rFonts w:ascii="宋体" w:hAnsi="宋体" w:eastAsia="宋体"/>
          <w:b w:val="0"/>
          <w:sz w:val="24"/>
        </w:rPr>
        <w:t>物理和环境安全层面使用的密码算法符合法律、法规的规定和密码相关国家标准、行业标准的有关要求，密码技术需遵循密码相关国家标准和行业标准，密码产品均需符合GB/T 37092-2021的二级及以上的安全要求进行密钥的管理和密码运算。</w:t>
      </w:r>
    </w:p>
    <w:p>
      <w:r>
        <w:rPr>
          <w:rFonts w:ascii="宋体" w:hAnsi="宋体" w:eastAsia="宋体"/>
          <w:b/>
          <w:sz w:val="24"/>
        </w:rPr>
        <w:t>网络和通信安全</w:t>
      </w:r>
    </w:p>
    <w:p>
      <w:r>
        <w:rPr>
          <w:rFonts w:ascii="宋体" w:hAnsi="宋体" w:eastAsia="宋体"/>
          <w:b/>
          <w:sz w:val="24"/>
        </w:rPr>
        <w:t>身份鉴别</w:t>
      </w:r>
    </w:p>
    <w:p>
      <w:pPr>
        <w:ind w:firstLine="420"/>
      </w:pPr>
      <w:r>
        <w:rPr>
          <w:rFonts w:ascii="宋体" w:hAnsi="宋体" w:eastAsia="宋体"/>
          <w:b w:val="0"/>
          <w:sz w:val="24"/>
        </w:rPr>
        <w:t>公众用户PC端/移动端通过互联网访问门户网站之间的业务通信信道，客户端和服务端部署具有二级商用密码产品认证证书的SSL VPN安全网关，SSL VPN安全网关上部署合规CA机构签发的国密数字证书实现通信实体的单向身份鉴别。</w:t>
      </w:r>
    </w:p>
    <w:p>
      <w:pPr>
        <w:ind w:firstLine="420"/>
      </w:pPr>
      <w:r>
        <w:rPr>
          <w:rFonts w:ascii="宋体" w:hAnsi="宋体" w:eastAsia="宋体"/>
          <w:b w:val="0"/>
          <w:sz w:val="24"/>
        </w:rPr>
        <w:t>系统管理员PC端通过互联网访问内容管理系统之间的管理通信信道，用户PC端部署具有二级商用密码产品认证证书的国密浏览器，服务端部署具有二级商用密码产品认证证书的SSL VPN安全网关，并在SSL VPN安全网关中配置合规CA机构签发的国密数字证书实现通信实体的双向身份鉴别。</w:t>
      </w:r>
    </w:p>
    <w:p>
      <w:pPr>
        <w:ind w:firstLine="420"/>
      </w:pPr>
      <w:r>
        <w:rPr>
          <w:rFonts w:ascii="宋体" w:hAnsi="宋体" w:eastAsia="宋体"/>
          <w:b w:val="0"/>
          <w:sz w:val="24"/>
        </w:rPr>
        <w:t>运维用户PC端通过互联网访问堡垒机之间的运维通信信道，用户PC端采用国密浏览器访问应用，服务端部署具有二级商用密码产品认证证书的SSL VPN安全网关，并在SSL VPN安全网关中配置合规CA机构签发的国密数字证书实现通信实体的双向身份鉴别。</w:t>
      </w:r>
    </w:p>
    <w:p>
      <w:r>
        <w:rPr>
          <w:rFonts w:ascii="宋体" w:hAnsi="宋体" w:eastAsia="宋体"/>
          <w:b/>
          <w:sz w:val="24"/>
        </w:rPr>
        <w:t>通信过程中重要数据的完整性和机密性</w:t>
      </w:r>
    </w:p>
    <w:p>
      <w:pPr>
        <w:ind w:firstLine="420"/>
      </w:pPr>
      <w:r>
        <w:rPr>
          <w:rFonts w:ascii="宋体" w:hAnsi="宋体" w:eastAsia="宋体"/>
          <w:b w:val="0"/>
          <w:sz w:val="24"/>
        </w:rPr>
        <w:t>上述通信信道均通过SSL VPN安全网关建立国密SSL VPN通道（采用TLCP协议，SM2_SM4_SM3国密算法套件），采用SM4-CBC保护重要数据传输机密性，采用HMAC-SM3保护重要数据传输完整性。</w:t>
      </w:r>
    </w:p>
    <w:p>
      <w:r>
        <w:rPr>
          <w:rFonts w:ascii="宋体" w:hAnsi="宋体" w:eastAsia="宋体"/>
          <w:b/>
          <w:sz w:val="24"/>
        </w:rPr>
        <w:t>网络边界访问控制信息完整性</w:t>
      </w:r>
    </w:p>
    <w:p>
      <w:pPr>
        <w:ind w:firstLine="420"/>
      </w:pPr>
      <w:r>
        <w:rPr>
          <w:rFonts w:ascii="宋体" w:hAnsi="宋体" w:eastAsia="宋体"/>
          <w:b w:val="0"/>
          <w:sz w:val="24"/>
        </w:rPr>
        <w:t>通过SSL VPN安全网关建立的国密SSL VPN通道实现网络边界访问控制，保护访问控制信息完整性。</w:t>
      </w:r>
    </w:p>
    <w:p>
      <w:pPr>
        <w:ind w:firstLine="420"/>
      </w:pPr>
      <w:r>
        <w:rPr>
          <w:rFonts w:ascii="宋体" w:hAnsi="宋体" w:eastAsia="宋体"/>
          <w:b w:val="0"/>
          <w:sz w:val="24"/>
        </w:rPr>
        <w:t>安全接入认证：本系统不涉及从外部连接到内部网络的设备，故此项不适用。</w:t>
      </w:r>
    </w:p>
    <w:p>
      <w:r>
        <w:rPr>
          <w:rFonts w:ascii="宋体" w:hAnsi="宋体" w:eastAsia="宋体"/>
          <w:b/>
          <w:sz w:val="24"/>
        </w:rPr>
        <w:t>设备和计算安全</w:t>
      </w:r>
    </w:p>
    <w:p>
      <w:r>
        <w:rPr>
          <w:rFonts w:ascii="宋体" w:hAnsi="宋体" w:eastAsia="宋体"/>
          <w:b/>
          <w:sz w:val="24"/>
        </w:rPr>
        <w:t>身份鉴别</w:t>
      </w:r>
    </w:p>
    <w:p>
      <w:pPr>
        <w:ind w:firstLine="420"/>
      </w:pPr>
      <w:r>
        <w:rPr>
          <w:rFonts w:ascii="宋体" w:hAnsi="宋体" w:eastAsia="宋体"/>
          <w:b w:val="0"/>
          <w:sz w:val="24"/>
        </w:rPr>
        <w:t>（1）堡垒机：现有堡垒机采用与SSL VPN安全网关相结合的缓解方式。在堡垒机前部署SSL VPN安全网关，并为运维人员配发内置合规CA机构颁发的国密数字证书的智能密码钥匙，使用智能密码钥匙登录SSL VPN安全网关后，才能用"用户名+口令"的方式登录堡垒机实现身份鉴别，通过策略配置仅能通过SSL VPN安全网关进行访问，限制堡垒机的其他访问方式，通过与SSL VPN安全网关相结合进行身份鉴别，可降低堡垒机用户身份鉴别的高风险。</w:t>
      </w:r>
    </w:p>
    <w:p>
      <w:pPr>
        <w:ind w:firstLine="420"/>
      </w:pPr>
      <w:r>
        <w:rPr>
          <w:rFonts w:ascii="宋体" w:hAnsi="宋体" w:eastAsia="宋体"/>
          <w:b w:val="0"/>
          <w:sz w:val="24"/>
        </w:rPr>
        <w:t>（2）通用服务器（应用服务器、数据库服务器）：采用与堡垒机和SSL VPN安全网关相结合的缓解方式。通过智能密码钥匙登录SSL VPN安全网关，再用"用户名+口令"的方式登录堡垒机，再用"用户名+口令"的方式登录通用服务器，通过与SSL VPN安全网关相结合进行身份鉴别，可降低通用服务器登录用户身份鉴别的高风险。</w:t>
      </w:r>
    </w:p>
    <w:p>
      <w:pPr>
        <w:ind w:firstLine="420"/>
      </w:pPr>
      <w:r>
        <w:rPr>
          <w:rFonts w:ascii="宋体" w:hAnsi="宋体" w:eastAsia="宋体"/>
          <w:b w:val="0"/>
          <w:sz w:val="24"/>
        </w:rPr>
        <w:t>（3）整机类密码产品（SSL VPN安全网关、签名验签服务器、服务器密码机）：为运维人员配发智能密码钥匙，智能密码钥匙内置由合规CA机构签发的国密数字证书，采用智能密码钥匙登录整机类密码产品。</w:t>
      </w:r>
    </w:p>
    <w:p>
      <w:r>
        <w:rPr>
          <w:rFonts w:ascii="宋体" w:hAnsi="宋体" w:eastAsia="宋体"/>
          <w:b/>
          <w:sz w:val="24"/>
        </w:rPr>
        <w:t>远程管理通道安全</w:t>
      </w:r>
    </w:p>
    <w:p>
      <w:pPr>
        <w:ind w:firstLine="420"/>
      </w:pPr>
      <w:r>
        <w:rPr>
          <w:rFonts w:ascii="宋体" w:hAnsi="宋体" w:eastAsia="宋体"/>
          <w:b w:val="0"/>
          <w:sz w:val="24"/>
        </w:rPr>
        <w:t>（1）堡垒机：在堡垒机前部署SSL VPN安全网关，用户端部署国密浏览器，采用国密TLCP协议（SM2-SM4-SM3）连接SSL VPN安全网关，再采用https协议连接堡垒机。降低堡垒机远程管理通道安全的高风险。</w:t>
      </w:r>
    </w:p>
    <w:p>
      <w:pPr>
        <w:ind w:firstLine="420"/>
      </w:pPr>
      <w:r>
        <w:rPr>
          <w:rFonts w:ascii="宋体" w:hAnsi="宋体" w:eastAsia="宋体"/>
          <w:b w:val="0"/>
          <w:sz w:val="24"/>
        </w:rPr>
        <w:t>（2）通用服务器：采用与堡垒机和SSL VPN安全网关相结合的缓解方式，通过国密TLCP协议连接SSL VPN安全网关，再通过https协议连接堡垒机，再通过ssh连接通用服务器。</w:t>
      </w:r>
    </w:p>
    <w:p>
      <w:pPr>
        <w:ind w:firstLine="420"/>
      </w:pPr>
      <w:r>
        <w:rPr>
          <w:rFonts w:ascii="宋体" w:hAnsi="宋体" w:eastAsia="宋体"/>
          <w:b w:val="0"/>
          <w:sz w:val="24"/>
        </w:rPr>
        <w:t>（3）整机类密码产品：用户端部署国密浏览器，采用国密TLCP协议（SM2-SM4-SM3）连接整机类密码产品，实现整机类密码产品的远程管理安全。</w:t>
      </w:r>
    </w:p>
    <w:p>
      <w:pPr>
        <w:ind w:firstLine="420"/>
      </w:pPr>
      <w:r>
        <w:rPr>
          <w:rFonts w:ascii="宋体" w:hAnsi="宋体" w:eastAsia="宋体"/>
          <w:b w:val="0"/>
          <w:sz w:val="24"/>
        </w:rPr>
        <w:t>系统资源访问控制信息完整性、重要信息资源安全标记完整性、日志记录完整性、重要可执行程序完整性及来源真实性：复用密码产品检测结果。</w:t>
      </w:r>
    </w:p>
    <w:p>
      <w:pPr>
        <w:pStyle w:val="Heading3"/>
      </w:pPr>
      <w:r>
        <w:rPr>
          <w:rFonts w:ascii="黑体" w:hAnsi="黑体" w:eastAsia="黑体"/>
        </w:rPr>
        <w:t>5.2.2  采用的密码产品/服务及其遵循的标准</w:t>
      </w:r>
    </w:p>
    <w:p>
      <w:pPr>
        <w:ind w:firstLine="420"/>
      </w:pPr>
      <w:r>
        <w:rPr>
          <w:rFonts w:ascii="宋体" w:hAnsi="宋体" w:eastAsia="宋体"/>
          <w:b w:val="0"/>
          <w:sz w:val="24"/>
        </w:rPr>
        <w:t>本次密码应用建设中采用的密码产品均应选择经商用密码认证机构认证合格的产品（密码模块等级为二级），具体包括：</w:t>
      </w:r>
    </w:p>
    <w:p>
      <w:r>
        <w:rPr>
          <w:rFonts w:ascii="宋体" w:hAnsi="宋体" w:eastAsia="宋体"/>
          <w:b/>
          <w:sz w:val="24"/>
        </w:rPr>
        <w:t>表5-1  密码产品清单</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序号</w:t>
            </w:r>
          </w:p>
        </w:tc>
        <w:tc>
          <w:tcPr>
            <w:tcW w:type="dxa" w:w="1728"/>
          </w:tcPr>
          <w:p>
            <w:pPr>
              <w:jc w:val="center"/>
            </w:pPr>
            <w:r>
              <w:rPr>
                <w:b/>
                <w:sz w:val="20"/>
              </w:rPr>
              <w:t>产品名称</w:t>
            </w:r>
          </w:p>
        </w:tc>
        <w:tc>
          <w:tcPr>
            <w:tcW w:type="dxa" w:w="1728"/>
          </w:tcPr>
          <w:p>
            <w:pPr>
              <w:jc w:val="center"/>
            </w:pPr>
            <w:r>
              <w:rPr>
                <w:b/>
                <w:sz w:val="20"/>
              </w:rPr>
              <w:t>数量</w:t>
            </w:r>
          </w:p>
        </w:tc>
        <w:tc>
          <w:tcPr>
            <w:tcW w:type="dxa" w:w="1728"/>
          </w:tcPr>
          <w:p>
            <w:pPr>
              <w:jc w:val="center"/>
            </w:pPr>
            <w:r>
              <w:rPr>
                <w:b/>
                <w:sz w:val="20"/>
              </w:rPr>
              <w:t>密码模块等级</w:t>
            </w:r>
          </w:p>
        </w:tc>
        <w:tc>
          <w:tcPr>
            <w:tcW w:type="dxa" w:w="1728"/>
          </w:tcPr>
          <w:p>
            <w:pPr>
              <w:jc w:val="center"/>
            </w:pPr>
            <w:r>
              <w:rPr>
                <w:b/>
                <w:sz w:val="20"/>
              </w:rPr>
              <w:t>遵循标准</w:t>
            </w:r>
          </w:p>
        </w:tc>
      </w:tr>
      <w:tr>
        <w:tc>
          <w:tcPr>
            <w:tcW w:type="dxa" w:w="1728"/>
          </w:tcPr>
          <w:p>
            <w:pPr>
              <w:jc w:val="center"/>
            </w:pPr>
            <w:r/>
            <w:r>
              <w:rPr>
                <w:rFonts w:ascii="宋体" w:hAnsi="宋体" w:eastAsia="宋体"/>
                <w:b w:val="0"/>
                <w:sz w:val="20"/>
              </w:rPr>
              <w:t>1</w:t>
            </w:r>
          </w:p>
        </w:tc>
        <w:tc>
          <w:tcPr>
            <w:tcW w:type="dxa" w:w="1728"/>
          </w:tcPr>
          <w:p>
            <w:pPr>
              <w:jc w:val="center"/>
            </w:pPr>
            <w:r/>
            <w:r>
              <w:rPr>
                <w:rFonts w:ascii="宋体" w:hAnsi="宋体" w:eastAsia="宋体"/>
                <w:b w:val="0"/>
                <w:sz w:val="20"/>
              </w:rPr>
              <w:t>SSL VPN安全网关</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GM/T 0027, GM/T 0024</w:t>
            </w:r>
          </w:p>
        </w:tc>
      </w:tr>
      <w:tr>
        <w:tc>
          <w:tcPr>
            <w:tcW w:type="dxa" w:w="1728"/>
          </w:tcPr>
          <w:p>
            <w:pPr>
              <w:jc w:val="center"/>
            </w:pPr>
            <w:r/>
            <w:r>
              <w:rPr>
                <w:rFonts w:ascii="宋体" w:hAnsi="宋体" w:eastAsia="宋体"/>
                <w:b w:val="0"/>
                <w:sz w:val="20"/>
              </w:rPr>
              <w:t>2</w:t>
            </w:r>
          </w:p>
        </w:tc>
        <w:tc>
          <w:tcPr>
            <w:tcW w:type="dxa" w:w="1728"/>
          </w:tcPr>
          <w:p>
            <w:pPr>
              <w:jc w:val="center"/>
            </w:pPr>
            <w:r/>
            <w:r>
              <w:rPr>
                <w:rFonts w:ascii="宋体" w:hAnsi="宋体" w:eastAsia="宋体"/>
                <w:b w:val="0"/>
                <w:sz w:val="20"/>
              </w:rPr>
              <w:t>服务器密码机</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GM/T 0030, GM/T 0018</w:t>
            </w:r>
          </w:p>
        </w:tc>
      </w:tr>
      <w:tr>
        <w:tc>
          <w:tcPr>
            <w:tcW w:type="dxa" w:w="1728"/>
          </w:tcPr>
          <w:p>
            <w:pPr>
              <w:jc w:val="center"/>
            </w:pPr>
            <w:r/>
            <w:r>
              <w:rPr>
                <w:rFonts w:ascii="宋体" w:hAnsi="宋体" w:eastAsia="宋体"/>
                <w:b w:val="0"/>
                <w:sz w:val="20"/>
              </w:rPr>
              <w:t>3</w:t>
            </w:r>
          </w:p>
        </w:tc>
        <w:tc>
          <w:tcPr>
            <w:tcW w:type="dxa" w:w="1728"/>
          </w:tcPr>
          <w:p>
            <w:pPr>
              <w:jc w:val="center"/>
            </w:pPr>
            <w:r/>
            <w:r>
              <w:rPr>
                <w:rFonts w:ascii="宋体" w:hAnsi="宋体" w:eastAsia="宋体"/>
                <w:b w:val="0"/>
                <w:sz w:val="20"/>
              </w:rPr>
              <w:t>签名验签服务器</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GM/T 0028, GM/T 0018</w:t>
            </w:r>
          </w:p>
        </w:tc>
      </w:tr>
      <w:tr>
        <w:tc>
          <w:tcPr>
            <w:tcW w:type="dxa" w:w="1728"/>
          </w:tcPr>
          <w:p>
            <w:pPr>
              <w:jc w:val="center"/>
            </w:pPr>
            <w:r/>
            <w:r>
              <w:rPr>
                <w:rFonts w:ascii="宋体" w:hAnsi="宋体" w:eastAsia="宋体"/>
                <w:b w:val="0"/>
                <w:sz w:val="20"/>
              </w:rPr>
              <w:t>4</w:t>
            </w:r>
          </w:p>
        </w:tc>
        <w:tc>
          <w:tcPr>
            <w:tcW w:type="dxa" w:w="1728"/>
          </w:tcPr>
          <w:p>
            <w:pPr>
              <w:jc w:val="center"/>
            </w:pPr>
            <w:r/>
            <w:r>
              <w:rPr>
                <w:rFonts w:ascii="宋体" w:hAnsi="宋体" w:eastAsia="宋体"/>
                <w:b w:val="0"/>
                <w:sz w:val="20"/>
              </w:rPr>
              <w:t>国密电子门禁系统</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GM/T 0036</w:t>
            </w:r>
          </w:p>
        </w:tc>
      </w:tr>
      <w:tr>
        <w:tc>
          <w:tcPr>
            <w:tcW w:type="dxa" w:w="1728"/>
          </w:tcPr>
          <w:p>
            <w:pPr>
              <w:jc w:val="center"/>
            </w:pPr>
            <w:r/>
            <w:r>
              <w:rPr>
                <w:rFonts w:ascii="宋体" w:hAnsi="宋体" w:eastAsia="宋体"/>
                <w:b w:val="0"/>
                <w:sz w:val="20"/>
              </w:rPr>
              <w:t>5</w:t>
            </w:r>
          </w:p>
        </w:tc>
        <w:tc>
          <w:tcPr>
            <w:tcW w:type="dxa" w:w="1728"/>
          </w:tcPr>
          <w:p>
            <w:pPr>
              <w:jc w:val="center"/>
            </w:pPr>
            <w:r/>
            <w:r>
              <w:rPr>
                <w:rFonts w:ascii="宋体" w:hAnsi="宋体" w:eastAsia="宋体"/>
                <w:b w:val="0"/>
                <w:sz w:val="20"/>
              </w:rPr>
              <w:t>视频监控系统（含完整性保护）</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GB/T 37092</w:t>
            </w:r>
          </w:p>
        </w:tc>
      </w:tr>
      <w:tr>
        <w:tc>
          <w:tcPr>
            <w:tcW w:type="dxa" w:w="1728"/>
          </w:tcPr>
          <w:p>
            <w:pPr>
              <w:jc w:val="center"/>
            </w:pPr>
            <w:r/>
            <w:r>
              <w:rPr>
                <w:rFonts w:ascii="宋体" w:hAnsi="宋体" w:eastAsia="宋体"/>
                <w:b w:val="0"/>
                <w:sz w:val="20"/>
              </w:rPr>
              <w:t>6</w:t>
            </w:r>
          </w:p>
        </w:tc>
        <w:tc>
          <w:tcPr>
            <w:tcW w:type="dxa" w:w="1728"/>
          </w:tcPr>
          <w:p>
            <w:pPr>
              <w:jc w:val="center"/>
            </w:pPr>
            <w:r/>
            <w:r>
              <w:rPr>
                <w:rFonts w:ascii="宋体" w:hAnsi="宋体" w:eastAsia="宋体"/>
                <w:b w:val="0"/>
                <w:sz w:val="20"/>
              </w:rPr>
              <w:t>智能密码钥匙</w:t>
            </w:r>
          </w:p>
        </w:tc>
        <w:tc>
          <w:tcPr>
            <w:tcW w:type="dxa" w:w="1728"/>
          </w:tcPr>
          <w:p>
            <w:pPr>
              <w:jc w:val="center"/>
            </w:pPr>
            <w:r/>
            <w:r>
              <w:rPr>
                <w:rFonts w:ascii="宋体" w:hAnsi="宋体" w:eastAsia="宋体"/>
                <w:b w:val="0"/>
                <w:sz w:val="20"/>
              </w:rPr>
              <w:t>15个</w:t>
            </w:r>
          </w:p>
        </w:tc>
        <w:tc>
          <w:tcPr>
            <w:tcW w:type="dxa" w:w="1728"/>
          </w:tcPr>
          <w:p>
            <w:pPr>
              <w:jc w:val="center"/>
            </w:pPr>
            <w:r/>
            <w:r>
              <w:rPr>
                <w:rFonts w:ascii="宋体" w:hAnsi="宋体" w:eastAsia="宋体"/>
                <w:b w:val="0"/>
                <w:sz w:val="20"/>
              </w:rPr>
              <w:t>二级</w:t>
            </w:r>
          </w:p>
        </w:tc>
        <w:tc>
          <w:tcPr>
            <w:tcW w:type="dxa" w:w="1728"/>
          </w:tcPr>
          <w:p>
            <w:pPr>
              <w:jc w:val="center"/>
            </w:pPr>
            <w:r/>
            <w:r>
              <w:rPr>
                <w:rFonts w:ascii="宋体" w:hAnsi="宋体" w:eastAsia="宋体"/>
                <w:b w:val="0"/>
                <w:sz w:val="20"/>
              </w:rPr>
              <w:t>GM/T 0027</w:t>
            </w:r>
          </w:p>
        </w:tc>
      </w:tr>
      <w:tr>
        <w:tc>
          <w:tcPr>
            <w:tcW w:type="dxa" w:w="1728"/>
          </w:tcPr>
          <w:p>
            <w:pPr>
              <w:jc w:val="center"/>
            </w:pPr>
            <w:r/>
            <w:r>
              <w:rPr>
                <w:rFonts w:ascii="宋体" w:hAnsi="宋体" w:eastAsia="宋体"/>
                <w:b w:val="0"/>
                <w:sz w:val="20"/>
              </w:rPr>
              <w:t>7</w:t>
            </w:r>
          </w:p>
        </w:tc>
        <w:tc>
          <w:tcPr>
            <w:tcW w:type="dxa" w:w="1728"/>
          </w:tcPr>
          <w:p>
            <w:pPr>
              <w:jc w:val="center"/>
            </w:pPr>
            <w:r/>
            <w:r>
              <w:rPr>
                <w:rFonts w:ascii="宋体" w:hAnsi="宋体" w:eastAsia="宋体"/>
                <w:b w:val="0"/>
                <w:sz w:val="20"/>
              </w:rPr>
              <w:t>国密浏览器</w:t>
            </w:r>
          </w:p>
        </w:tc>
        <w:tc>
          <w:tcPr>
            <w:tcW w:type="dxa" w:w="1728"/>
          </w:tcPr>
          <w:p>
            <w:pPr>
              <w:jc w:val="center"/>
            </w:pPr>
            <w:r/>
            <w:r>
              <w:rPr>
                <w:rFonts w:ascii="宋体" w:hAnsi="宋体" w:eastAsia="宋体"/>
                <w:b w:val="0"/>
                <w:sz w:val="20"/>
              </w:rPr>
              <w:t>15套</w:t>
            </w:r>
          </w:p>
        </w:tc>
        <w:tc>
          <w:tcPr>
            <w:tcW w:type="dxa" w:w="1728"/>
          </w:tcPr>
          <w:p>
            <w:pPr>
              <w:jc w:val="center"/>
            </w:pPr>
            <w:r/>
            <w:r>
              <w:rPr>
                <w:rFonts w:ascii="宋体" w:hAnsi="宋体" w:eastAsia="宋体"/>
                <w:b w:val="0"/>
                <w:sz w:val="20"/>
              </w:rPr>
              <w:t>—</w:t>
            </w:r>
          </w:p>
        </w:tc>
        <w:tc>
          <w:tcPr>
            <w:tcW w:type="dxa" w:w="1728"/>
          </w:tcPr>
          <w:p>
            <w:pPr>
              <w:jc w:val="center"/>
            </w:pPr>
            <w:r/>
            <w:r>
              <w:rPr>
                <w:rFonts w:ascii="宋体" w:hAnsi="宋体" w:eastAsia="宋体"/>
                <w:b w:val="0"/>
                <w:sz w:val="20"/>
              </w:rPr>
              <w:t>GM/T 0024</w:t>
            </w:r>
          </w:p>
        </w:tc>
      </w:tr>
    </w:tbl>
    <w:p>
      <w:pPr>
        <w:pStyle w:val="Heading3"/>
      </w:pPr>
      <w:r>
        <w:rPr>
          <w:rFonts w:ascii="黑体" w:hAnsi="黑体" w:eastAsia="黑体"/>
        </w:rPr>
        <w:t>5.2.3  密码设备的部署、使用和管理</w:t>
      </w:r>
    </w:p>
    <w:p>
      <w:pPr>
        <w:ind w:firstLine="420"/>
      </w:pPr>
      <w:r>
        <w:rPr>
          <w:rFonts w:ascii="宋体" w:hAnsi="宋体" w:eastAsia="宋体"/>
          <w:b w:val="0"/>
          <w:sz w:val="24"/>
        </w:rPr>
        <w:t>密码设备统一部署在成都市政务云信创平台互联网区，由项目建设单位和相关密码设备厂商负责安装调试和运维管理。密码设备使用独立网络区域部署，通过策略配置限定访问来源。密钥由密码设备生成和管理，密钥备份采用双人双锁机制保管。</w:t>
      </w:r>
    </w:p>
    <w:p>
      <w:pPr>
        <w:pStyle w:val="Heading2"/>
      </w:pPr>
      <w:r>
        <w:rPr>
          <w:rFonts w:ascii="黑体" w:hAnsi="黑体" w:eastAsia="黑体"/>
        </w:rPr>
        <w:t>5.3  密码支撑平台</w:t>
      </w:r>
    </w:p>
    <w:p>
      <w:pPr>
        <w:ind w:firstLine="420"/>
      </w:pPr>
      <w:r>
        <w:rPr>
          <w:rFonts w:ascii="宋体" w:hAnsi="宋体" w:eastAsia="宋体"/>
          <w:b w:val="0"/>
          <w:sz w:val="24"/>
        </w:rPr>
        <w:t>密码支撑平台的作用是为承载在计算平台上的各类业务应用提供密码功能服务。选用合规设备，应选择采用经认证合格的密码支撑设备，部署服务器密码机、签名验签服务器、SSL VPN安全网关等密码设备。</w:t>
      </w:r>
    </w:p>
    <w:p>
      <w:pPr>
        <w:ind w:firstLine="420"/>
      </w:pPr>
      <w:r>
        <w:rPr>
          <w:rFonts w:ascii="宋体" w:hAnsi="宋体" w:eastAsia="宋体"/>
          <w:b w:val="0"/>
          <w:sz w:val="24"/>
        </w:rPr>
        <w:t>密码服务机构的确定、接入方式和服务策略：采用合规CA机构颁发的数字证书。其中网络层的国际或国密算法的站点证书，采用外部生成证书索引，后导入网关内生成站点证书的方式。应用层的个人数字证书采用智能密码钥匙进行承载，线下签发制作的方式。</w:t>
      </w:r>
    </w:p>
    <w:p>
      <w:pPr>
        <w:ind w:firstLine="420"/>
      </w:pPr>
      <w:r>
        <w:rPr>
          <w:rFonts w:ascii="宋体" w:hAnsi="宋体" w:eastAsia="宋体"/>
          <w:b w:val="0"/>
          <w:sz w:val="24"/>
        </w:rPr>
        <w:t>支持的密码体制和密码算法：选择采用经认证合格的服务器密码机、SSL VPN安全网关和签名验签服务器。密码产品覆盖的密码算法包括但不限于：</w:t>
      </w:r>
    </w:p>
    <w:p>
      <w:r>
        <w:rPr>
          <w:rFonts w:ascii="宋体" w:hAnsi="宋体" w:eastAsia="宋体"/>
          <w:b w:val="0"/>
          <w:sz w:val="24"/>
        </w:rPr>
        <w:t>（一）对称算法：SM1、SM4、3DES、AES等；</w:t>
      </w:r>
    </w:p>
    <w:p>
      <w:r>
        <w:rPr>
          <w:rFonts w:ascii="宋体" w:hAnsi="宋体" w:eastAsia="宋体"/>
          <w:b w:val="0"/>
          <w:sz w:val="24"/>
        </w:rPr>
        <w:t>（二）非对称算法：RSA、SM2等；</w:t>
      </w:r>
    </w:p>
    <w:p>
      <w:r>
        <w:rPr>
          <w:rFonts w:ascii="宋体" w:hAnsi="宋体" w:eastAsia="宋体"/>
          <w:b w:val="0"/>
          <w:sz w:val="24"/>
        </w:rPr>
        <w:t>（三）摘要算法：SM3、SHA256、SHA512。</w:t>
      </w:r>
    </w:p>
    <w:p>
      <w:pPr>
        <w:ind w:firstLine="420"/>
      </w:pPr>
      <w:r>
        <w:rPr>
          <w:rFonts w:ascii="宋体" w:hAnsi="宋体" w:eastAsia="宋体"/>
          <w:b w:val="0"/>
          <w:sz w:val="24"/>
        </w:rPr>
        <w:t>密钥管理方式：密钥由密码设备生成和管理，密码设备的责任主体为中国国际贸易促进委员会成都市委员会。</w:t>
      </w:r>
    </w:p>
    <w:p>
      <w:pPr>
        <w:pStyle w:val="Heading2"/>
      </w:pPr>
      <w:r>
        <w:rPr>
          <w:rFonts w:ascii="黑体" w:hAnsi="黑体" w:eastAsia="黑体"/>
        </w:rPr>
        <w:t>5.4  业务应用密码应用方案</w:t>
      </w:r>
    </w:p>
    <w:p>
      <w:r>
        <w:rPr>
          <w:rFonts w:ascii="宋体" w:hAnsi="宋体" w:eastAsia="宋体"/>
          <w:b/>
          <w:sz w:val="24"/>
        </w:rPr>
        <w:t>应用和数据安全</w:t>
      </w:r>
    </w:p>
    <w:p>
      <w:r>
        <w:rPr>
          <w:rFonts w:ascii="宋体" w:hAnsi="宋体" w:eastAsia="宋体"/>
          <w:b/>
          <w:sz w:val="24"/>
        </w:rPr>
        <w:t>身份鉴别</w:t>
      </w:r>
    </w:p>
    <w:p>
      <w:pPr>
        <w:ind w:firstLine="420"/>
      </w:pPr>
      <w:r>
        <w:rPr>
          <w:rFonts w:ascii="宋体" w:hAnsi="宋体" w:eastAsia="宋体"/>
          <w:b w:val="0"/>
          <w:sz w:val="24"/>
        </w:rPr>
        <w:t>（1）公众用户：中国国际贸易促进委员会成都市委员会门户网站为公众用户提供网站内容浏览服务，无需对公众用户进行身份鉴别。</w:t>
      </w:r>
    </w:p>
    <w:p>
      <w:pPr>
        <w:ind w:firstLine="420"/>
      </w:pPr>
      <w:r>
        <w:rPr>
          <w:rFonts w:ascii="宋体" w:hAnsi="宋体" w:eastAsia="宋体"/>
          <w:b w:val="0"/>
          <w:sz w:val="24"/>
        </w:rPr>
        <w:t>（2）管理用户：为系统管理用户（约6人）配发智能密码钥匙，智能密码钥匙内置合规机构签发的国密数字证书，服务端部署签名验签服务器。登录时，签名验签服务器产生随机数，客户端使用数字证书对随机数进行签名，服务器端调用签名验签服务器进行验签，基于SM2数字签名技术保证登录用户身份的真实性。</w:t>
      </w:r>
    </w:p>
    <w:p>
      <w:pPr>
        <w:ind w:firstLine="420"/>
      </w:pPr>
      <w:r>
        <w:rPr>
          <w:rFonts w:ascii="宋体" w:hAnsi="宋体" w:eastAsia="宋体"/>
          <w:b w:val="0"/>
          <w:sz w:val="24"/>
        </w:rPr>
        <w:t>具体过程如下：</w:t>
      </w:r>
    </w:p>
    <w:p>
      <w:pPr>
        <w:ind w:firstLine="420"/>
      </w:pPr>
      <w:r>
        <w:rPr>
          <w:rFonts w:ascii="宋体" w:hAnsi="宋体" w:eastAsia="宋体"/>
          <w:b w:val="0"/>
          <w:sz w:val="24"/>
        </w:rPr>
        <w:t>1、用户使用证书安装程序（证书发放时连同证书一起获取）将数字证书安装在所使用的计算机上，之后用户访问业务系统的登录页面，并插入智能密码钥匙；</w:t>
      </w:r>
    </w:p>
    <w:p>
      <w:pPr>
        <w:ind w:firstLine="420"/>
      </w:pPr>
      <w:r>
        <w:rPr>
          <w:rFonts w:ascii="宋体" w:hAnsi="宋体" w:eastAsia="宋体"/>
          <w:b w:val="0"/>
          <w:sz w:val="24"/>
        </w:rPr>
        <w:t>2、为防止重放攻击，签名验签服务器针对此次登录页面产生一次随机数；</w:t>
      </w:r>
    </w:p>
    <w:p>
      <w:pPr>
        <w:ind w:firstLine="420"/>
      </w:pPr>
      <w:r>
        <w:rPr>
          <w:rFonts w:ascii="宋体" w:hAnsi="宋体" w:eastAsia="宋体"/>
          <w:b w:val="0"/>
          <w:sz w:val="24"/>
        </w:rPr>
        <w:t>3、同时，服务器端程序调用签名验签服务器，使用服务器端证书私钥对该随机数使用国密SM2算法做数字签名；</w:t>
      </w:r>
    </w:p>
    <w:p>
      <w:pPr>
        <w:ind w:firstLine="420"/>
      </w:pPr>
      <w:r>
        <w:rPr>
          <w:rFonts w:ascii="宋体" w:hAnsi="宋体" w:eastAsia="宋体"/>
          <w:b w:val="0"/>
          <w:sz w:val="24"/>
        </w:rPr>
        <w:t>4、服务器向客户端浏览器返回登录页面，并将服务器端证书、随机数及随机数签名打包随登录页面返回；</w:t>
      </w:r>
    </w:p>
    <w:p>
      <w:pPr>
        <w:ind w:firstLine="420"/>
      </w:pPr>
      <w:r>
        <w:rPr>
          <w:rFonts w:ascii="宋体" w:hAnsi="宋体" w:eastAsia="宋体"/>
          <w:b w:val="0"/>
          <w:sz w:val="24"/>
        </w:rPr>
        <w:t>5、客户端接受服务器返回的登录页面，并自动验证服务器证书及随机数签名，验证通过后，整个登录页面才正式打开并展现；</w:t>
      </w:r>
    </w:p>
    <w:p>
      <w:pPr>
        <w:ind w:firstLine="420"/>
      </w:pPr>
      <w:r>
        <w:rPr>
          <w:rFonts w:ascii="宋体" w:hAnsi="宋体" w:eastAsia="宋体"/>
          <w:b w:val="0"/>
          <w:sz w:val="24"/>
        </w:rPr>
        <w:t>6、在登录页面上，用户根据提示输入证书PIN口令，口令验证通过后，客户端证书控件使用智能密码钥匙证书私钥，并使用智能密码钥匙密码芯片对随机数进行国密SM2签名；</w:t>
      </w:r>
    </w:p>
    <w:p>
      <w:pPr>
        <w:ind w:firstLine="420"/>
      </w:pPr>
      <w:r>
        <w:rPr>
          <w:rFonts w:ascii="宋体" w:hAnsi="宋体" w:eastAsia="宋体"/>
          <w:b w:val="0"/>
          <w:sz w:val="24"/>
        </w:rPr>
        <w:t>7、客户端登录页面将用户证书和随机数签名提交给服务器端；</w:t>
      </w:r>
    </w:p>
    <w:p>
      <w:pPr>
        <w:ind w:firstLine="420"/>
      </w:pPr>
      <w:r>
        <w:rPr>
          <w:rFonts w:ascii="宋体" w:hAnsi="宋体" w:eastAsia="宋体"/>
          <w:b w:val="0"/>
          <w:sz w:val="24"/>
        </w:rPr>
        <w:t>8、服务器端接收到后，使用签名验签服务器验证客户端证书及随机数签名有效性，包括是否属于可信电子认证服务机构证书，是否处于黑名单列表中，随机数是否正确等等；</w:t>
      </w:r>
    </w:p>
    <w:p>
      <w:pPr>
        <w:ind w:firstLine="420"/>
      </w:pPr>
      <w:r>
        <w:rPr>
          <w:rFonts w:ascii="宋体" w:hAnsi="宋体" w:eastAsia="宋体"/>
          <w:b w:val="0"/>
          <w:sz w:val="24"/>
        </w:rPr>
        <w:t>9、如验证通过，则返回登录成功后的页面。</w:t>
      </w:r>
    </w:p>
    <w:p>
      <w:r>
        <w:rPr>
          <w:rFonts w:ascii="宋体" w:hAnsi="宋体" w:eastAsia="宋体"/>
          <w:b/>
          <w:sz w:val="24"/>
        </w:rPr>
        <w:t>访问控制信息完整性</w:t>
      </w:r>
    </w:p>
    <w:p>
      <w:pPr>
        <w:ind w:firstLine="420"/>
      </w:pPr>
      <w:r>
        <w:rPr>
          <w:rFonts w:ascii="宋体" w:hAnsi="宋体" w:eastAsia="宋体"/>
          <w:b w:val="0"/>
          <w:sz w:val="24"/>
        </w:rPr>
        <w:t>部署服务器密码机或签名验签服务器，采用基于对称密码算法或密码杂凑算法的消息鉴别码（MAC）机制、基于公钥密码算法的数字签名机制等密码技术，对业务应用系统访问控制策略、权限表等访问控制信息，进行完整性保护后存储。</w:t>
      </w:r>
    </w:p>
    <w:p>
      <w:r>
        <w:rPr>
          <w:rFonts w:ascii="宋体" w:hAnsi="宋体" w:eastAsia="宋体"/>
          <w:b/>
          <w:sz w:val="24"/>
        </w:rPr>
        <w:t>重要数据传输机密性和完整性</w:t>
      </w:r>
    </w:p>
    <w:p>
      <w:pPr>
        <w:ind w:firstLine="420"/>
      </w:pPr>
      <w:r>
        <w:rPr>
          <w:rFonts w:ascii="宋体" w:hAnsi="宋体" w:eastAsia="宋体"/>
          <w:b w:val="0"/>
          <w:sz w:val="24"/>
        </w:rPr>
        <w:t>重要数据在客户端产生、采集之后进行加密传输，考虑到网络已构建了安全的国密https传输通道，数据传输本身具有高安全性，且系统用户量大、数据多，为了不影响系统工作效率以及降低密码应用的改造难度，本次数据传输安全由网络和通信安全层面构建的安全通道对应用层传输机密性、完整性进行缓解。</w:t>
      </w:r>
    </w:p>
    <w:p>
      <w:r>
        <w:rPr>
          <w:rFonts w:ascii="宋体" w:hAnsi="宋体" w:eastAsia="宋体"/>
          <w:b/>
          <w:sz w:val="24"/>
        </w:rPr>
        <w:t>重要数据存储机密性</w:t>
      </w:r>
    </w:p>
    <w:p>
      <w:pPr>
        <w:ind w:firstLine="420"/>
      </w:pPr>
      <w:r>
        <w:rPr>
          <w:rFonts w:ascii="宋体" w:hAnsi="宋体" w:eastAsia="宋体"/>
          <w:b w:val="0"/>
          <w:sz w:val="24"/>
        </w:rPr>
        <w:t>服务器端部署服务器密码机，采用对称密钥SM4的CBC模式，密钥由服务器密码机进行统一管理，作为数据填充的IV初始向量为随机数，对鉴别数据（管理员口令等）、敏感个人信息（咨询互动中的手机号、邮箱等）、重要业务数据（新闻动态、政务服务信息、展会信息等）在存储前进行加密存储，在使用之前，调用密码设备进行解密，保证重要数据在存储过程中的机密性。</w:t>
      </w:r>
    </w:p>
    <w:p>
      <w:r>
        <w:rPr>
          <w:rFonts w:ascii="宋体" w:hAnsi="宋体" w:eastAsia="宋体"/>
          <w:b/>
          <w:sz w:val="24"/>
        </w:rPr>
        <w:t>重要数据存储完整性</w:t>
      </w:r>
    </w:p>
    <w:p>
      <w:pPr>
        <w:ind w:firstLine="420"/>
      </w:pPr>
      <w:r>
        <w:rPr>
          <w:rFonts w:ascii="宋体" w:hAnsi="宋体" w:eastAsia="宋体"/>
          <w:b w:val="0"/>
          <w:sz w:val="24"/>
        </w:rPr>
        <w:t>服务端部署服务器密码机或签名验签服务器，在存储之前，采用HMAC-SM3或SM2-SM3数字签名技术对加密后的重要数据生成消息鉴别码，在使用关键数据之前，调用服务器密码机或签名验签服务器，再对原数据（密文）进行HMAC-SM3或SM2-SM3签名计算验消息鉴别码。服务器密码机或签名验签服务器经商用密码认证机构认证合格，且满足密码模块第二级安全要求。</w:t>
      </w:r>
    </w:p>
    <w:p>
      <w:pPr>
        <w:pStyle w:val="Heading2"/>
      </w:pPr>
      <w:r>
        <w:rPr>
          <w:rFonts w:ascii="黑体" w:hAnsi="黑体" w:eastAsia="黑体"/>
        </w:rPr>
        <w:t>5.5  密码应用部署</w:t>
      </w:r>
    </w:p>
    <w:p>
      <w:pPr>
        <w:ind w:firstLine="420"/>
      </w:pPr>
      <w:r>
        <w:rPr>
          <w:rFonts w:ascii="宋体" w:hAnsi="宋体" w:eastAsia="宋体"/>
          <w:b w:val="0"/>
          <w:sz w:val="24"/>
        </w:rPr>
        <w:t>本系统部署和使用了SSL VPN安全网关、服务器密码机、签名验签服务器，支持SM2、SM3、SM4等密码算法，同时根据实际用户需求，配置国密安全浏览器与数字认证。保障所有业务系统密码应用接口调用，为业务用户和运维用户提供安全防护。</w:t>
      </w:r>
    </w:p>
    <w:p>
      <w:pPr>
        <w:ind w:firstLine="420"/>
      </w:pPr>
      <w:r>
        <w:rPr>
          <w:rFonts w:ascii="宋体" w:hAnsi="宋体" w:eastAsia="宋体"/>
          <w:b w:val="0"/>
          <w:sz w:val="24"/>
        </w:rPr>
        <w:t>密码设备部署在成都市政务云信创平台互联网区，以密码软硬件的方式进行部署。非独立部署，使用政务云平台的计算资源和网络资源。</w:t>
      </w:r>
    </w:p>
    <w:p>
      <w:r>
        <w:br w:type="page"/>
      </w:r>
    </w:p>
    <w:p>
      <w:pPr>
        <w:pStyle w:val="Heading1"/>
      </w:pPr>
      <w:r>
        <w:rPr>
          <w:rFonts w:ascii="黑体" w:hAnsi="黑体" w:eastAsia="黑体"/>
        </w:rPr>
        <w:t>6  安全管理方案</w:t>
      </w:r>
    </w:p>
    <w:p>
      <w:pPr>
        <w:ind w:firstLine="420"/>
      </w:pPr>
      <w:r>
        <w:rPr>
          <w:rFonts w:ascii="宋体" w:hAnsi="宋体" w:eastAsia="宋体"/>
          <w:b w:val="0"/>
          <w:sz w:val="24"/>
        </w:rPr>
        <w:t>本系统密码应用建设中，完善安全管理措施，制定密码安全制度：</w:t>
      </w:r>
    </w:p>
    <w:p>
      <w:pPr>
        <w:pStyle w:val="Heading2"/>
      </w:pPr>
      <w:r>
        <w:rPr>
          <w:rFonts w:ascii="黑体" w:hAnsi="黑体" w:eastAsia="黑体"/>
        </w:rPr>
        <w:t>6.1  管理制度</w:t>
      </w:r>
    </w:p>
    <w:p>
      <w:pPr>
        <w:ind w:firstLine="420"/>
      </w:pPr>
      <w:r>
        <w:rPr>
          <w:rFonts w:ascii="宋体" w:hAnsi="宋体" w:eastAsia="宋体"/>
          <w:b w:val="0"/>
          <w:sz w:val="24"/>
        </w:rPr>
        <w:t>根据GB/T 39786-2021《信息安全技术 信息系统密码应用基本要求》中安全管理制度方面的要求，制定与本系统相适应的密码安全管理制度和操作规范，内容至少包含密码设计、建设、运维、人员、设备、密钥等6个方面，并同步在单位现有的制度发布流程中补充密码相关管理制度发布流程，待新制定的密码安全管理制度和操作规范内部评审通过后，按照密码相关管理制度发布流程予以发布并遵照执行。</w:t>
      </w:r>
    </w:p>
    <w:p>
      <w:pPr>
        <w:ind w:firstLine="420"/>
      </w:pPr>
      <w:r>
        <w:rPr>
          <w:rFonts w:ascii="宋体" w:hAnsi="宋体" w:eastAsia="宋体"/>
          <w:b w:val="0"/>
          <w:sz w:val="24"/>
        </w:rPr>
        <w:t>密码安全管理制度和操作规范发布后，每年年底，在单位内部组织专家和密码相关人员对密码安全管理制度和操作规范在使用过程中的合理性和适用性进行论证和审定，对存在不足或需要改进的安全管理制度进行修订。</w:t>
      </w:r>
    </w:p>
    <w:p>
      <w:pPr>
        <w:pStyle w:val="Heading2"/>
      </w:pPr>
      <w:r>
        <w:rPr>
          <w:rFonts w:ascii="黑体" w:hAnsi="黑体" w:eastAsia="黑体"/>
        </w:rPr>
        <w:t>6.2  人员管理</w:t>
      </w:r>
    </w:p>
    <w:p>
      <w:pPr>
        <w:ind w:firstLine="420"/>
      </w:pPr>
      <w:r>
        <w:rPr>
          <w:rFonts w:ascii="宋体" w:hAnsi="宋体" w:eastAsia="宋体"/>
          <w:b w:val="0"/>
          <w:sz w:val="24"/>
        </w:rPr>
        <w:t>根据GB/T 39786-2021《信息安全技术 信息系统密码应用基本要求》中安全管理人员方面的要求，对本系统现有的人员管理制度进行补充和完善。</w:t>
      </w:r>
    </w:p>
    <w:p>
      <w:pPr>
        <w:ind w:firstLine="420"/>
      </w:pPr>
      <w:r>
        <w:rPr>
          <w:rFonts w:ascii="宋体" w:hAnsi="宋体" w:eastAsia="宋体"/>
          <w:b w:val="0"/>
          <w:sz w:val="24"/>
        </w:rPr>
        <w:t>（1）设置内部密码专题培训机制，每6个月组织一次，由内部人员或聘请外部专家担任培训讲师，内容涉及密码相关法律法规和标准规范、商用密码应用、商用密码应用安全性评估等多个方面，使相关人员了解密码相关的法律和法规，掌握密码基本原理，并遵照执行。</w:t>
      </w:r>
    </w:p>
    <w:p>
      <w:pPr>
        <w:ind w:firstLine="420"/>
      </w:pPr>
      <w:r>
        <w:rPr>
          <w:rFonts w:ascii="宋体" w:hAnsi="宋体" w:eastAsia="宋体"/>
          <w:b w:val="0"/>
          <w:sz w:val="24"/>
        </w:rPr>
        <w:t>（2）在本系统完成密码应用建设后，安排项目建设单位、相关密码设备厂商对本系统部署使用的所有密码产品进行操作培训，确保相关人员能够正确配置使用本系统中部署的密码产品。</w:t>
      </w:r>
    </w:p>
    <w:p>
      <w:pPr>
        <w:ind w:firstLine="420"/>
      </w:pPr>
      <w:r>
        <w:rPr>
          <w:rFonts w:ascii="宋体" w:hAnsi="宋体" w:eastAsia="宋体"/>
          <w:b w:val="0"/>
          <w:sz w:val="24"/>
        </w:rPr>
        <w:t>（3）结合本系统情况，分别设立密钥管理员、安全审计员、密码操作员等岗位，明确各岗位职责，每个岗位均由2人担任；其中密码安全审计员岗位不可与密钥管理员、密码操作员兼任；相关设备与系统的管理和使用账号不得多人共用。</w:t>
      </w:r>
    </w:p>
    <w:p>
      <w:pPr>
        <w:ind w:firstLine="420"/>
      </w:pPr>
      <w:r>
        <w:rPr>
          <w:rFonts w:ascii="宋体" w:hAnsi="宋体" w:eastAsia="宋体"/>
          <w:b w:val="0"/>
          <w:sz w:val="24"/>
        </w:rPr>
        <w:t>（4）在现有的安全管理制度中，补充密码相关人员考核、奖惩、保密、调离制度，每年对密钥管理人员、安全审计人员、密码操作人员组织一次考核，对考核成绩优异的予以表扬和奖励，考核成绩不合格者，进行批评教育；密钥管理人员、安全审计人员、密码操作人员与单位订保密协议，承担保密义务，相关人员若要调离岗位时，按照制定的人员调离制度承担相应的保密义务。</w:t>
      </w:r>
    </w:p>
    <w:p>
      <w:pPr>
        <w:pStyle w:val="Heading2"/>
      </w:pPr>
      <w:r>
        <w:rPr>
          <w:rFonts w:ascii="黑体" w:hAnsi="黑体" w:eastAsia="黑体"/>
        </w:rPr>
        <w:t>6.3  建设运行</w:t>
      </w:r>
    </w:p>
    <w:p>
      <w:pPr>
        <w:ind w:firstLine="420"/>
      </w:pPr>
      <w:r>
        <w:rPr>
          <w:rFonts w:ascii="宋体" w:hAnsi="宋体" w:eastAsia="宋体"/>
          <w:b w:val="0"/>
          <w:sz w:val="24"/>
        </w:rPr>
        <w:t>制定应用方案，并委托密评机构对本方案进行评估，评估通过后，将本密码应用方案向密码管理部门备案，根据通过评估的密码应用方案制定实施方案，按照实施方案对系统实施建设。</w:t>
      </w:r>
    </w:p>
    <w:p>
      <w:pPr>
        <w:ind w:firstLine="420"/>
      </w:pPr>
      <w:r>
        <w:rPr>
          <w:rFonts w:ascii="宋体" w:hAnsi="宋体" w:eastAsia="宋体"/>
          <w:b w:val="0"/>
          <w:sz w:val="24"/>
        </w:rPr>
        <w:t>建设完成后，委托密评机构对本系统进行密码应用安全性评估，密码应用安全性评估通过后上线运行，上线运行后，每年对本系统进行一次密码应用安全性评估，并根据评估意见进行整改。当本系统在运行过程中发现重大密码应用安全隐患时，将停止系统运行，制定整改方案，按照整改方案对系统进行整改和密码应用安全性评估，评估通过后重新上线运行。</w:t>
      </w:r>
    </w:p>
    <w:p>
      <w:pPr>
        <w:ind w:firstLine="420"/>
      </w:pPr>
      <w:r>
        <w:rPr>
          <w:rFonts w:ascii="宋体" w:hAnsi="宋体" w:eastAsia="宋体"/>
          <w:b w:val="0"/>
          <w:sz w:val="24"/>
        </w:rPr>
        <w:t>制定应急演练预案，有序组织开展内部红蓝对抗、钓鱼攻击等专项演练工作。对人员进行安全意识专项强化培训。</w:t>
      </w:r>
    </w:p>
    <w:p>
      <w:pPr>
        <w:pStyle w:val="Heading2"/>
      </w:pPr>
      <w:r>
        <w:rPr>
          <w:rFonts w:ascii="黑体" w:hAnsi="黑体" w:eastAsia="黑体"/>
        </w:rPr>
        <w:t>6.4  应急处置</w:t>
      </w:r>
    </w:p>
    <w:p>
      <w:pPr>
        <w:ind w:firstLine="420"/>
      </w:pPr>
      <w:r>
        <w:rPr>
          <w:rFonts w:ascii="宋体" w:hAnsi="宋体" w:eastAsia="宋体"/>
          <w:b w:val="0"/>
          <w:sz w:val="24"/>
        </w:rPr>
        <w:t>确保预防预警、应急处置和后期处置中密码关键参数（密钥、私钥）、密码应用的安全和可控。同时在应急队伍、经费、物资、通信和科技保障中，确保密码的安全可控。在监督管理中，加强密码安全应用、安全管理的宣传教育，推进密码安全应用培训和演练，落实责任与奖惩。具有向有关主管部门上报处置情况工作机制，安全事件记录定期归档。</w:t>
      </w:r>
    </w:p>
    <w:p>
      <w:r>
        <w:br w:type="page"/>
      </w:r>
    </w:p>
    <w:p>
      <w:pPr>
        <w:pStyle w:val="Heading1"/>
      </w:pPr>
      <w:r>
        <w:rPr>
          <w:rFonts w:ascii="黑体" w:hAnsi="黑体" w:eastAsia="黑体"/>
        </w:rPr>
        <w:t>7  实施计划</w:t>
      </w:r>
    </w:p>
    <w:p>
      <w:pPr>
        <w:ind w:firstLine="420"/>
      </w:pPr>
      <w:r>
        <w:rPr>
          <w:rFonts w:ascii="宋体" w:hAnsi="宋体" w:eastAsia="宋体"/>
          <w:b w:val="0"/>
          <w:sz w:val="24"/>
        </w:rPr>
        <w:t>本项目密码应用建设与国产化升级改造同步实施，项目整体周期控制在5个月内完成。密码应用建设实施计划如下：</w:t>
      </w:r>
    </w:p>
    <w:p>
      <w:r>
        <w:rPr>
          <w:rFonts w:ascii="宋体" w:hAnsi="宋体" w:eastAsia="宋体"/>
          <w:b/>
          <w:sz w:val="24"/>
        </w:rPr>
        <w:t>第一阶段：方案编制与评审（第1个月）</w:t>
      </w:r>
    </w:p>
    <w:p>
      <w:pPr>
        <w:ind w:firstLine="420"/>
      </w:pPr>
      <w:r>
        <w:rPr>
          <w:rFonts w:ascii="宋体" w:hAnsi="宋体" w:eastAsia="宋体"/>
          <w:b w:val="0"/>
          <w:sz w:val="24"/>
        </w:rPr>
        <w:t>编制密码应用方案，委托密评机构进行方案评估，向密码管理部门备案。</w:t>
      </w:r>
    </w:p>
    <w:p>
      <w:r>
        <w:rPr>
          <w:rFonts w:ascii="宋体" w:hAnsi="宋体" w:eastAsia="宋体"/>
          <w:b/>
          <w:sz w:val="24"/>
        </w:rPr>
        <w:t>第二阶段：密码设备采购与部署（第2个月）</w:t>
      </w:r>
    </w:p>
    <w:p>
      <w:pPr>
        <w:ind w:firstLine="420"/>
      </w:pPr>
      <w:r>
        <w:rPr>
          <w:rFonts w:ascii="宋体" w:hAnsi="宋体" w:eastAsia="宋体"/>
          <w:b w:val="0"/>
          <w:sz w:val="24"/>
        </w:rPr>
        <w:t>采购SSL VPN安全网关、服务器密码机、签名验签服务器、智能密码钥匙、国密电子门禁系统等密码产品，完成设备安装部署与网络联调。</w:t>
      </w:r>
    </w:p>
    <w:p>
      <w:r>
        <w:rPr>
          <w:rFonts w:ascii="宋体" w:hAnsi="宋体" w:eastAsia="宋体"/>
          <w:b/>
          <w:sz w:val="24"/>
        </w:rPr>
        <w:t>第三阶段：密码应用集成改造（第2-3个月）</w:t>
      </w:r>
    </w:p>
    <w:p>
      <w:pPr>
        <w:ind w:firstLine="420"/>
      </w:pPr>
      <w:r>
        <w:rPr>
          <w:rFonts w:ascii="宋体" w:hAnsi="宋体" w:eastAsia="宋体"/>
          <w:b w:val="0"/>
          <w:sz w:val="24"/>
        </w:rPr>
        <w:t>完成应用系统密码应用集成改造，包括：管理用户SM2数字签名身份鉴别、重要数据SM4加密存储、完整性保护等功能开发与对接。</w:t>
      </w:r>
    </w:p>
    <w:p>
      <w:r>
        <w:rPr>
          <w:rFonts w:ascii="宋体" w:hAnsi="宋体" w:eastAsia="宋体"/>
          <w:b/>
          <w:sz w:val="24"/>
        </w:rPr>
        <w:t>第四阶段：联调测试与试运行（第4个月）</w:t>
      </w:r>
    </w:p>
    <w:p>
      <w:pPr>
        <w:ind w:firstLine="420"/>
      </w:pPr>
      <w:r>
        <w:rPr>
          <w:rFonts w:ascii="宋体" w:hAnsi="宋体" w:eastAsia="宋体"/>
          <w:b w:val="0"/>
          <w:sz w:val="24"/>
        </w:rPr>
        <w:t>完成密码设备与业务系统联调测试，进行安全性验证和功能测试，系统试运行。</w:t>
      </w:r>
    </w:p>
    <w:p>
      <w:r>
        <w:rPr>
          <w:rFonts w:ascii="宋体" w:hAnsi="宋体" w:eastAsia="宋体"/>
          <w:b/>
          <w:sz w:val="24"/>
        </w:rPr>
        <w:t>第五阶段：密评与等保测评（第5个月）</w:t>
      </w:r>
    </w:p>
    <w:p>
      <w:pPr>
        <w:ind w:firstLine="420"/>
      </w:pPr>
      <w:r>
        <w:rPr>
          <w:rFonts w:ascii="宋体" w:hAnsi="宋体" w:eastAsia="宋体"/>
          <w:b w:val="0"/>
          <w:sz w:val="24"/>
        </w:rPr>
        <w:t>委托密评机构进行密码应用安全性评估，同步完成等保三级测评，根据评估结果整改，通过评估后正式上线运行。</w:t>
      </w:r>
    </w:p>
    <w:p>
      <w:r>
        <w:br w:type="page"/>
      </w:r>
    </w:p>
    <w:p>
      <w:pPr>
        <w:pStyle w:val="Heading1"/>
      </w:pPr>
      <w:r>
        <w:rPr>
          <w:rFonts w:ascii="黑体" w:hAnsi="黑体" w:eastAsia="黑体"/>
        </w:rPr>
        <w:t>8  保障措施</w:t>
      </w:r>
    </w:p>
    <w:p>
      <w:pPr>
        <w:pStyle w:val="Heading2"/>
      </w:pPr>
      <w:r>
        <w:rPr>
          <w:rFonts w:ascii="黑体" w:hAnsi="黑体" w:eastAsia="黑体"/>
        </w:rPr>
        <w:t>8.1  制定质量计划</w:t>
      </w:r>
    </w:p>
    <w:p>
      <w:pPr>
        <w:ind w:firstLine="420"/>
      </w:pPr>
      <w:r>
        <w:rPr>
          <w:rFonts w:ascii="宋体" w:hAnsi="宋体" w:eastAsia="宋体"/>
          <w:b w:val="0"/>
          <w:sz w:val="24"/>
        </w:rPr>
        <w:t>制定项目质量管理计划，明确密码应用建设的质量目标和质量标准。对密码产品的选型、采购、部署、测试等各环节进行质量控制，确保密码产品符合GB/T 37092-2021二级及以上安全要求。建立质量检查点，在每个阶段结束时进行质量评审。</w:t>
      </w:r>
    </w:p>
    <w:p>
      <w:pPr>
        <w:pStyle w:val="Heading2"/>
      </w:pPr>
      <w:r>
        <w:rPr>
          <w:rFonts w:ascii="黑体" w:hAnsi="黑体" w:eastAsia="黑体"/>
        </w:rPr>
        <w:t>8.2  规范质量审核</w:t>
      </w:r>
    </w:p>
    <w:p>
      <w:pPr>
        <w:ind w:firstLine="420"/>
      </w:pPr>
      <w:r>
        <w:rPr>
          <w:rFonts w:ascii="宋体" w:hAnsi="宋体" w:eastAsia="宋体"/>
          <w:b w:val="0"/>
          <w:sz w:val="24"/>
        </w:rPr>
        <w:t>建立规范的质量审核机制，定期对密码应用的实施质量进行审核。审核内容包括：密码算法合规性、密码技术应用正确性、密码产品配置合理性、密钥管理规范性等。对审核发现的问题及时整改，并形成审核记录归档保存。</w:t>
      </w:r>
    </w:p>
    <w:p>
      <w:pPr>
        <w:pStyle w:val="Heading2"/>
      </w:pPr>
      <w:r>
        <w:rPr>
          <w:rFonts w:ascii="黑体" w:hAnsi="黑体" w:eastAsia="黑体"/>
        </w:rPr>
        <w:t>8.3  实施配置管理</w:t>
      </w:r>
    </w:p>
    <w:p>
      <w:pPr>
        <w:ind w:firstLine="420"/>
      </w:pPr>
      <w:r>
        <w:rPr>
          <w:rFonts w:ascii="宋体" w:hAnsi="宋体" w:eastAsia="宋体"/>
          <w:b w:val="0"/>
          <w:sz w:val="24"/>
        </w:rPr>
        <w:t>对密码设备和密码相关软件实施配置管理，建立配置管理数据库，记录所有密码设备的配置信息、变更记录和版本信息。选用合适的配置管理工具，使用单独的配置管理服务器，建立配置管理系统。密码设备配置变更须经审批，变更过程记录归档。</w:t>
      </w:r>
    </w:p>
    <w:p>
      <w:r>
        <w:br w:type="page"/>
      </w:r>
    </w:p>
    <w:p>
      <w:pPr>
        <w:pStyle w:val="Heading1"/>
      </w:pPr>
      <w:r>
        <w:rPr>
          <w:rFonts w:ascii="黑体" w:hAnsi="黑体" w:eastAsia="黑体"/>
        </w:rPr>
        <w:t>9  经费概算</w:t>
      </w:r>
    </w:p>
    <w:p>
      <w:pPr>
        <w:ind w:firstLine="420"/>
      </w:pPr>
      <w:r>
        <w:rPr>
          <w:rFonts w:ascii="宋体" w:hAnsi="宋体" w:eastAsia="宋体"/>
          <w:b w:val="0"/>
          <w:sz w:val="24"/>
        </w:rPr>
        <w:t>本项目密码应用建设经费包含在项目总投资48.49万元中，密码应用相关费用概算如下：</w:t>
      </w:r>
    </w:p>
    <w:p>
      <w:r>
        <w:rPr>
          <w:rFonts w:ascii="宋体" w:hAnsi="宋体" w:eastAsia="宋体"/>
          <w:b/>
          <w:sz w:val="24"/>
        </w:rPr>
        <w:t>表9-1  密码应用建设经费概算表</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序号</w:t>
            </w:r>
          </w:p>
        </w:tc>
        <w:tc>
          <w:tcPr>
            <w:tcW w:type="dxa" w:w="1728"/>
          </w:tcPr>
          <w:p>
            <w:pPr>
              <w:jc w:val="center"/>
            </w:pPr>
            <w:r>
              <w:rPr>
                <w:b/>
                <w:sz w:val="20"/>
              </w:rPr>
              <w:t>项目名称</w:t>
            </w:r>
          </w:p>
        </w:tc>
        <w:tc>
          <w:tcPr>
            <w:tcW w:type="dxa" w:w="1728"/>
          </w:tcPr>
          <w:p>
            <w:pPr>
              <w:jc w:val="center"/>
            </w:pPr>
            <w:r>
              <w:rPr>
                <w:b/>
                <w:sz w:val="20"/>
              </w:rPr>
              <w:t>具体内容</w:t>
            </w:r>
          </w:p>
        </w:tc>
        <w:tc>
          <w:tcPr>
            <w:tcW w:type="dxa" w:w="1728"/>
          </w:tcPr>
          <w:p>
            <w:pPr>
              <w:jc w:val="center"/>
            </w:pPr>
            <w:r>
              <w:rPr>
                <w:b/>
                <w:sz w:val="20"/>
              </w:rPr>
              <w:t>数量</w:t>
            </w:r>
          </w:p>
        </w:tc>
        <w:tc>
          <w:tcPr>
            <w:tcW w:type="dxa" w:w="1728"/>
          </w:tcPr>
          <w:p>
            <w:pPr>
              <w:jc w:val="center"/>
            </w:pPr>
            <w:r>
              <w:rPr>
                <w:b/>
                <w:sz w:val="20"/>
              </w:rPr>
              <w:t>金额（万元）</w:t>
            </w:r>
          </w:p>
        </w:tc>
      </w:tr>
      <w:tr>
        <w:tc>
          <w:tcPr>
            <w:tcW w:type="dxa" w:w="1728"/>
          </w:tcPr>
          <w:p>
            <w:pPr>
              <w:jc w:val="center"/>
            </w:pPr>
            <w:r/>
            <w:r>
              <w:rPr>
                <w:rFonts w:ascii="宋体" w:hAnsi="宋体" w:eastAsia="宋体"/>
                <w:b w:val="0"/>
                <w:sz w:val="20"/>
              </w:rPr>
              <w:t>1</w:t>
            </w:r>
          </w:p>
        </w:tc>
        <w:tc>
          <w:tcPr>
            <w:tcW w:type="dxa" w:w="1728"/>
          </w:tcPr>
          <w:p>
            <w:pPr>
              <w:jc w:val="center"/>
            </w:pPr>
            <w:r/>
            <w:r>
              <w:rPr>
                <w:rFonts w:ascii="宋体" w:hAnsi="宋体" w:eastAsia="宋体"/>
                <w:b w:val="0"/>
                <w:sz w:val="20"/>
              </w:rPr>
              <w:t>SSL VPN安全网关</w:t>
            </w:r>
          </w:p>
        </w:tc>
        <w:tc>
          <w:tcPr>
            <w:tcW w:type="dxa" w:w="1728"/>
          </w:tcPr>
          <w:p>
            <w:pPr>
              <w:jc w:val="center"/>
            </w:pPr>
            <w:r/>
            <w:r>
              <w:rPr>
                <w:rFonts w:ascii="宋体" w:hAnsi="宋体" w:eastAsia="宋体"/>
                <w:b w:val="0"/>
                <w:sz w:val="20"/>
              </w:rPr>
              <w:t>国密SSL VPN安全网关，密码模块二级</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6.5</w:t>
            </w:r>
          </w:p>
        </w:tc>
      </w:tr>
      <w:tr>
        <w:tc>
          <w:tcPr>
            <w:tcW w:type="dxa" w:w="1728"/>
          </w:tcPr>
          <w:p>
            <w:pPr>
              <w:jc w:val="center"/>
            </w:pPr>
            <w:r/>
            <w:r>
              <w:rPr>
                <w:rFonts w:ascii="宋体" w:hAnsi="宋体" w:eastAsia="宋体"/>
                <w:b w:val="0"/>
                <w:sz w:val="20"/>
              </w:rPr>
              <w:t>2</w:t>
            </w:r>
          </w:p>
        </w:tc>
        <w:tc>
          <w:tcPr>
            <w:tcW w:type="dxa" w:w="1728"/>
          </w:tcPr>
          <w:p>
            <w:pPr>
              <w:jc w:val="center"/>
            </w:pPr>
            <w:r/>
            <w:r>
              <w:rPr>
                <w:rFonts w:ascii="宋体" w:hAnsi="宋体" w:eastAsia="宋体"/>
                <w:b w:val="0"/>
                <w:sz w:val="20"/>
              </w:rPr>
              <w:t>服务器密码机</w:t>
            </w:r>
          </w:p>
        </w:tc>
        <w:tc>
          <w:tcPr>
            <w:tcW w:type="dxa" w:w="1728"/>
          </w:tcPr>
          <w:p>
            <w:pPr>
              <w:jc w:val="center"/>
            </w:pPr>
            <w:r/>
            <w:r>
              <w:rPr>
                <w:rFonts w:ascii="宋体" w:hAnsi="宋体" w:eastAsia="宋体"/>
                <w:b w:val="0"/>
                <w:sz w:val="20"/>
              </w:rPr>
              <w:t>高性能服务器密码机，密码模块二级</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5.8</w:t>
            </w:r>
          </w:p>
        </w:tc>
      </w:tr>
      <w:tr>
        <w:tc>
          <w:tcPr>
            <w:tcW w:type="dxa" w:w="1728"/>
          </w:tcPr>
          <w:p>
            <w:pPr>
              <w:jc w:val="center"/>
            </w:pPr>
            <w:r/>
            <w:r>
              <w:rPr>
                <w:rFonts w:ascii="宋体" w:hAnsi="宋体" w:eastAsia="宋体"/>
                <w:b w:val="0"/>
                <w:sz w:val="20"/>
              </w:rPr>
              <w:t>3</w:t>
            </w:r>
          </w:p>
        </w:tc>
        <w:tc>
          <w:tcPr>
            <w:tcW w:type="dxa" w:w="1728"/>
          </w:tcPr>
          <w:p>
            <w:pPr>
              <w:jc w:val="center"/>
            </w:pPr>
            <w:r/>
            <w:r>
              <w:rPr>
                <w:rFonts w:ascii="宋体" w:hAnsi="宋体" w:eastAsia="宋体"/>
                <w:b w:val="0"/>
                <w:sz w:val="20"/>
              </w:rPr>
              <w:t>签名验签服务器</w:t>
            </w:r>
          </w:p>
        </w:tc>
        <w:tc>
          <w:tcPr>
            <w:tcW w:type="dxa" w:w="1728"/>
          </w:tcPr>
          <w:p>
            <w:pPr>
              <w:jc w:val="center"/>
            </w:pPr>
            <w:r/>
            <w:r>
              <w:rPr>
                <w:rFonts w:ascii="宋体" w:hAnsi="宋体" w:eastAsia="宋体"/>
                <w:b w:val="0"/>
                <w:sz w:val="20"/>
              </w:rPr>
              <w:t>签名验签服务器，密码模块二级</w:t>
            </w:r>
          </w:p>
        </w:tc>
        <w:tc>
          <w:tcPr>
            <w:tcW w:type="dxa" w:w="1728"/>
          </w:tcPr>
          <w:p>
            <w:pPr>
              <w:jc w:val="center"/>
            </w:pPr>
            <w:r/>
            <w:r>
              <w:rPr>
                <w:rFonts w:ascii="宋体" w:hAnsi="宋体" w:eastAsia="宋体"/>
                <w:b w:val="0"/>
                <w:sz w:val="20"/>
              </w:rPr>
              <w:t>1台</w:t>
            </w:r>
          </w:p>
        </w:tc>
        <w:tc>
          <w:tcPr>
            <w:tcW w:type="dxa" w:w="1728"/>
          </w:tcPr>
          <w:p>
            <w:pPr>
              <w:jc w:val="center"/>
            </w:pPr>
            <w:r/>
            <w:r>
              <w:rPr>
                <w:rFonts w:ascii="宋体" w:hAnsi="宋体" w:eastAsia="宋体"/>
                <w:b w:val="0"/>
                <w:sz w:val="20"/>
              </w:rPr>
              <w:t>4.5</w:t>
            </w:r>
          </w:p>
        </w:tc>
      </w:tr>
      <w:tr>
        <w:tc>
          <w:tcPr>
            <w:tcW w:type="dxa" w:w="1728"/>
          </w:tcPr>
          <w:p>
            <w:pPr>
              <w:jc w:val="center"/>
            </w:pPr>
            <w:r/>
            <w:r>
              <w:rPr>
                <w:rFonts w:ascii="宋体" w:hAnsi="宋体" w:eastAsia="宋体"/>
                <w:b w:val="0"/>
                <w:sz w:val="20"/>
              </w:rPr>
              <w:t>4</w:t>
            </w:r>
          </w:p>
        </w:tc>
        <w:tc>
          <w:tcPr>
            <w:tcW w:type="dxa" w:w="1728"/>
          </w:tcPr>
          <w:p>
            <w:pPr>
              <w:jc w:val="center"/>
            </w:pPr>
            <w:r/>
            <w:r>
              <w:rPr>
                <w:rFonts w:ascii="宋体" w:hAnsi="宋体" w:eastAsia="宋体"/>
                <w:b w:val="0"/>
                <w:sz w:val="20"/>
              </w:rPr>
              <w:t>国密电子门禁系统</w:t>
            </w:r>
          </w:p>
        </w:tc>
        <w:tc>
          <w:tcPr>
            <w:tcW w:type="dxa" w:w="1728"/>
          </w:tcPr>
          <w:p>
            <w:pPr>
              <w:jc w:val="center"/>
            </w:pPr>
            <w:r/>
            <w:r>
              <w:rPr>
                <w:rFonts w:ascii="宋体" w:hAnsi="宋体" w:eastAsia="宋体"/>
                <w:b w:val="0"/>
                <w:sz w:val="20"/>
              </w:rPr>
              <w:t>含门禁控制器、读卡器、门禁卡</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3.2</w:t>
            </w:r>
          </w:p>
        </w:tc>
      </w:tr>
      <w:tr>
        <w:tc>
          <w:tcPr>
            <w:tcW w:type="dxa" w:w="1728"/>
          </w:tcPr>
          <w:p>
            <w:pPr>
              <w:jc w:val="center"/>
            </w:pPr>
            <w:r/>
            <w:r>
              <w:rPr>
                <w:rFonts w:ascii="宋体" w:hAnsi="宋体" w:eastAsia="宋体"/>
                <w:b w:val="0"/>
                <w:sz w:val="20"/>
              </w:rPr>
              <w:t>5</w:t>
            </w:r>
          </w:p>
        </w:tc>
        <w:tc>
          <w:tcPr>
            <w:tcW w:type="dxa" w:w="1728"/>
          </w:tcPr>
          <w:p>
            <w:pPr>
              <w:jc w:val="center"/>
            </w:pPr>
            <w:r/>
            <w:r>
              <w:rPr>
                <w:rFonts w:ascii="宋体" w:hAnsi="宋体" w:eastAsia="宋体"/>
                <w:b w:val="0"/>
                <w:sz w:val="20"/>
              </w:rPr>
              <w:t>视频监控系统（含完整性保护）</w:t>
            </w:r>
          </w:p>
        </w:tc>
        <w:tc>
          <w:tcPr>
            <w:tcW w:type="dxa" w:w="1728"/>
          </w:tcPr>
          <w:p>
            <w:pPr>
              <w:jc w:val="center"/>
            </w:pPr>
            <w:r/>
            <w:r>
              <w:rPr>
                <w:rFonts w:ascii="宋体" w:hAnsi="宋体" w:eastAsia="宋体"/>
                <w:b w:val="0"/>
                <w:sz w:val="20"/>
              </w:rPr>
              <w:t>含视频完整性保护模块</w:t>
            </w:r>
          </w:p>
        </w:tc>
        <w:tc>
          <w:tcPr>
            <w:tcW w:type="dxa" w:w="1728"/>
          </w:tcPr>
          <w:p>
            <w:pPr>
              <w:jc w:val="center"/>
            </w:pPr>
            <w:r/>
            <w:r>
              <w:rPr>
                <w:rFonts w:ascii="宋体" w:hAnsi="宋体" w:eastAsia="宋体"/>
                <w:b w:val="0"/>
                <w:sz w:val="20"/>
              </w:rPr>
              <w:t>1套</w:t>
            </w:r>
          </w:p>
        </w:tc>
        <w:tc>
          <w:tcPr>
            <w:tcW w:type="dxa" w:w="1728"/>
          </w:tcPr>
          <w:p>
            <w:pPr>
              <w:jc w:val="center"/>
            </w:pPr>
            <w:r/>
            <w:r>
              <w:rPr>
                <w:rFonts w:ascii="宋体" w:hAnsi="宋体" w:eastAsia="宋体"/>
                <w:b w:val="0"/>
                <w:sz w:val="20"/>
              </w:rPr>
              <w:t>2.8</w:t>
            </w:r>
          </w:p>
        </w:tc>
      </w:tr>
      <w:tr>
        <w:tc>
          <w:tcPr>
            <w:tcW w:type="dxa" w:w="1728"/>
          </w:tcPr>
          <w:p>
            <w:pPr>
              <w:jc w:val="center"/>
            </w:pPr>
            <w:r/>
            <w:r>
              <w:rPr>
                <w:rFonts w:ascii="宋体" w:hAnsi="宋体" w:eastAsia="宋体"/>
                <w:b w:val="0"/>
                <w:sz w:val="20"/>
              </w:rPr>
              <w:t>6</w:t>
            </w:r>
          </w:p>
        </w:tc>
        <w:tc>
          <w:tcPr>
            <w:tcW w:type="dxa" w:w="1728"/>
          </w:tcPr>
          <w:p>
            <w:pPr>
              <w:jc w:val="center"/>
            </w:pPr>
            <w:r/>
            <w:r>
              <w:rPr>
                <w:rFonts w:ascii="宋体" w:hAnsi="宋体" w:eastAsia="宋体"/>
                <w:b w:val="0"/>
                <w:sz w:val="20"/>
              </w:rPr>
              <w:t>智能密码钥匙</w:t>
            </w:r>
          </w:p>
        </w:tc>
        <w:tc>
          <w:tcPr>
            <w:tcW w:type="dxa" w:w="1728"/>
          </w:tcPr>
          <w:p>
            <w:pPr>
              <w:jc w:val="center"/>
            </w:pPr>
            <w:r/>
            <w:r>
              <w:rPr>
                <w:rFonts w:ascii="宋体" w:hAnsi="宋体" w:eastAsia="宋体"/>
                <w:b w:val="0"/>
                <w:sz w:val="20"/>
              </w:rPr>
              <w:t>国密智能密码钥匙，密码模块二级</w:t>
            </w:r>
          </w:p>
        </w:tc>
        <w:tc>
          <w:tcPr>
            <w:tcW w:type="dxa" w:w="1728"/>
          </w:tcPr>
          <w:p>
            <w:pPr>
              <w:jc w:val="center"/>
            </w:pPr>
            <w:r/>
            <w:r>
              <w:rPr>
                <w:rFonts w:ascii="宋体" w:hAnsi="宋体" w:eastAsia="宋体"/>
                <w:b w:val="0"/>
                <w:sz w:val="20"/>
              </w:rPr>
              <w:t>15个</w:t>
            </w:r>
          </w:p>
        </w:tc>
        <w:tc>
          <w:tcPr>
            <w:tcW w:type="dxa" w:w="1728"/>
          </w:tcPr>
          <w:p>
            <w:pPr>
              <w:jc w:val="center"/>
            </w:pPr>
            <w:r/>
            <w:r>
              <w:rPr>
                <w:rFonts w:ascii="宋体" w:hAnsi="宋体" w:eastAsia="宋体"/>
                <w:b w:val="0"/>
                <w:sz w:val="20"/>
              </w:rPr>
              <w:t>1.5</w:t>
            </w:r>
          </w:p>
        </w:tc>
      </w:tr>
      <w:tr>
        <w:tc>
          <w:tcPr>
            <w:tcW w:type="dxa" w:w="1728"/>
          </w:tcPr>
          <w:p>
            <w:pPr>
              <w:jc w:val="center"/>
            </w:pPr>
            <w:r/>
            <w:r>
              <w:rPr>
                <w:rFonts w:ascii="宋体" w:hAnsi="宋体" w:eastAsia="宋体"/>
                <w:b w:val="0"/>
                <w:sz w:val="20"/>
              </w:rPr>
              <w:t>7</w:t>
            </w:r>
          </w:p>
        </w:tc>
        <w:tc>
          <w:tcPr>
            <w:tcW w:type="dxa" w:w="1728"/>
          </w:tcPr>
          <w:p>
            <w:pPr>
              <w:jc w:val="center"/>
            </w:pPr>
            <w:r/>
            <w:r>
              <w:rPr>
                <w:rFonts w:ascii="宋体" w:hAnsi="宋体" w:eastAsia="宋体"/>
                <w:b w:val="0"/>
                <w:sz w:val="20"/>
              </w:rPr>
              <w:t>国密浏览器</w:t>
            </w:r>
          </w:p>
        </w:tc>
        <w:tc>
          <w:tcPr>
            <w:tcW w:type="dxa" w:w="1728"/>
          </w:tcPr>
          <w:p>
            <w:pPr>
              <w:jc w:val="center"/>
            </w:pPr>
            <w:r/>
            <w:r>
              <w:rPr>
                <w:rFonts w:ascii="宋体" w:hAnsi="宋体" w:eastAsia="宋体"/>
                <w:b w:val="0"/>
                <w:sz w:val="20"/>
              </w:rPr>
              <w:t>国密SSL浏览器软件</w:t>
            </w:r>
          </w:p>
        </w:tc>
        <w:tc>
          <w:tcPr>
            <w:tcW w:type="dxa" w:w="1728"/>
          </w:tcPr>
          <w:p>
            <w:pPr>
              <w:jc w:val="center"/>
            </w:pPr>
            <w:r/>
            <w:r>
              <w:rPr>
                <w:rFonts w:ascii="宋体" w:hAnsi="宋体" w:eastAsia="宋体"/>
                <w:b w:val="0"/>
                <w:sz w:val="20"/>
              </w:rPr>
              <w:t>15套</w:t>
            </w:r>
          </w:p>
        </w:tc>
        <w:tc>
          <w:tcPr>
            <w:tcW w:type="dxa" w:w="1728"/>
          </w:tcPr>
          <w:p>
            <w:pPr>
              <w:jc w:val="center"/>
            </w:pPr>
            <w:r/>
            <w:r>
              <w:rPr>
                <w:rFonts w:ascii="宋体" w:hAnsi="宋体" w:eastAsia="宋体"/>
                <w:b w:val="0"/>
                <w:sz w:val="20"/>
              </w:rPr>
              <w:t>0.6</w:t>
            </w:r>
          </w:p>
        </w:tc>
      </w:tr>
      <w:tr>
        <w:tc>
          <w:tcPr>
            <w:tcW w:type="dxa" w:w="1728"/>
          </w:tcPr>
          <w:p>
            <w:pPr>
              <w:jc w:val="center"/>
            </w:pPr>
            <w:r/>
            <w:r>
              <w:rPr>
                <w:rFonts w:ascii="宋体" w:hAnsi="宋体" w:eastAsia="宋体"/>
                <w:b w:val="0"/>
                <w:sz w:val="20"/>
              </w:rPr>
              <w:t>8</w:t>
            </w:r>
          </w:p>
        </w:tc>
        <w:tc>
          <w:tcPr>
            <w:tcW w:type="dxa" w:w="1728"/>
          </w:tcPr>
          <w:p>
            <w:pPr>
              <w:jc w:val="center"/>
            </w:pPr>
            <w:r/>
            <w:r>
              <w:rPr>
                <w:rFonts w:ascii="宋体" w:hAnsi="宋体" w:eastAsia="宋体"/>
                <w:b w:val="0"/>
                <w:sz w:val="20"/>
              </w:rPr>
              <w:t>数字证书服务</w:t>
            </w:r>
          </w:p>
        </w:tc>
        <w:tc>
          <w:tcPr>
            <w:tcW w:type="dxa" w:w="1728"/>
          </w:tcPr>
          <w:p>
            <w:pPr>
              <w:jc w:val="center"/>
            </w:pPr>
            <w:r/>
            <w:r>
              <w:rPr>
                <w:rFonts w:ascii="宋体" w:hAnsi="宋体" w:eastAsia="宋体"/>
                <w:b w:val="0"/>
                <w:sz w:val="20"/>
              </w:rPr>
              <w:t>合规CA机构签发国密数字证书</w:t>
            </w:r>
          </w:p>
        </w:tc>
        <w:tc>
          <w:tcPr>
            <w:tcW w:type="dxa" w:w="1728"/>
          </w:tcPr>
          <w:p>
            <w:pPr>
              <w:jc w:val="center"/>
            </w:pPr>
            <w:r/>
            <w:r>
              <w:rPr>
                <w:rFonts w:ascii="宋体" w:hAnsi="宋体" w:eastAsia="宋体"/>
                <w:b w:val="0"/>
                <w:sz w:val="20"/>
              </w:rPr>
              <w:t>20张</w:t>
            </w:r>
          </w:p>
        </w:tc>
        <w:tc>
          <w:tcPr>
            <w:tcW w:type="dxa" w:w="1728"/>
          </w:tcPr>
          <w:p>
            <w:pPr>
              <w:jc w:val="center"/>
            </w:pPr>
            <w:r/>
            <w:r>
              <w:rPr>
                <w:rFonts w:ascii="宋体" w:hAnsi="宋体" w:eastAsia="宋体"/>
                <w:b w:val="0"/>
                <w:sz w:val="20"/>
              </w:rPr>
              <w:t>0.8</w:t>
            </w:r>
          </w:p>
        </w:tc>
      </w:tr>
      <w:tr>
        <w:tc>
          <w:tcPr>
            <w:tcW w:type="dxa" w:w="1728"/>
          </w:tcPr>
          <w:p>
            <w:pPr>
              <w:jc w:val="center"/>
            </w:pPr>
            <w:r/>
            <w:r>
              <w:rPr>
                <w:rFonts w:ascii="宋体" w:hAnsi="宋体" w:eastAsia="宋体"/>
                <w:b w:val="0"/>
                <w:sz w:val="20"/>
              </w:rPr>
              <w:t>9</w:t>
            </w:r>
          </w:p>
        </w:tc>
        <w:tc>
          <w:tcPr>
            <w:tcW w:type="dxa" w:w="1728"/>
          </w:tcPr>
          <w:p>
            <w:pPr>
              <w:jc w:val="center"/>
            </w:pPr>
            <w:r/>
            <w:r>
              <w:rPr>
                <w:rFonts w:ascii="宋体" w:hAnsi="宋体" w:eastAsia="宋体"/>
                <w:b w:val="0"/>
                <w:sz w:val="20"/>
              </w:rPr>
              <w:t>密码应用集成开发</w:t>
            </w:r>
          </w:p>
        </w:tc>
        <w:tc>
          <w:tcPr>
            <w:tcW w:type="dxa" w:w="1728"/>
          </w:tcPr>
          <w:p>
            <w:pPr>
              <w:jc w:val="center"/>
            </w:pPr>
            <w:r/>
            <w:r>
              <w:rPr>
                <w:rFonts w:ascii="宋体" w:hAnsi="宋体" w:eastAsia="宋体"/>
                <w:b w:val="0"/>
                <w:sz w:val="20"/>
              </w:rPr>
              <w:t>身份鉴别、数据加密、完整性保护等集成开发</w:t>
            </w:r>
          </w:p>
        </w:tc>
        <w:tc>
          <w:tcPr>
            <w:tcW w:type="dxa" w:w="1728"/>
          </w:tcPr>
          <w:p>
            <w:pPr>
              <w:jc w:val="center"/>
            </w:pPr>
            <w:r/>
            <w:r>
              <w:rPr>
                <w:rFonts w:ascii="宋体" w:hAnsi="宋体" w:eastAsia="宋体"/>
                <w:b w:val="0"/>
                <w:sz w:val="20"/>
              </w:rPr>
              <w:t>1项</w:t>
            </w:r>
          </w:p>
        </w:tc>
        <w:tc>
          <w:tcPr>
            <w:tcW w:type="dxa" w:w="1728"/>
          </w:tcPr>
          <w:p>
            <w:pPr>
              <w:jc w:val="center"/>
            </w:pPr>
            <w:r/>
            <w:r>
              <w:rPr>
                <w:rFonts w:ascii="宋体" w:hAnsi="宋体" w:eastAsia="宋体"/>
                <w:b w:val="0"/>
                <w:sz w:val="20"/>
              </w:rPr>
              <w:t>4.5</w:t>
            </w:r>
          </w:p>
        </w:tc>
      </w:tr>
      <w:tr>
        <w:tc>
          <w:tcPr>
            <w:tcW w:type="dxa" w:w="1728"/>
          </w:tcPr>
          <w:p>
            <w:pPr>
              <w:jc w:val="center"/>
            </w:pPr>
            <w:r/>
            <w:r>
              <w:rPr>
                <w:rFonts w:ascii="宋体" w:hAnsi="宋体" w:eastAsia="宋体"/>
                <w:b w:val="0"/>
                <w:sz w:val="20"/>
              </w:rPr>
              <w:t>10</w:t>
            </w:r>
          </w:p>
        </w:tc>
        <w:tc>
          <w:tcPr>
            <w:tcW w:type="dxa" w:w="1728"/>
          </w:tcPr>
          <w:p>
            <w:pPr>
              <w:jc w:val="center"/>
            </w:pPr>
            <w:r/>
            <w:r>
              <w:rPr>
                <w:rFonts w:ascii="宋体" w:hAnsi="宋体" w:eastAsia="宋体"/>
                <w:b w:val="0"/>
                <w:sz w:val="20"/>
              </w:rPr>
              <w:t>密码应用安全性评估</w:t>
            </w:r>
          </w:p>
        </w:tc>
        <w:tc>
          <w:tcPr>
            <w:tcW w:type="dxa" w:w="1728"/>
          </w:tcPr>
          <w:p>
            <w:pPr>
              <w:jc w:val="center"/>
            </w:pPr>
            <w:r/>
            <w:r>
              <w:rPr>
                <w:rFonts w:ascii="宋体" w:hAnsi="宋体" w:eastAsia="宋体"/>
                <w:b w:val="0"/>
                <w:sz w:val="20"/>
              </w:rPr>
              <w:t>密评机构评估服务费</w:t>
            </w:r>
          </w:p>
        </w:tc>
        <w:tc>
          <w:tcPr>
            <w:tcW w:type="dxa" w:w="1728"/>
          </w:tcPr>
          <w:p>
            <w:pPr>
              <w:jc w:val="center"/>
            </w:pPr>
            <w:r/>
            <w:r>
              <w:rPr>
                <w:rFonts w:ascii="宋体" w:hAnsi="宋体" w:eastAsia="宋体"/>
                <w:b w:val="0"/>
                <w:sz w:val="20"/>
              </w:rPr>
              <w:t>1次</w:t>
            </w:r>
          </w:p>
        </w:tc>
        <w:tc>
          <w:tcPr>
            <w:tcW w:type="dxa" w:w="1728"/>
          </w:tcPr>
          <w:p>
            <w:pPr>
              <w:jc w:val="center"/>
            </w:pPr>
            <w:r/>
            <w:r>
              <w:rPr>
                <w:rFonts w:ascii="宋体" w:hAnsi="宋体" w:eastAsia="宋体"/>
                <w:b w:val="0"/>
                <w:sz w:val="20"/>
              </w:rPr>
              <w:t>3.0</w:t>
            </w:r>
          </w:p>
        </w:tc>
      </w:tr>
      <w:tr>
        <w:tc>
          <w:tcPr>
            <w:tcW w:type="dxa" w:w="1728"/>
          </w:tcPr>
          <w:p>
            <w:pPr>
              <w:jc w:val="center"/>
            </w:pPr>
            <w:r/>
            <w:r>
              <w:rPr>
                <w:rFonts w:ascii="宋体" w:hAnsi="宋体" w:eastAsia="宋体"/>
                <w:b w:val="0"/>
                <w:sz w:val="20"/>
              </w:rPr>
            </w:r>
          </w:p>
        </w:tc>
        <w:tc>
          <w:tcPr>
            <w:tcW w:type="dxa" w:w="1728"/>
          </w:tcPr>
          <w:p>
            <w:pPr>
              <w:jc w:val="center"/>
            </w:pPr>
            <w:r/>
            <w:r>
              <w:rPr>
                <w:rFonts w:ascii="宋体" w:hAnsi="宋体" w:eastAsia="宋体"/>
                <w:b w:val="0"/>
                <w:sz w:val="20"/>
              </w:rPr>
            </w:r>
          </w:p>
        </w:tc>
        <w:tc>
          <w:tcPr>
            <w:tcW w:type="dxa" w:w="1728"/>
          </w:tcPr>
          <w:p>
            <w:pPr>
              <w:jc w:val="center"/>
            </w:pPr>
            <w:r/>
            <w:r>
              <w:rPr>
                <w:rFonts w:ascii="宋体" w:hAnsi="宋体" w:eastAsia="宋体"/>
                <w:b w:val="0"/>
                <w:sz w:val="20"/>
              </w:rPr>
            </w:r>
          </w:p>
        </w:tc>
        <w:tc>
          <w:tcPr>
            <w:tcW w:type="dxa" w:w="1728"/>
          </w:tcPr>
          <w:p>
            <w:pPr>
              <w:jc w:val="center"/>
            </w:pPr>
            <w:r/>
            <w:r>
              <w:rPr>
                <w:rFonts w:ascii="宋体" w:hAnsi="宋体" w:eastAsia="宋体"/>
                <w:b w:val="0"/>
                <w:sz w:val="20"/>
              </w:rPr>
              <w:t>合计</w:t>
            </w:r>
          </w:p>
        </w:tc>
        <w:tc>
          <w:tcPr>
            <w:tcW w:type="dxa" w:w="1728"/>
          </w:tcPr>
          <w:p>
            <w:pPr>
              <w:jc w:val="center"/>
            </w:pPr>
            <w:r/>
            <w:r>
              <w:rPr>
                <w:rFonts w:ascii="宋体" w:hAnsi="宋体" w:eastAsia="宋体"/>
                <w:b w:val="0"/>
                <w:sz w:val="20"/>
              </w:rPr>
              <w:t>33.2</w:t>
            </w:r>
          </w:p>
        </w:tc>
      </w:tr>
    </w:tbl>
    <w:p/>
    <w:p>
      <w:pPr>
        <w:ind w:firstLine="420"/>
      </w:pPr>
      <w:r>
        <w:rPr>
          <w:rFonts w:ascii="宋体" w:hAnsi="宋体" w:eastAsia="宋体"/>
          <w:b w:val="0"/>
          <w:sz w:val="24"/>
        </w:rPr>
        <w:t>说明：以上经费为密码应用建设专项费用的预估，最终以实际采购和合同签订为准。密码应用建设费用包含在项目总投资48.49万元中，需在项目实施过程中统筹安排。政务云资源费用（7.28万元/年）由政务云统一保障，不纳入本项目投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pPr>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