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line="480" w:lineRule="auto"/>
      </w:pPr>
      <w:r>
        <w:rPr>
          <w:rFonts w:ascii="仿宋_GB2312" w:cs="仿宋_GB2312" w:eastAsia="仿宋_GB2312" w:hAnsi="仿宋_GB2312"/>
          <w:sz w:val="32"/>
          <w:szCs w:val="32"/>
        </w:rPr>
        <w:t xml:space="preserve"/>
      </w:r>
    </w:p>
    <w:p>
      <w:pPr>
        <w:spacing w:line="480" w:lineRule="auto"/>
      </w:pPr>
      <w:r>
        <w:rPr>
          <w:rFonts w:ascii="仿宋_GB2312" w:cs="仿宋_GB2312" w:eastAsia="仿宋_GB2312" w:hAnsi="仿宋_GB2312"/>
          <w:sz w:val="32"/>
          <w:szCs w:val="32"/>
        </w:rPr>
        <w:t xml:space="preserve"/>
      </w:r>
    </w:p>
    <w:p>
      <w:pPr>
        <w:spacing w:line="480" w:lineRule="auto"/>
      </w:pPr>
      <w:r>
        <w:rPr>
          <w:rFonts w:ascii="仿宋_GB2312" w:cs="仿宋_GB2312" w:eastAsia="仿宋_GB2312" w:hAnsi="仿宋_GB2312"/>
          <w:sz w:val="32"/>
          <w:szCs w:val="32"/>
        </w:rPr>
        <w:t xml:space="preserve"/>
      </w:r>
    </w:p>
    <w:p>
      <w:pPr>
        <w:spacing w:after="200" w:before="0" w:line="560" w:lineRule="exact"/>
        <w:jc w:val="center"/>
      </w:pPr>
      <w:r>
        <w:rPr>
          <w:rFonts w:ascii="方正小标宋简体" w:cs="方正小标宋简体" w:eastAsia="方正小标宋简体" w:hAnsi="方正小标宋简体"/>
          <w:sz w:val="44"/>
          <w:szCs w:val="44"/>
        </w:rPr>
        <w:t xml:space="preserve">西宁市“三新”领域党建</w:t>
      </w:r>
    </w:p>
    <w:p>
      <w:pPr>
        <w:spacing w:after="200" w:before="0" w:line="560" w:lineRule="exact"/>
        <w:jc w:val="center"/>
      </w:pPr>
      <w:r>
        <w:rPr>
          <w:rFonts w:ascii="方正小标宋简体" w:cs="方正小标宋简体" w:eastAsia="方正小标宋简体" w:hAnsi="方正小标宋简体"/>
          <w:sz w:val="44"/>
          <w:szCs w:val="44"/>
        </w:rPr>
        <w:t xml:space="preserve">智慧平台建设方案</w:t>
      </w:r>
    </w:p>
    <w:p>
      <w:pPr>
        <w:spacing w:line="480" w:lineRule="auto"/>
      </w:pPr>
      <w:r>
        <w:rPr>
          <w:rFonts w:ascii="仿宋_GB2312" w:cs="仿宋_GB2312" w:eastAsia="仿宋_GB2312" w:hAnsi="仿宋_GB2312"/>
          <w:sz w:val="32"/>
          <w:szCs w:val="32"/>
        </w:rPr>
        <w:t xml:space="preserve"/>
      </w:r>
    </w:p>
    <w:p>
      <w:pPr>
        <w:spacing w:line="480" w:lineRule="auto"/>
      </w:pPr>
      <w:r>
        <w:rPr>
          <w:rFonts w:ascii="仿宋_GB2312" w:cs="仿宋_GB2312" w:eastAsia="仿宋_GB2312" w:hAnsi="仿宋_GB2312"/>
          <w:sz w:val="32"/>
          <w:szCs w:val="32"/>
        </w:rPr>
        <w:t xml:space="preserve"/>
      </w:r>
    </w:p>
    <w:p>
      <w:pPr>
        <w:spacing w:after="400" w:before="0" w:line="480" w:lineRule="auto"/>
        <w:jc w:val="center"/>
      </w:pPr>
      <w:r>
        <w:rPr>
          <w:rFonts w:ascii="楷体_GB2312" w:cs="楷体_GB2312" w:eastAsia="楷体_GB2312" w:hAnsi="楷体_GB2312"/>
          <w:sz w:val="36"/>
          <w:szCs w:val="36"/>
        </w:rPr>
        <w:t xml:space="preserve">——汇报方案</w:t>
      </w:r>
    </w:p>
    <w:p>
      <w:pPr>
        <w:spacing w:line="480" w:lineRule="auto"/>
      </w:pPr>
      <w:r>
        <w:rPr>
          <w:rFonts w:ascii="仿宋_GB2312" w:cs="仿宋_GB2312" w:eastAsia="仿宋_GB2312" w:hAnsi="仿宋_GB2312"/>
          <w:sz w:val="32"/>
          <w:szCs w:val="32"/>
        </w:rPr>
        <w:t xml:space="preserve"/>
      </w:r>
    </w:p>
    <w:p>
      <w:pPr>
        <w:spacing w:line="480" w:lineRule="auto"/>
      </w:pPr>
      <w:r>
        <w:rPr>
          <w:rFonts w:ascii="仿宋_GB2312" w:cs="仿宋_GB2312" w:eastAsia="仿宋_GB2312" w:hAnsi="仿宋_GB2312"/>
          <w:sz w:val="32"/>
          <w:szCs w:val="32"/>
        </w:rPr>
        <w:t xml:space="preserve"/>
      </w:r>
    </w:p>
    <w:p>
      <w:pPr>
        <w:spacing w:line="480" w:lineRule="auto"/>
      </w:pPr>
      <w:r>
        <w:rPr>
          <w:rFonts w:ascii="仿宋_GB2312" w:cs="仿宋_GB2312" w:eastAsia="仿宋_GB2312" w:hAnsi="仿宋_GB2312"/>
          <w:sz w:val="32"/>
          <w:szCs w:val="32"/>
        </w:rPr>
        <w:t xml:space="preserve"/>
      </w:r>
    </w:p>
    <w:p>
      <w:pPr>
        <w:pBdr>
          <w:bottom w:val="single" w:color="999999" w:sz="6" w:space="1"/>
        </w:pBdr>
        <w:spacing w:after="200"/>
      </w:pPr>
      <w:r>
        <w:rPr>
          <w:rFonts w:ascii="仿宋_GB2312" w:cs="仿宋_GB2312" w:eastAsia="仿宋_GB2312" w:hAnsi="仿宋_GB2312"/>
          <w:sz w:val="32"/>
          <w:szCs w:val="32"/>
        </w:rPr>
        <w:t xml:space="preserve"/>
      </w:r>
    </w:p>
    <w:p>
      <w:pPr>
        <w:pageBreakBefore/>
      </w:pPr>
      <w:r>
        <w:rPr>
          <w:rFonts w:ascii="仿宋_GB2312" w:cs="仿宋_GB2312" w:eastAsia="仿宋_GB2312" w:hAnsi="仿宋_GB2312"/>
          <w:sz w:val="32"/>
          <w:szCs w:val="32"/>
        </w:rPr>
        <w:t xml:space="preserve"/>
      </w:r>
    </w:p>
    <w:p>
      <w:pPr>
        <w:spacing w:after="120" w:before="240" w:line="480" w:lineRule="auto"/>
        <w:jc w:val="center"/>
      </w:pPr>
      <w:r>
        <w:rPr>
          <w:rFonts w:ascii="黑体" w:cs="黑体" w:eastAsia="黑体" w:hAnsi="黑体"/>
          <w:b w:val="false"/>
          <w:bCs w:val="false"/>
          <w:sz w:val="32"/>
          <w:szCs w:val="32"/>
        </w:rPr>
        <w:t xml:space="preserve">一、“三新”领域党建工作背景</w:t>
      </w:r>
    </w:p>
    <w:p>
      <w:pPr>
        <w:spacing w:after="80" w:before="240" w:line="480" w:lineRule="auto"/>
        <w:ind w:firstLine="640"/>
        <w:jc w:val="left"/>
      </w:pPr>
      <w:r>
        <w:rPr>
          <w:rFonts w:ascii="黑体" w:cs="黑体" w:eastAsia="黑体" w:hAnsi="黑体"/>
          <w:sz w:val="32"/>
          <w:szCs w:val="32"/>
        </w:rPr>
        <w:t xml:space="preserve">（一）时代背景与政策导向</w:t>
      </w:r>
    </w:p>
    <w:p>
      <w:pPr>
        <w:spacing w:after="0" w:before="0" w:line="480" w:lineRule="auto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党的二十大报告明确提出，“加强新经济组织、新社会组织、新就业群体党的建设”。党的二十届三中全会进一步强调，要“探索加强新经济组织、新社会组织、新就业群体党的建设有效途径”。习近平总书记多次就加强“三新”领域党建工作作出重要指示，强调“要加强新经济组织、新社会组织、新就业群体的党建工作，不断扩大党的组织覆盖和工作覆盖”。这为新时代“三新”党建工作指明了前进方向、提供了根本遵循。</w:t>
      </w:r>
    </w:p>
    <w:p>
      <w:pPr>
        <w:spacing w:after="0" w:before="0" w:line="480" w:lineRule="auto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近年来，随着数字经济和平台经济的蓬勃发展，新经济组织、新社会组织、新就业群体规模持续壮大，已成为推动经济社会发展的重要力量。外卖骑手、快递员、网约车司机等新就业群体作为城市运行不可或缺的“摆渡人”，其党建工作面临组织覆盖难、活动开展难、教育管理难等现实困境。如何将这一庞大群体有效纳入党的组织体系，引导其从“治理对象”转变为“治理力量”，是当前基层党建工作的重大课题。</w:t>
      </w:r>
    </w:p>
    <w:p>
      <w:pPr>
        <w:spacing w:after="80" w:before="240" w:line="480" w:lineRule="auto"/>
        <w:ind w:firstLine="640"/>
        <w:jc w:val="left"/>
      </w:pPr>
      <w:r>
        <w:rPr>
          <w:rFonts w:ascii="黑体" w:cs="黑体" w:eastAsia="黑体" w:hAnsi="黑体"/>
          <w:sz w:val="32"/>
          <w:szCs w:val="32"/>
        </w:rPr>
        <w:t xml:space="preserve">（二）青海省及西宁市工作要求</w:t>
      </w:r>
    </w:p>
    <w:p>
      <w:pPr>
        <w:spacing w:after="0" w:before="0" w:line="480" w:lineRule="auto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青海省委组织部高度重视“三新”领域党建工作，将其作为基层党建重点任务统筹推进。西宁市作为青海省省会，是全省“三新”领域党建工作的重要阵地和先行示范区。当前，西宁市新就业群体规模持续扩大，外卖骑手、快递员、网约车司机等从业人员遍布城市各个角落，是基层社会治理的重要参与力量。</w:t>
      </w:r>
    </w:p>
    <w:p>
      <w:pPr>
        <w:spacing w:after="0" w:before="0" w:line="480" w:lineRule="auto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西宁市委认真贯彻落实中央和省委部署要求，以“夏都红骑手”等品牌建设为抓手，积极探索“三新”领域党建工作新路径。但面对新形势新任务，传统党建工作模式已难以满足“三新”领域党员分散性强、流动性大、时间不固定等特点，亟需运用数字化、智能化手段创新党建工作方式，提升“三新”领域党建工作质效。</w:t>
      </w:r>
    </w:p>
    <w:p>
      <w:pPr>
        <w:spacing w:after="80" w:before="240" w:line="480" w:lineRule="auto"/>
        <w:ind w:firstLine="640"/>
        <w:jc w:val="left"/>
      </w:pPr>
      <w:r>
        <w:rPr>
          <w:rFonts w:ascii="黑体" w:cs="黑体" w:eastAsia="黑体" w:hAnsi="黑体"/>
          <w:sz w:val="32"/>
          <w:szCs w:val="32"/>
        </w:rPr>
        <w:t xml:space="preserve">（三）平台建设的必要性与紧迫性</w:t>
      </w:r>
    </w:p>
    <w:p>
      <w:pPr>
        <w:spacing w:after="0" w:before="0" w:line="480" w:lineRule="auto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一是破解“两个覆盖”难题的现实需要。当前“三新”领域党组织覆盖率偏低，部分符合条件的企业尚未建立党组织，党组织活动开展率不高，传统人工排查方式效率低、覆盖面有限，亟需依托信息化手段实现动态监测、精准推送、及时预警。</w:t>
      </w:r>
    </w:p>
    <w:p>
      <w:pPr>
        <w:spacing w:after="0" w:before="0" w:line="480" w:lineRule="auto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二是服务新就业群体的重要载体。新就业群体工作时间碎片化、空间流动性强，传统党群服务方式难以有效覆盖。建设智慧平台，能够为外卖骑手、快递员、网约车司机等群体提供便捷的线上服务，让党的温暖触手可及。</w:t>
      </w:r>
    </w:p>
    <w:p>
      <w:pPr>
        <w:spacing w:after="0" w:before="0" w:line="480" w:lineRule="auto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三是赋能基层社会治理的创新路径。新就业群体走街串巷、直面群众，具有参与基层治理的独特优势。通过平台引导其参与社区巡防、反诈宣传、志愿服务等工作，能够有效释放“新”力量，贡献“新”温暖。</w:t>
      </w:r>
    </w:p>
    <w:p>
      <w:pPr>
        <w:spacing w:after="0" w:before="0" w:line="480" w:lineRule="auto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四是提升组织部门决策能力的有力支撑。当前“三新”领域党建数据分散、统计口径不一，难以为组织部门科学决策提供数据支撑。建设数据驾驶舱，能够实现关键指标实时呈现、多维度钻取分析和趋势预测，为市、区（县）两级组织部门提供精准决策支撑。</w:t>
      </w:r>
    </w:p>
    <w:p>
      <w:pPr>
        <w:pageBreakBefore/>
      </w:pPr>
      <w:r>
        <w:rPr>
          <w:rFonts w:ascii="仿宋_GB2312" w:cs="仿宋_GB2312" w:eastAsia="仿宋_GB2312" w:hAnsi="仿宋_GB2312"/>
          <w:sz w:val="32"/>
          <w:szCs w:val="32"/>
        </w:rPr>
        <w:t xml:space="preserve"/>
      </w:r>
    </w:p>
    <w:p>
      <w:pPr>
        <w:spacing w:after="120" w:before="240" w:line="480" w:lineRule="auto"/>
        <w:jc w:val="center"/>
      </w:pPr>
      <w:r>
        <w:rPr>
          <w:rFonts w:ascii="黑体" w:cs="黑体" w:eastAsia="黑体" w:hAnsi="黑体"/>
          <w:b w:val="false"/>
          <w:bCs w:val="false"/>
          <w:sz w:val="32"/>
          <w:szCs w:val="32"/>
        </w:rPr>
        <w:t xml:space="preserve">二、平台功能模块介绍</w:t>
      </w:r>
    </w:p>
    <w:p>
      <w:pPr>
        <w:spacing w:after="0" w:before="0" w:line="480" w:lineRule="auto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西宁市“三新”领域党建智慧平台按照“一端管理、一端服务、一屏决策”的总体架构，设置管理端、小程序端、大屏分析端三大板块，形成管理、服务、决策三位一体的智慧党建体系。</w:t>
      </w:r>
    </w:p>
    <w:p>
      <w:pPr>
        <w:spacing w:after="80" w:before="240" w:line="480" w:lineRule="auto"/>
        <w:ind w:firstLine="640"/>
        <w:jc w:val="left"/>
      </w:pPr>
      <w:r>
        <w:rPr>
          <w:rFonts w:ascii="黑体" w:cs="黑体" w:eastAsia="黑体" w:hAnsi="黑体"/>
          <w:sz w:val="32"/>
          <w:szCs w:val="32"/>
        </w:rPr>
        <w:t xml:space="preserve">（一）管理端：组织管理智能高效</w:t>
      </w:r>
    </w:p>
    <w:p>
      <w:pPr>
        <w:spacing w:after="0" w:before="0" w:line="480" w:lineRule="auto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管理端面向市、区（县）两级组织部门及党群服务中心管理员，聚焦“三新”组织党建管理的核心需求，实现组织底数清、链条协同强、覆盖监测准。</w:t>
      </w:r>
    </w:p>
    <w:p>
      <w:pPr>
        <w:spacing w:after="60" w:before="120" w:line="480" w:lineRule="auto"/>
        <w:ind w:firstLine="640"/>
        <w:jc w:val="left"/>
      </w:pPr>
      <w:r>
        <w:rPr>
          <w:rFonts w:ascii="楷体_GB2312" w:cs="楷体_GB2312" w:eastAsia="楷体_GB2312" w:hAnsi="楷体_GB2312"/>
          <w:b/>
          <w:bCs/>
          <w:sz w:val="32"/>
          <w:szCs w:val="32"/>
        </w:rPr>
        <w:t xml:space="preserve">1. 支部空间——“一企一档”数字画像</w:t>
      </w:r>
    </w:p>
    <w:p>
      <w:pPr>
        <w:spacing w:after="0" w:before="0" w:line="480" w:lineRule="auto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建立新经济组织、新社会组织、新就业群体基础数据库，整合单位信息、党组织建设情况、党员队伍结构、生产经营状况等多维数据，构建组织“数字画像”，实现“一企一档”动态管理。通过多维数据关联分析，全面掌握“三新”组织基本情况和党建工作开展情况，为精准施策提供数据基础。</w:t>
      </w:r>
    </w:p>
    <w:p>
      <w:pPr>
        <w:spacing w:after="60" w:before="120" w:line="480" w:lineRule="auto"/>
        <w:ind w:firstLine="640"/>
        <w:jc w:val="left"/>
      </w:pPr>
      <w:r>
        <w:rPr>
          <w:rFonts w:ascii="楷体_GB2312" w:cs="楷体_GB2312" w:eastAsia="楷体_GB2312" w:hAnsi="楷体_GB2312"/>
          <w:b/>
          <w:bCs/>
          <w:sz w:val="32"/>
          <w:szCs w:val="32"/>
        </w:rPr>
        <w:t xml:space="preserve">2. 产业链党建协同管理——链上资源互联互通</w:t>
      </w:r>
    </w:p>
    <w:p>
      <w:pPr>
        <w:spacing w:after="0" w:before="0" w:line="480" w:lineRule="auto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围绕西宁市重点产业（新能源、新材料、高原特色农牧业、文旅产业等），搭建产业链党建协同平台，推动链上企业党组织资源共享、活动共办、人才共育。支持发布“惠企项目清单”，推动党建赋能产业发展，实现“党建强、产业兴”的良性循环。</w:t>
      </w:r>
    </w:p>
    <w:p>
      <w:pPr>
        <w:spacing w:after="60" w:before="120" w:line="480" w:lineRule="auto"/>
        <w:ind w:firstLine="640"/>
        <w:jc w:val="left"/>
      </w:pPr>
      <w:r>
        <w:rPr>
          <w:rFonts w:ascii="楷体_GB2312" w:cs="楷体_GB2312" w:eastAsia="楷体_GB2312" w:hAnsi="楷体_GB2312"/>
          <w:b/>
          <w:bCs/>
          <w:sz w:val="32"/>
          <w:szCs w:val="32"/>
        </w:rPr>
        <w:t xml:space="preserve">3. “两个覆盖”动态监测——AI驱动精准攻坚</w:t>
      </w:r>
    </w:p>
    <w:p>
      <w:pPr>
        <w:spacing w:after="0" w:before="0" w:line="480" w:lineRule="auto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AI实时监测新经济组织党组织覆盖和工作覆盖情况，对符合条件但未建立党组织的企业自动推送提醒，对党组织活动开展率低的企业自动预警，辅助组织部门精准推进“两个覆盖”攻坚。变“被动排查”为“主动发现”，变“事后补救”为“事前预警”，切实提升“两个覆盖”工作实效。</w:t>
      </w:r>
    </w:p>
    <w:p>
      <w:pPr>
        <w:spacing w:after="80" w:before="240" w:line="480" w:lineRule="auto"/>
        <w:ind w:firstLine="640"/>
        <w:jc w:val="left"/>
      </w:pPr>
      <w:r>
        <w:rPr>
          <w:rFonts w:ascii="黑体" w:cs="黑体" w:eastAsia="黑体" w:hAnsi="黑体"/>
          <w:sz w:val="32"/>
          <w:szCs w:val="32"/>
        </w:rPr>
        <w:t xml:space="preserve">（二）小程序端：暖心服务触手可及</w:t>
      </w:r>
    </w:p>
    <w:p>
      <w:pPr>
        <w:spacing w:after="0" w:before="0" w:line="480" w:lineRule="auto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小程序端面向“三新”领域党员及广大新就业群体，以“暖心、便捷、实用”为设计理念，整合宣传服务、关爱保障、组织生活、学习教育、社会治理等功能，打造新就业群体掌上红色家园。</w:t>
      </w:r>
    </w:p>
    <w:p>
      <w:pPr>
        <w:spacing w:after="60" w:before="120" w:line="480" w:lineRule="auto"/>
        <w:ind w:firstLine="640"/>
        <w:jc w:val="left"/>
      </w:pPr>
      <w:r>
        <w:rPr>
          <w:rFonts w:ascii="楷体_GB2312" w:cs="楷体_GB2312" w:eastAsia="楷体_GB2312" w:hAnsi="楷体_GB2312"/>
          <w:b/>
          <w:bCs/>
          <w:sz w:val="32"/>
          <w:szCs w:val="32"/>
        </w:rPr>
        <w:t xml:space="preserve">1. “三新”领域一站式宣传服务</w:t>
      </w:r>
    </w:p>
    <w:p>
      <w:pPr>
        <w:spacing w:after="0" w:before="0" w:line="480" w:lineRule="auto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整合党建动态、“三新”实时政策、党群服务、社区活动、志愿服务等功能进行集中宣传。AI自动解析中央、省、市关于“三新”领域党建的最新政策文件，结合青海本地实际生成通俗化解读版本。围绕高原地区气候特点（冬季严寒、夏季防晒）和地方政策（如青海省新就业形态劳动者维权服务措施），针对外卖骑手、快递员、网约车司机等群体职业特点精准推送，降低政策理解门槛，让党的好声音传到每一位新就业群体耳中。</w:t>
      </w:r>
    </w:p>
    <w:p>
      <w:pPr>
        <w:spacing w:after="60" w:before="120" w:line="480" w:lineRule="auto"/>
        <w:ind w:firstLine="640"/>
        <w:jc w:val="left"/>
      </w:pPr>
      <w:r>
        <w:rPr>
          <w:rFonts w:ascii="楷体_GB2312" w:cs="楷体_GB2312" w:eastAsia="楷体_GB2312" w:hAnsi="楷体_GB2312"/>
          <w:b/>
          <w:bCs/>
          <w:sz w:val="32"/>
          <w:szCs w:val="32"/>
        </w:rPr>
        <w:t xml:space="preserve">2. “暖新服务”一站式平台</w:t>
      </w:r>
    </w:p>
    <w:p>
      <w:pPr>
        <w:spacing w:after="0" w:before="0" w:line="480" w:lineRule="auto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整合现有“夏都红骑手”爱心驿站资源，在平台上线“暖新驿站”电子地图，支持驿站位置一键导航、服务内容实时查询、使用评价反馈等功能。对接百度、高德等数字地图，实现驿站智能推荐和路径规划，让新就业群体就近就便享受暖心服务。</w:t>
      </w:r>
    </w:p>
    <w:p>
      <w:pPr>
        <w:spacing w:after="60" w:before="120" w:line="480" w:lineRule="auto"/>
        <w:ind w:firstLine="640"/>
        <w:jc w:val="left"/>
      </w:pPr>
      <w:r>
        <w:rPr>
          <w:rFonts w:ascii="楷体_GB2312" w:cs="楷体_GB2312" w:eastAsia="楷体_GB2312" w:hAnsi="楷体_GB2312"/>
          <w:b/>
          <w:bCs/>
          <w:sz w:val="32"/>
          <w:szCs w:val="32"/>
        </w:rPr>
        <w:t xml:space="preserve">3. “月度轮值书记”线上组织生活</w:t>
      </w:r>
    </w:p>
    <w:p>
      <w:pPr>
        <w:spacing w:after="0" w:before="0" w:line="480" w:lineRule="auto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支持外卖骑手、快递员、网约车司机等党员的月度轮值机制，确保“三新”党员“组织生活不断线”。平台将“三会一课”、主题党日等活动线上化，支持远程签到、线上推学，有效解决新就业群体党员流动性大、集中学习难的问题。</w:t>
      </w:r>
    </w:p>
    <w:p>
      <w:pPr>
        <w:spacing w:after="60" w:before="120" w:line="480" w:lineRule="auto"/>
        <w:ind w:firstLine="640"/>
        <w:jc w:val="left"/>
      </w:pPr>
      <w:r>
        <w:rPr>
          <w:rFonts w:ascii="楷体_GB2312" w:cs="楷体_GB2312" w:eastAsia="楷体_GB2312" w:hAnsi="楷体_GB2312"/>
          <w:b/>
          <w:bCs/>
          <w:sz w:val="32"/>
          <w:szCs w:val="32"/>
        </w:rPr>
        <w:t xml:space="preserve">4. 线上教育学习</w:t>
      </w:r>
    </w:p>
    <w:p>
      <w:pPr>
        <w:spacing w:after="0" w:before="0" w:line="480" w:lineRule="auto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建设“每月书包”模块，为新就业群体提供职业技能培训、安全教育培训、网络与社会治理、政策法规学习等在线课程，支持学习进度追踪。结合线下技能培训活动，实现线上线下混合式学习，助力新就业群体综合素质提升。</w:t>
      </w:r>
    </w:p>
    <w:p>
      <w:pPr>
        <w:spacing w:after="60" w:before="120" w:line="480" w:lineRule="auto"/>
        <w:ind w:firstLine="640"/>
        <w:jc w:val="left"/>
      </w:pPr>
      <w:r>
        <w:rPr>
          <w:rFonts w:ascii="楷体_GB2312" w:cs="楷体_GB2312" w:eastAsia="楷体_GB2312" w:hAnsi="楷体_GB2312"/>
          <w:b/>
          <w:bCs/>
          <w:sz w:val="32"/>
          <w:szCs w:val="32"/>
        </w:rPr>
        <w:t xml:space="preserve">5. “回音壁”随手拍功能</w:t>
      </w:r>
    </w:p>
    <w:p>
      <w:pPr>
        <w:spacing w:after="0" w:before="0" w:line="480" w:lineRule="auto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通过建设升级“回音壁”系统随手拍功能，打造一批街头巷尾的“红色流动探头”，重视发挥“新新”党员走街串巷、直面群众的优势，引导他们参与社区巡防、反诈宣传、独居老人照料等社会基层治理工作。为新就业群体提供“急难愁盼”问题在线反馈渠道，支持文字、图片、语音等多种方式提交诉求，对接12345平台实现“收集—派单—整改—反馈—评价”全流程闭环管理。</w:t>
      </w:r>
    </w:p>
    <w:p>
      <w:pPr>
        <w:spacing w:after="60" w:before="120" w:line="480" w:lineRule="auto"/>
        <w:ind w:firstLine="640"/>
        <w:jc w:val="left"/>
      </w:pPr>
      <w:r>
        <w:rPr>
          <w:rFonts w:ascii="楷体_GB2312" w:cs="楷体_GB2312" w:eastAsia="楷体_GB2312" w:hAnsi="楷体_GB2312"/>
          <w:b/>
          <w:bCs/>
          <w:sz w:val="32"/>
          <w:szCs w:val="32"/>
        </w:rPr>
        <w:t xml:space="preserve">6. “微心愿·志愿者活动”模块</w:t>
      </w:r>
    </w:p>
    <w:p>
      <w:pPr>
        <w:spacing w:after="0" w:before="0" w:line="480" w:lineRule="auto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面向外卖骑手、快递员、网约车司机等新就业群体，平台实时发布社区困难群众、独居老人、留守儿童等群体的“微心愿”清单以及各类随手公益、文明创建、应急配送等志愿服务活动。用户可在线浏览、一键认领心愿或报名活动，完成帮扶后上传服务凭证（如照片、签收单），经社区党组织或平台管理员审核确认，即可获得相应“向善积分”。同时平台自动记录个人公益档案，积分排名前列的志愿者将优先参评“最美红小哥”“夏都先锋骑手”等荣誉，形成“认领心愿—参与服务—获得积分—榜样引领”的闭环，引导新就业群体从“服务对象”转变为“治理力量”，在城市基层治理中贡献“新”温暖。</w:t>
      </w:r>
    </w:p>
    <w:p>
      <w:pPr>
        <w:spacing w:after="60" w:before="120" w:line="480" w:lineRule="auto"/>
        <w:ind w:firstLine="640"/>
        <w:jc w:val="left"/>
      </w:pPr>
      <w:r>
        <w:rPr>
          <w:rFonts w:ascii="楷体_GB2312" w:cs="楷体_GB2312" w:eastAsia="楷体_GB2312" w:hAnsi="楷体_GB2312"/>
          <w:b/>
          <w:bCs/>
          <w:sz w:val="32"/>
          <w:szCs w:val="32"/>
        </w:rPr>
        <w:t xml:space="preserve">7. 榜样风采</w:t>
      </w:r>
    </w:p>
    <w:p>
      <w:pPr>
        <w:spacing w:after="0" w:before="0" w:line="480" w:lineRule="auto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对标全省“最美”系列选树宣传发布活动要求，建设“新新”党员榜样展示窗口，通过“最美红小哥”“最美快递员”“最美交通人”等评选活动宣传新就业群体中的先进典型。发挥新兴领域“新时代先锋”示范作用，营造比学赶超的良好氛围。年度积分前50名用户纳入区“两新”优秀人才库，优先参评各级荣誉。</w:t>
      </w:r>
    </w:p>
    <w:p>
      <w:pPr>
        <w:spacing w:after="60" w:before="120" w:line="480" w:lineRule="auto"/>
        <w:ind w:firstLine="640"/>
        <w:jc w:val="left"/>
      </w:pPr>
      <w:r>
        <w:rPr>
          <w:rFonts w:ascii="楷体_GB2312" w:cs="楷体_GB2312" w:eastAsia="楷体_GB2312" w:hAnsi="楷体_GB2312"/>
          <w:b/>
          <w:bCs/>
          <w:sz w:val="32"/>
          <w:szCs w:val="32"/>
        </w:rPr>
        <w:t xml:space="preserve">8. 积分激励</w:t>
      </w:r>
    </w:p>
    <w:p>
      <w:pPr>
        <w:spacing w:after="0" w:before="0" w:line="480" w:lineRule="auto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引导新就业群体通过参与“回音壁”、政策学习、教育培训等获取积分，实现积分累积、排名公示等功能。以积分制为牵引，激发新就业群体参与党建活动和基层治理的内生动力。</w:t>
      </w:r>
    </w:p>
    <w:p>
      <w:pPr>
        <w:spacing w:after="60" w:before="120" w:line="480" w:lineRule="auto"/>
        <w:ind w:firstLine="640"/>
        <w:jc w:val="left"/>
      </w:pPr>
      <w:r>
        <w:rPr>
          <w:rFonts w:ascii="楷体_GB2312" w:cs="楷体_GB2312" w:eastAsia="楷体_GB2312" w:hAnsi="楷体_GB2312"/>
          <w:b/>
          <w:bCs/>
          <w:sz w:val="32"/>
          <w:szCs w:val="32"/>
        </w:rPr>
        <w:t xml:space="preserve">9. 特色活动</w:t>
      </w:r>
    </w:p>
    <w:p>
      <w:pPr>
        <w:spacing w:after="0" w:before="0" w:line="480" w:lineRule="auto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开展互动答题、“流动先锋”“最美快递员”等互动型活动，增强平台吸引力和用户黏性，让党建工作既有“意义”又有“意思”。</w:t>
      </w:r>
    </w:p>
    <w:p>
      <w:pPr>
        <w:spacing w:after="60" w:before="120" w:line="480" w:lineRule="auto"/>
        <w:ind w:firstLine="640"/>
        <w:jc w:val="left"/>
      </w:pPr>
      <w:r>
        <w:rPr>
          <w:rFonts w:ascii="楷体_GB2312" w:cs="楷体_GB2312" w:eastAsia="楷体_GB2312" w:hAnsi="楷体_GB2312"/>
          <w:b/>
          <w:bCs/>
          <w:sz w:val="32"/>
          <w:szCs w:val="32"/>
        </w:rPr>
        <w:t xml:space="preserve">10. AI智能体</w:t>
      </w:r>
    </w:p>
    <w:p>
      <w:pPr>
        <w:spacing w:after="0" w:before="0" w:line="480" w:lineRule="auto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依托开放地图的位置服务和AI能力，整合政务、党务、位置、事项等资源，有效解决党员群众“去哪办”“就近办”的服务需求，让线上办事如同“面对面交流”。经过深度定制训练，已全面掌握全市各党群服务中心的运营信息和服务内容，支持7×24小时在线问答，精准满足用户多元化咨询需求。</w:t>
      </w:r>
    </w:p>
    <w:p>
      <w:pPr>
        <w:spacing w:after="60" w:before="120" w:line="480" w:lineRule="auto"/>
        <w:ind w:firstLine="640"/>
        <w:jc w:val="left"/>
      </w:pPr>
      <w:r>
        <w:rPr>
          <w:rFonts w:ascii="楷体_GB2312" w:cs="楷体_GB2312" w:eastAsia="楷体_GB2312" w:hAnsi="楷体_GB2312"/>
          <w:b/>
          <w:bCs/>
          <w:sz w:val="32"/>
          <w:szCs w:val="32"/>
        </w:rPr>
        <w:t xml:space="preserve">11. 权益保障与法律援助</w:t>
      </w:r>
    </w:p>
    <w:p>
      <w:pPr>
        <w:spacing w:after="0" w:before="0" w:line="480" w:lineRule="auto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平台设置法律援助在线咨询入口，支持“一键维权”功能。对劳动关系公共服务、劳动争议调解和法律援助等服务，为新就业群体提供“纠纷调解+场景建设+暖心关爱”的全链条服务。推动养老、医疗、工伤等社保扩面政策在线宣传与办理引导，切实维护新就业群体合法权益。</w:t>
      </w:r>
    </w:p>
    <w:p>
      <w:pPr>
        <w:spacing w:after="60" w:before="120" w:line="480" w:lineRule="auto"/>
        <w:ind w:firstLine="640"/>
        <w:jc w:val="left"/>
      </w:pPr>
      <w:r>
        <w:rPr>
          <w:rFonts w:ascii="楷体_GB2312" w:cs="楷体_GB2312" w:eastAsia="楷体_GB2312" w:hAnsi="楷体_GB2312"/>
          <w:b/>
          <w:bCs/>
          <w:sz w:val="32"/>
          <w:szCs w:val="32"/>
        </w:rPr>
        <w:t xml:space="preserve">12. 个人中心模块</w:t>
      </w:r>
    </w:p>
    <w:p>
      <w:pPr>
        <w:spacing w:after="0" w:before="0" w:line="480" w:lineRule="auto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集成我的信息、我的学习、我的收藏、我的“回音壁”随手拍、我的积分、微心愿空间、设置等功能，为用户提供个性化的专属空间，实现服务记录可追溯、成长轨迹可追踪。</w:t>
      </w:r>
    </w:p>
    <w:p>
      <w:pPr>
        <w:spacing w:after="80" w:before="240" w:line="480" w:lineRule="auto"/>
        <w:ind w:firstLine="640"/>
        <w:jc w:val="left"/>
      </w:pPr>
      <w:r>
        <w:rPr>
          <w:rFonts w:ascii="黑体" w:cs="黑体" w:eastAsia="黑体" w:hAnsi="黑体"/>
          <w:sz w:val="32"/>
          <w:szCs w:val="32"/>
        </w:rPr>
        <w:t xml:space="preserve">（三）大屏分析端：数据驾驶舱科学决策</w:t>
      </w:r>
    </w:p>
    <w:p>
      <w:pPr>
        <w:spacing w:after="60" w:before="120" w:line="480" w:lineRule="auto"/>
        <w:ind w:firstLine="640"/>
        <w:jc w:val="left"/>
      </w:pPr>
      <w:r>
        <w:rPr>
          <w:rFonts w:ascii="楷体_GB2312" w:cs="楷体_GB2312" w:eastAsia="楷体_GB2312" w:hAnsi="楷体_GB2312"/>
          <w:b/>
          <w:bCs/>
          <w:sz w:val="32"/>
          <w:szCs w:val="32"/>
        </w:rPr>
        <w:t xml:space="preserve">“三新”党建数据驾驶舱</w:t>
      </w:r>
    </w:p>
    <w:p>
      <w:pPr>
        <w:spacing w:after="0" w:before="0" w:line="480" w:lineRule="auto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在“一图五云台”数智党建数据底座基础上，新建“三新”领域党建专题看板，实时呈现组织覆盖率、驿站服务量、诉求解决率、积分活跃度等关键指标，支持多维度钻取分析和趋势预测，为市、区（县）两级组织部门提供决策支撑。通过可视化大屏，实现“一屏观全域、一网管全局”，让数据多跑路、决策更精准。</w:t>
      </w:r>
    </w:p>
    <w:p>
      <w:pPr>
        <w:spacing w:line="480" w:lineRule="auto"/>
      </w:pPr>
      <w:r>
        <w:rPr>
          <w:rFonts w:ascii="仿宋_GB2312" w:cs="仿宋_GB2312" w:eastAsia="仿宋_GB2312" w:hAnsi="仿宋_GB2312"/>
          <w:sz w:val="32"/>
          <w:szCs w:val="32"/>
        </w:rPr>
        <w:t xml:space="preserve"/>
      </w:r>
    </w:p>
    <w:p>
      <w:pPr>
        <w:spacing w:after="80" w:before="240" w:line="480" w:lineRule="auto"/>
        <w:ind w:firstLine="640"/>
        <w:jc w:val="left"/>
      </w:pPr>
      <w:r>
        <w:rPr>
          <w:rFonts w:ascii="黑体" w:cs="黑体" w:eastAsia="黑体" w:hAnsi="黑体"/>
          <w:sz w:val="32"/>
          <w:szCs w:val="32"/>
        </w:rPr>
        <w:t xml:space="preserve">（四）建设展望</w:t>
      </w:r>
    </w:p>
    <w:p>
      <w:pPr>
        <w:spacing w:after="0" w:before="0" w:line="480" w:lineRule="auto"/>
        <w:ind w:firstLine="640"/>
        <w:jc w:val="both"/>
      </w:pPr>
      <w:r>
        <w:rPr>
          <w:rFonts w:ascii="仿宋_GB2312" w:cs="仿宋_GB2312" w:eastAsia="仿宋_GB2312" w:hAnsi="仿宋_GB2312"/>
          <w:sz w:val="32"/>
          <w:szCs w:val="32"/>
        </w:rPr>
        <w:t xml:space="preserve">西宁市“三新”领域党建智慧平台建成后，将实现“三新”组织底数一键掌握、党组织覆盖动态监测、新就业群体服务精准触达、基层治理力量有效激活、组织部门决策科学支撑，形成具有西宁特色、可复制可推广的“三新”领域党建数字化创新实践，为全省乃至全国“三新”领域党建工作贡献“西宁经验”。</w:t>
      </w:r>
    </w:p>
    <w:sectPr>
      <w:footerReference w:type="default" r:id="rId7"/>
      <w:pgSz w:w="11906" w:h="16838" w:orient="portrait"/>
      <w:pgMar w:top="1800" w:right="1699" w:bottom="1800" w:left="1699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仿宋_GB2312" w:cs="仿宋_GB2312" w:eastAsia="仿宋_GB2312" w:hAnsi="仿宋_GB2312"/>
        <w:sz w:val="28"/>
        <w:szCs w:val="28"/>
      </w:rPr>
      <w:t xml:space="preserve">— </w:t>
      <w:fldChar w:fldCharType="begin"/>
      <w:instrText xml:space="preserve">PAGE</w:instrText>
      <w:fldChar w:fldCharType="separate"/>
      <w:fldChar w:fldCharType="end"/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2026-08-05T09:26:03.478Z</dcterms:created>
  <dcterms:modified xsi:type="dcterms:W3CDTF">2026-08-05T09:26:03.478Z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