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spacing w:before="1200"/>
        <w:jc w:val="center"/>
      </w:pPr>
      <w:r>
        <w:rPr>
          <w:rFonts w:ascii="方正小标宋简体" w:hAnsi="方正小标宋简体" w:eastAsia="方正小标宋简体"/>
          <w:b/>
          <w:sz w:val="72"/>
        </w:rPr>
        <w:t>西宁智慧党建平台</w:t>
      </w:r>
    </w:p>
    <w:p>
      <w:pPr>
        <w:jc w:val="center"/>
      </w:pPr>
      <w:r>
        <w:rPr>
          <w:rFonts w:ascii="方正小标宋简体" w:hAnsi="方正小标宋简体" w:eastAsia="方正小标宋简体"/>
          <w:b/>
          <w:sz w:val="72"/>
        </w:rPr>
        <w:t>服务器资源动态调整保障方案</w:t>
      </w:r>
    </w:p>
    <w:p>
      <w:pPr>
        <w:spacing w:before="480" w:after="480"/>
        <w:jc w:val="center"/>
      </w:pPr>
      <w:r>
        <w:rPr>
          <w:rFonts w:ascii="黑体" w:hAnsi="黑体" w:eastAsia="黑体"/>
          <w:color w:val="C41E3A"/>
          <w:sz w:val="28"/>
        </w:rPr>
        <w:t>━━━━━━━━━━━━━━━━━━━━</w:t>
      </w:r>
    </w:p>
    <w:p/>
    <w:p/>
    <w:p/>
    <w:p>
      <w:pPr>
        <w:jc w:val="center"/>
      </w:pPr>
      <w:r>
        <w:rPr>
          <w:rFonts w:ascii="楷体" w:hAnsi="楷体" w:eastAsia="楷体"/>
          <w:b/>
          <w:sz w:val="32"/>
        </w:rPr>
        <w:t>编制单位：</w:t>
      </w:r>
      <w:r>
        <w:rPr>
          <w:rFonts w:ascii="楷体" w:hAnsi="楷体" w:eastAsia="楷体"/>
          <w:sz w:val="32"/>
        </w:rPr>
        <w:t>运维厂商：XXX科技有限公司</w:t>
      </w:r>
    </w:p>
    <w:p>
      <w:pPr>
        <w:jc w:val="center"/>
      </w:pPr>
      <w:r>
        <w:rPr>
          <w:rFonts w:ascii="楷体" w:hAnsi="楷体" w:eastAsia="楷体"/>
          <w:b/>
          <w:sz w:val="32"/>
        </w:rPr>
        <w:t>文档密级：</w:t>
      </w:r>
      <w:r>
        <w:rPr>
          <w:rFonts w:ascii="楷体" w:hAnsi="楷体" w:eastAsia="楷体"/>
          <w:sz w:val="32"/>
        </w:rPr>
        <w:t>内部资料</w:t>
      </w:r>
    </w:p>
    <w:p>
      <w:pPr>
        <w:jc w:val="center"/>
      </w:pPr>
      <w:r>
        <w:rPr>
          <w:rFonts w:ascii="楷体" w:hAnsi="楷体" w:eastAsia="楷体"/>
          <w:b/>
          <w:sz w:val="32"/>
        </w:rPr>
        <w:t>编制日期：</w:t>
      </w:r>
      <w:r>
        <w:rPr>
          <w:rFonts w:ascii="楷体" w:hAnsi="楷体" w:eastAsia="楷体"/>
          <w:sz w:val="32"/>
        </w:rPr>
        <w:t>2026年07月29日</w:t>
      </w:r>
    </w:p>
    <w:p>
      <w:pPr>
        <w:jc w:val="center"/>
      </w:pPr>
      <w:r>
        <w:rPr>
          <w:rFonts w:ascii="楷体" w:hAnsi="楷体" w:eastAsia="楷体"/>
          <w:b/>
          <w:sz w:val="32"/>
        </w:rPr>
        <w:t>适用对象：</w:t>
      </w:r>
      <w:r>
        <w:rPr>
          <w:rFonts w:ascii="楷体" w:hAnsi="楷体" w:eastAsia="楷体"/>
          <w:sz w:val="32"/>
        </w:rPr>
        <w:t>西宁市大数据服务中心</w:t>
      </w:r>
    </w:p>
    <w:p>
      <w:r>
        <w:br w:type="page"/>
      </w:r>
    </w:p>
    <w:p>
      <w:pPr>
        <w:spacing w:before="480" w:after="480"/>
        <w:jc w:val="center"/>
      </w:pPr>
      <w:r>
        <w:rPr>
          <w:rFonts w:ascii="黑体" w:hAnsi="黑体" w:eastAsia="黑体"/>
          <w:b/>
          <w:sz w:val="44"/>
        </w:rPr>
        <w:t>目  录</w:t>
      </w:r>
    </w:p>
    <w:p>
      <w:pPr>
        <w:pBdr>
          <w:bottom w:val="single" w:sz="6" w:space="1" w:color="C41E3A"/>
        </w:pBdr>
      </w:pPr>
    </w:p>
    <w:p>
      <w:pPr>
        <w:spacing w:before="160" w:after="160"/>
        <w:jc w:val="left"/>
      </w:pPr>
      <w:r>
        <w:rPr>
          <w:rFonts w:ascii="黑体" w:hAnsi="黑体" w:eastAsia="黑体"/>
          <w:sz w:val="32"/>
        </w:rPr>
        <w:t>一、项目概述</w:t>
      </w:r>
    </w:p>
    <w:p>
      <w:pPr>
        <w:spacing w:before="160" w:after="160"/>
        <w:jc w:val="left"/>
      </w:pPr>
      <w:r>
        <w:rPr>
          <w:rFonts w:ascii="黑体" w:hAnsi="黑体" w:eastAsia="黑体"/>
          <w:sz w:val="32"/>
        </w:rPr>
        <w:t>二、现状分析与问题诊断</w:t>
      </w:r>
    </w:p>
    <w:p>
      <w:pPr>
        <w:spacing w:before="160" w:after="160"/>
        <w:jc w:val="left"/>
      </w:pPr>
      <w:r>
        <w:rPr>
          <w:rFonts w:ascii="黑体" w:hAnsi="黑体" w:eastAsia="黑体"/>
          <w:sz w:val="32"/>
        </w:rPr>
        <w:t>三、动态调整保障方案</w:t>
      </w:r>
    </w:p>
    <w:p>
      <w:pPr>
        <w:spacing w:before="160" w:after="160"/>
        <w:jc w:val="left"/>
      </w:pPr>
      <w:r>
        <w:rPr>
          <w:rFonts w:ascii="黑体" w:hAnsi="黑体" w:eastAsia="黑体"/>
          <w:sz w:val="32"/>
        </w:rPr>
        <w:t>四、实施步骤与时间安排</w:t>
      </w:r>
    </w:p>
    <w:p>
      <w:pPr>
        <w:spacing w:before="160" w:after="160"/>
        <w:jc w:val="left"/>
      </w:pPr>
      <w:r>
        <w:rPr>
          <w:rFonts w:ascii="黑体" w:hAnsi="黑体" w:eastAsia="黑体"/>
          <w:sz w:val="32"/>
        </w:rPr>
        <w:t>五、风险防控措施</w:t>
      </w:r>
    </w:p>
    <w:p>
      <w:pPr>
        <w:spacing w:before="160" w:after="160"/>
        <w:jc w:val="left"/>
      </w:pPr>
      <w:r>
        <w:rPr>
          <w:rFonts w:ascii="黑体" w:hAnsi="黑体" w:eastAsia="黑体"/>
          <w:sz w:val="32"/>
        </w:rPr>
        <w:t>六、保障措施与责任分工</w:t>
      </w:r>
    </w:p>
    <w:p>
      <w:pPr>
        <w:spacing w:before="160" w:after="160"/>
        <w:jc w:val="left"/>
      </w:pPr>
      <w:r>
        <w:rPr>
          <w:rFonts w:ascii="黑体" w:hAnsi="黑体" w:eastAsia="黑体"/>
          <w:sz w:val="32"/>
        </w:rPr>
        <w:t>七、附则</w:t>
      </w:r>
    </w:p>
    <w:p>
      <w:r>
        <w:br w:type="page"/>
      </w:r>
    </w:p>
    <w:p>
      <w:pPr>
        <w:spacing w:before="240" w:after="120"/>
        <w:jc w:val="left"/>
      </w:pPr>
      <w:r>
        <w:rPr>
          <w:rFonts w:ascii="黑体" w:hAnsi="黑体" w:eastAsia="黑体"/>
          <w:b/>
          <w:sz w:val="32"/>
        </w:rPr>
        <w:t>一、项目概述</w:t>
      </w:r>
    </w:p>
    <w:p>
      <w:pPr>
        <w:pBdr>
          <w:bottom w:val="single" w:sz="6" w:space="1" w:color="C41E3A"/>
        </w:pBdr>
      </w:pP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西宁智慧党建平台是西宁市推进党建工作信息化、智能化的重要载体，由西宁市大数据服务中心提供服务器资源支撑。平台涵盖党员管理、组织生活、学习教育、考核评价等核心功能模块，服务全市各级党组织和广大党员。为保障平台持续稳定运行，提升服务器资源利用效率，特制定本保障方案。</w:t>
      </w: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本方案依据《西宁市电子政务管理办法》《西宁市政务信息系统运行维护规范》等相关制度文件，结合平台实际运行数据和业务需求变化趋势，提出服务器CPU与内存资源的动态调整策略，确保资源供给与业务负载精准匹配，实现降本增效与服务质量的双重目标。</w:t>
      </w:r>
    </w:p>
    <w:p>
      <w:pPr>
        <w:spacing w:before="240" w:after="120"/>
        <w:jc w:val="left"/>
      </w:pPr>
      <w:r>
        <w:rPr>
          <w:rFonts w:ascii="黑体" w:hAnsi="黑体" w:eastAsia="黑体"/>
          <w:b/>
          <w:sz w:val="32"/>
        </w:rPr>
        <w:t>二、现状分析与问题诊断</w:t>
      </w:r>
    </w:p>
    <w:p>
      <w:pPr>
        <w:pBdr>
          <w:bottom w:val="single" w:sz="6" w:space="1" w:color="C41E3A"/>
        </w:pBdr>
      </w:pPr>
    </w:p>
    <w:p>
      <w:pPr>
        <w:spacing w:before="240" w:after="120"/>
        <w:jc w:val="left"/>
      </w:pPr>
      <w:r>
        <w:rPr>
          <w:rFonts w:ascii="楷体" w:hAnsi="楷体" w:eastAsia="楷体"/>
          <w:b/>
          <w:sz w:val="32"/>
        </w:rPr>
        <w:t>（一）服务器资源现状</w:t>
      </w: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经西宁市大数据服务中心监测，目前西宁智慧党建平台部署于西宁市大数据服务中心机房，服务器资源配置如下：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C41E3A"/>
          <w:left w:val="single" w:sz="4" w:space="0" w:color="C41E3A"/>
          <w:bottom w:val="single" w:sz="4" w:space="0" w:color="C41E3A"/>
          <w:right w:val="single" w:sz="4" w:space="0" w:color="C41E3A"/>
          <w:insideH w:val="single" w:sz="4" w:space="0" w:color="C41E3A"/>
          <w:insideV w:val="single" w:sz="4" w:space="0" w:color="C41E3A"/>
        </w:tblBorders>
      </w:tblPr>
      <w:tblGrid>
        <w:gridCol w:w="1836"/>
        <w:gridCol w:w="1836"/>
        <w:gridCol w:w="1836"/>
        <w:gridCol w:w="1836"/>
        <w:gridCol w:w="1836"/>
      </w:tblGrid>
      <w:tr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资源类型</w:t>
            </w:r>
          </w:p>
        </w:tc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当前配置</w:t>
            </w:r>
          </w:p>
        </w:tc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监测周期</w:t>
            </w:r>
          </w:p>
        </w:tc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平均使用率</w:t>
            </w:r>
          </w:p>
        </w:tc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达标标准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CPU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XX核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近30日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XX%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≥60%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内存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XX GB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近30日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XX%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≥60%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存储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XX TB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近30日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XX%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≥50%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网络带宽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XX Mbps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近30日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XX%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≥40%</w:t>
            </w:r>
          </w:p>
        </w:tc>
      </w:tr>
    </w:tbl>
    <w:p/>
    <w:p>
      <w:pPr>
        <w:spacing w:before="240" w:after="120"/>
        <w:jc w:val="left"/>
      </w:pPr>
      <w:r>
        <w:rPr>
          <w:rFonts w:ascii="楷体" w:hAnsi="楷体" w:eastAsia="楷体"/>
          <w:b/>
          <w:sz w:val="32"/>
        </w:rPr>
        <w:t>（二）问题诊断</w:t>
      </w: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根据监测数据分析，目前服务器资源使用存在以下突出问题：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1. </w:t>
      </w:r>
      <w:r>
        <w:rPr>
          <w:rFonts w:ascii="仿宋" w:hAnsi="仿宋" w:eastAsia="仿宋"/>
          <w:sz w:val="32"/>
        </w:rPr>
        <w:t>CPU使用率不达标：当前CPU平均使用率低于60%的达标线，存在资源闲置浪费现象，未能充分发挥服务器计算能力。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2. </w:t>
      </w:r>
      <w:r>
        <w:rPr>
          <w:rFonts w:ascii="仿宋" w:hAnsi="仿宋" w:eastAsia="仿宋"/>
          <w:sz w:val="32"/>
        </w:rPr>
        <w:t>内存使用率不达标：内存平均使用率同样低于60%达标标准，部分内存资源长期空闲，造成硬件投入与产出不成比例。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3. </w:t>
      </w:r>
      <w:r>
        <w:rPr>
          <w:rFonts w:ascii="仿宋" w:hAnsi="仿宋" w:eastAsia="仿宋"/>
          <w:sz w:val="32"/>
        </w:rPr>
        <w:t>资源配置与实际负载不匹配：平台业务存在明显的峰谷波动特征（工作日高峰、节假日低谷），当前固定资源配置无法灵活适应负载变化。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4. </w:t>
      </w:r>
      <w:r>
        <w:rPr>
          <w:rFonts w:ascii="仿宋" w:hAnsi="仿宋" w:eastAsia="仿宋"/>
          <w:sz w:val="32"/>
        </w:rPr>
        <w:t>缺乏动态调整机制：现有运维模式以人工巡检为主，缺乏自动化、智能化的资源弹性伸缩能力，响应时效性不足。</w:t>
      </w:r>
    </w:p>
    <w:p>
      <w:pPr>
        <w:spacing w:before="240" w:after="120"/>
        <w:jc w:val="left"/>
      </w:pPr>
      <w:r>
        <w:rPr>
          <w:rFonts w:ascii="黑体" w:hAnsi="黑体" w:eastAsia="黑体"/>
          <w:b/>
          <w:sz w:val="32"/>
        </w:rPr>
        <w:t>三、动态调整保障方案</w:t>
      </w:r>
    </w:p>
    <w:p>
      <w:pPr>
        <w:pBdr>
          <w:bottom w:val="single" w:sz="6" w:space="1" w:color="C41E3A"/>
        </w:pBdr>
      </w:pPr>
    </w:p>
    <w:p>
      <w:pPr>
        <w:spacing w:before="240" w:after="120"/>
        <w:jc w:val="left"/>
      </w:pPr>
      <w:r>
        <w:rPr>
          <w:rFonts w:ascii="楷体" w:hAnsi="楷体" w:eastAsia="楷体"/>
          <w:b/>
          <w:sz w:val="32"/>
        </w:rPr>
        <w:t>（一）调整原则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1. </w:t>
      </w:r>
      <w:r>
        <w:rPr>
          <w:rFonts w:ascii="仿宋" w:hAnsi="仿宋" w:eastAsia="仿宋"/>
          <w:sz w:val="32"/>
        </w:rPr>
        <w:t>按需分配原则：根据业务负载实时变化，动态分配计算资源，避免过度配置和资源浪费。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2. </w:t>
      </w:r>
      <w:r>
        <w:rPr>
          <w:rFonts w:ascii="仿宋" w:hAnsi="仿宋" w:eastAsia="仿宋"/>
          <w:sz w:val="32"/>
        </w:rPr>
        <w:t>安全优先原则：资源调整操作必须在确保平台业务连续性的前提下进行，严禁影响正常服务。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3. </w:t>
      </w:r>
      <w:r>
        <w:rPr>
          <w:rFonts w:ascii="仿宋" w:hAnsi="仿宋" w:eastAsia="仿宋"/>
          <w:sz w:val="32"/>
        </w:rPr>
        <w:t>渐进调整原则：采用小步快跑、逐步优化的策略，每次调整幅度控制在合理范围内，便于回退和验证。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4. </w:t>
      </w:r>
      <w:r>
        <w:rPr>
          <w:rFonts w:ascii="仿宋" w:hAnsi="仿宋" w:eastAsia="仿宋"/>
          <w:sz w:val="32"/>
        </w:rPr>
        <w:t>监控闭环原则：建立调整前评估、调整中监控、调整后验证的全流程闭环管理机制。</w:t>
      </w:r>
    </w:p>
    <w:p>
      <w:pPr>
        <w:spacing w:before="240" w:after="120"/>
        <w:jc w:val="left"/>
      </w:pPr>
      <w:r>
        <w:rPr>
          <w:rFonts w:ascii="楷体" w:hAnsi="楷体" w:eastAsia="楷体"/>
          <w:b/>
          <w:sz w:val="32"/>
        </w:rPr>
        <w:t>（二）CPU资源动态调整方案</w:t>
      </w: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针对CPU使用率不达标问题，采取以下动态调整措施：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1. </w:t>
      </w:r>
      <w:r>
        <w:rPr>
          <w:rFonts w:ascii="仿宋" w:hAnsi="仿宋" w:eastAsia="仿宋"/>
          <w:sz w:val="32"/>
        </w:rPr>
        <w:t>资源归并整合：对低负载虚拟机进行整合，将分散的CPU计算资源集中调配至核心业务模块，提升整体利用率。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2. </w:t>
      </w:r>
      <w:r>
        <w:rPr>
          <w:rFonts w:ascii="仿宋" w:hAnsi="仿宋" w:eastAsia="仿宋"/>
          <w:sz w:val="32"/>
        </w:rPr>
        <w:t>弹性伸缩配置：部署云管平台弹性伸缩策略，设置CPU使用率阈值（上限80%、下限30%），触发自动扩容或缩容。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3. </w:t>
      </w:r>
      <w:r>
        <w:rPr>
          <w:rFonts w:ascii="仿宋" w:hAnsi="仿宋" w:eastAsia="仿宋"/>
          <w:sz w:val="32"/>
        </w:rPr>
        <w:t>业务负载均衡：优化应用层负载均衡策略，将计算密集型任务合理分配至各计算节点，避免单点过载或闲置。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4. </w:t>
      </w:r>
      <w:r>
        <w:rPr>
          <w:rFonts w:ascii="仿宋" w:hAnsi="仿宋" w:eastAsia="仿宋"/>
          <w:sz w:val="32"/>
        </w:rPr>
        <w:t>定时任务错峰：将数据备份、日志清理、报表生成等非实时任务调整至业务低谷时段执行，释放日间计算资源。</w:t>
      </w:r>
    </w:p>
    <w:p>
      <w:pPr>
        <w:spacing w:before="240" w:after="120"/>
        <w:jc w:val="left"/>
      </w:pPr>
      <w:r>
        <w:rPr>
          <w:rFonts w:ascii="楷体" w:hAnsi="楷体" w:eastAsia="楷体"/>
          <w:b/>
          <w:sz w:val="32"/>
        </w:rPr>
        <w:t>（三）内存资源动态调整方案</w:t>
      </w: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针对内存使用率不达标问题，采取以下动态调整措施：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1. </w:t>
      </w:r>
      <w:r>
        <w:rPr>
          <w:rFonts w:ascii="仿宋" w:hAnsi="仿宋" w:eastAsia="仿宋"/>
          <w:sz w:val="32"/>
        </w:rPr>
        <w:t>内存池化管理：建立内存资源池，实现跨虚拟机的内存动态调配，根据各业务模块实时需求进行灵活分配。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2. </w:t>
      </w:r>
      <w:r>
        <w:rPr>
          <w:rFonts w:ascii="仿宋" w:hAnsi="仿宋" w:eastAsia="仿宋"/>
          <w:sz w:val="32"/>
        </w:rPr>
        <w:t>缓存策略优化：调整应用缓存策略，采用LRU（最近最少使用）淘汰算法，提升内存缓存命中率，减少无效内存占用。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3. </w:t>
      </w:r>
      <w:r>
        <w:rPr>
          <w:rFonts w:ascii="仿宋" w:hAnsi="仿宋" w:eastAsia="仿宋"/>
          <w:sz w:val="32"/>
        </w:rPr>
        <w:t>内存回收机制：配置操作系统级内存回收参数，启用透明大页（THP）和内存压缩技术，提高内存使用效率。</w:t>
      </w:r>
    </w:p>
    <w:p>
      <w:pPr>
        <w:spacing w:line="360" w:lineRule="auto"/>
        <w:ind w:firstLine="420"/>
      </w:pPr>
      <w:r>
        <w:rPr>
          <w:rFonts w:ascii="仿宋" w:hAnsi="仿宋" w:eastAsia="仿宋"/>
          <w:sz w:val="32"/>
        </w:rPr>
        <w:t xml:space="preserve">4. </w:t>
      </w:r>
      <w:r>
        <w:rPr>
          <w:rFonts w:ascii="仿宋" w:hAnsi="仿宋" w:eastAsia="仿宋"/>
          <w:sz w:val="32"/>
        </w:rPr>
        <w:t>冷热数据分离：将热数据（高频访问）保留在内存中，冷数据（低频访问）迁移至SSD缓存层，释放内存空间。</w:t>
      </w:r>
    </w:p>
    <w:p>
      <w:pPr>
        <w:spacing w:before="240" w:after="120"/>
        <w:jc w:val="left"/>
      </w:pPr>
      <w:r>
        <w:rPr>
          <w:rFonts w:ascii="楷体" w:hAnsi="楷体" w:eastAsia="楷体"/>
          <w:b/>
          <w:sz w:val="32"/>
        </w:rPr>
        <w:t>（四）动态调整策略参数配置</w:t>
      </w: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根据业务负载特征，制定以下动态调整策略参数：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41E3A"/>
          <w:left w:val="single" w:sz="4" w:space="0" w:color="C41E3A"/>
          <w:bottom w:val="single" w:sz="4" w:space="0" w:color="C41E3A"/>
          <w:right w:val="single" w:sz="4" w:space="0" w:color="C41E3A"/>
          <w:insideH w:val="single" w:sz="4" w:space="0" w:color="C41E3A"/>
          <w:insideV w:val="single" w:sz="4" w:space="0" w:color="C41E3A"/>
        </w:tblBorders>
      </w:tblPr>
      <w:tblGrid>
        <w:gridCol w:w="1836"/>
        <w:gridCol w:w="1836"/>
        <w:gridCol w:w="1836"/>
        <w:gridCol w:w="1836"/>
        <w:gridCol w:w="1836"/>
      </w:tblGrid>
      <w:tr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资源类型</w:t>
            </w:r>
          </w:p>
        </w:tc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扩容阈值</w:t>
            </w:r>
          </w:p>
        </w:tc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缩容阈值</w:t>
            </w:r>
          </w:p>
        </w:tc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调整步长</w:t>
            </w:r>
          </w:p>
        </w:tc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冷却时间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CPU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使用率≥80%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使用率≤30%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±2核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15分钟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内存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使用率≥80%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使用率≤35%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±4GB</w:t>
            </w:r>
          </w:p>
        </w:tc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20分钟</w:t>
            </w:r>
          </w:p>
        </w:tc>
      </w:tr>
    </w:tbl>
    <w:p/>
    <w:p>
      <w:pPr>
        <w:spacing w:before="240" w:after="120"/>
        <w:jc w:val="left"/>
      </w:pPr>
      <w:r>
        <w:rPr>
          <w:rFonts w:ascii="黑体" w:hAnsi="黑体" w:eastAsia="黑体"/>
          <w:b/>
          <w:sz w:val="32"/>
        </w:rPr>
        <w:t>四、实施步骤与时间安排</w:t>
      </w:r>
    </w:p>
    <w:p>
      <w:pPr>
        <w:pBdr>
          <w:bottom w:val="single" w:sz="6" w:space="1" w:color="C41E3A"/>
        </w:pBdr>
      </w:pP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本方案实施分为四个阶段，预计总工期为XX个工作日：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41E3A"/>
          <w:left w:val="single" w:sz="4" w:space="0" w:color="C41E3A"/>
          <w:bottom w:val="single" w:sz="4" w:space="0" w:color="C41E3A"/>
          <w:right w:val="single" w:sz="4" w:space="0" w:color="C41E3A"/>
          <w:insideH w:val="single" w:sz="4" w:space="0" w:color="C41E3A"/>
          <w:insideV w:val="single" w:sz="4" w:space="0" w:color="C41E3A"/>
        </w:tblBorders>
      </w:tblPr>
      <w:tblGrid>
        <w:gridCol w:w="2295"/>
        <w:gridCol w:w="2295"/>
        <w:gridCol w:w="2295"/>
        <w:gridCol w:w="2295"/>
      </w:tblGrid>
      <w:tr>
        <w:tc>
          <w:tcPr>
            <w:tcW w:type="dxa" w:w="1417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阶段</w:t>
            </w:r>
          </w:p>
        </w:tc>
        <w:tc>
          <w:tcPr>
            <w:tcW w:type="dxa" w:w="3118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工作内容</w:t>
            </w:r>
          </w:p>
        </w:tc>
        <w:tc>
          <w:tcPr>
            <w:tcW w:type="dxa" w:w="1701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时间安排</w:t>
            </w:r>
          </w:p>
        </w:tc>
        <w:tc>
          <w:tcPr>
            <w:tcW w:type="dxa" w:w="1701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责任主体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第一阶段</w:t>
            </w:r>
          </w:p>
        </w:tc>
        <w:tc>
          <w:tcPr>
            <w:tcW w:type="dxa" w:w="311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现状调研与评估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第1-3个工作日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运维厂商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第二阶段</w:t>
            </w:r>
          </w:p>
        </w:tc>
        <w:tc>
          <w:tcPr>
            <w:tcW w:type="dxa" w:w="311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方案细化与审批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第4-5个工作日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大数据服务中心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第三阶段</w:t>
            </w:r>
          </w:p>
        </w:tc>
        <w:tc>
          <w:tcPr>
            <w:tcW w:type="dxa" w:w="311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动态调整实施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第6-12个工作日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运维厂商</w:t>
            </w:r>
          </w:p>
        </w:tc>
      </w:tr>
      <w:tr>
        <w:tc>
          <w:tcPr>
            <w:tcW w:type="dxa" w:w="1417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第四阶段</w:t>
            </w:r>
          </w:p>
        </w:tc>
        <w:tc>
          <w:tcPr>
            <w:tcW w:type="dxa" w:w="3118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效果验证与优化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第13-15个工作日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双方联合</w:t>
            </w:r>
          </w:p>
        </w:tc>
      </w:tr>
    </w:tbl>
    <w:p/>
    <w:p>
      <w:pPr>
        <w:spacing w:before="240" w:after="120"/>
        <w:jc w:val="left"/>
      </w:pPr>
      <w:r>
        <w:rPr>
          <w:rFonts w:ascii="黑体" w:hAnsi="黑体" w:eastAsia="黑体"/>
          <w:b/>
          <w:sz w:val="32"/>
        </w:rPr>
        <w:t>五、风险防控措施</w:t>
      </w:r>
    </w:p>
    <w:p>
      <w:pPr>
        <w:pBdr>
          <w:bottom w:val="single" w:sz="6" w:space="1" w:color="C41E3A"/>
        </w:pBdr>
      </w:pP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为防范资源调整过程中可能出现的各类风险，制定以下防控措施：</w:t>
      </w:r>
    </w:p>
    <w:p>
      <w:pPr>
        <w:spacing w:line="360" w:lineRule="auto"/>
        <w:ind w:firstLine="420"/>
      </w:pPr>
      <w:r>
        <w:rPr>
          <w:rFonts w:ascii="仿宋" w:hAnsi="仿宋" w:eastAsia="仿宋"/>
          <w:b/>
          <w:sz w:val="32"/>
        </w:rPr>
        <w:t>1. 业务中断风险：</w:t>
      </w:r>
      <w:r>
        <w:rPr>
          <w:rFonts w:ascii="仿宋" w:hAnsi="仿宋" w:eastAsia="仿宋"/>
          <w:sz w:val="32"/>
        </w:rPr>
        <w:t>调整操作前进行业务影响评估，制定详细回退方案；采用蓝绿部署或滚动更新方式，确保业务零中断。</w:t>
      </w:r>
    </w:p>
    <w:p>
      <w:pPr>
        <w:spacing w:line="360" w:lineRule="auto"/>
        <w:ind w:firstLine="420"/>
      </w:pPr>
      <w:r>
        <w:rPr>
          <w:rFonts w:ascii="仿宋" w:hAnsi="仿宋" w:eastAsia="仿宋"/>
          <w:b/>
          <w:sz w:val="32"/>
        </w:rPr>
        <w:t>2. 性能波动风险：</w:t>
      </w:r>
      <w:r>
        <w:rPr>
          <w:rFonts w:ascii="仿宋" w:hAnsi="仿宋" w:eastAsia="仿宋"/>
          <w:sz w:val="32"/>
        </w:rPr>
        <w:t>调整过程中实时监控系统性能指标（响应时间、吞吐量、错误率），设置自动告警阈值，异常时立即暂停调整。</w:t>
      </w:r>
    </w:p>
    <w:p>
      <w:pPr>
        <w:spacing w:line="360" w:lineRule="auto"/>
        <w:ind w:firstLine="420"/>
      </w:pPr>
      <w:r>
        <w:rPr>
          <w:rFonts w:ascii="仿宋" w:hAnsi="仿宋" w:eastAsia="仿宋"/>
          <w:b/>
          <w:sz w:val="32"/>
        </w:rPr>
        <w:t>3. 数据安全风险：</w:t>
      </w:r>
      <w:r>
        <w:rPr>
          <w:rFonts w:ascii="仿宋" w:hAnsi="仿宋" w:eastAsia="仿宋"/>
          <w:sz w:val="32"/>
        </w:rPr>
        <w:t>调整前完成全量数据备份，备份数据异地保存；调整操作在维护窗口期执行，避免数据读写冲突。</w:t>
      </w:r>
    </w:p>
    <w:p>
      <w:pPr>
        <w:spacing w:line="360" w:lineRule="auto"/>
        <w:ind w:firstLine="420"/>
      </w:pPr>
      <w:r>
        <w:rPr>
          <w:rFonts w:ascii="仿宋" w:hAnsi="仿宋" w:eastAsia="仿宋"/>
          <w:b/>
          <w:sz w:val="32"/>
        </w:rPr>
        <w:t>4. 配置漂移风险：</w:t>
      </w:r>
      <w:r>
        <w:rPr>
          <w:rFonts w:ascii="仿宋" w:hAnsi="仿宋" w:eastAsia="仿宋"/>
          <w:sz w:val="32"/>
        </w:rPr>
        <w:t>所有调整操作通过配置管理工具（Ansible/Puppet）执行，确保配置变更可追溯、可审计、可回滚。</w:t>
      </w:r>
    </w:p>
    <w:p>
      <w:pPr>
        <w:spacing w:before="240" w:after="120"/>
        <w:jc w:val="left"/>
      </w:pPr>
      <w:r>
        <w:rPr>
          <w:rFonts w:ascii="黑体" w:hAnsi="黑体" w:eastAsia="黑体"/>
          <w:b/>
          <w:sz w:val="32"/>
        </w:rPr>
        <w:t>六、保障措施与责任分工</w:t>
      </w:r>
    </w:p>
    <w:p>
      <w:pPr>
        <w:pBdr>
          <w:bottom w:val="single" w:sz="6" w:space="1" w:color="C41E3A"/>
        </w:pBdr>
      </w:pPr>
    </w:p>
    <w:p>
      <w:pPr>
        <w:spacing w:before="240" w:after="120"/>
        <w:jc w:val="left"/>
      </w:pPr>
      <w:r>
        <w:rPr>
          <w:rFonts w:ascii="楷体" w:hAnsi="楷体" w:eastAsia="楷体"/>
          <w:b/>
          <w:sz w:val="32"/>
        </w:rPr>
        <w:t>（一）组织保障</w:t>
      </w: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成立西宁智慧党建平台资源优化专项工作组，由西宁市大数据服务中心分管领导任组长，运维厂商技术负责人任副组长，成员包括系统管理员、网络工程师、数据库管理员、应用开发人员等。工作组实行周例会制度，及时通报进展、协调问题。</w:t>
      </w:r>
    </w:p>
    <w:p>
      <w:pPr>
        <w:spacing w:before="240" w:after="120"/>
        <w:jc w:val="left"/>
      </w:pPr>
      <w:r>
        <w:rPr>
          <w:rFonts w:ascii="楷体" w:hAnsi="楷体" w:eastAsia="楷体"/>
          <w:b/>
          <w:sz w:val="32"/>
        </w:rPr>
        <w:t>（二）技术保障</w:t>
      </w: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运维厂商配备资深云计算工程师2名、系统运维工程师3名，7×24小时值班响应。建立完善的监控告警体系，覆盖服务器、网络、应用、数据库全栈监控。配备专用测试环境，所有调整方案先在测试环境验证通过后，方可上生产环境实施。</w:t>
      </w:r>
    </w:p>
    <w:p>
      <w:pPr>
        <w:spacing w:before="240" w:after="120"/>
        <w:jc w:val="left"/>
      </w:pPr>
      <w:r>
        <w:rPr>
          <w:rFonts w:ascii="楷体" w:hAnsi="楷体" w:eastAsia="楷体"/>
          <w:b/>
          <w:sz w:val="32"/>
        </w:rPr>
        <w:t>（三）沟通保障</w:t>
      </w: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建立"运维厂商—大数据服务中心—业务用户"三级沟通机制。重大调整操作提前3个工作日书面通知，紧急调整操作即时电话通报。设立专用沟通群组，确保信息传递及时、准确、可追溯。</w:t>
      </w:r>
    </w:p>
    <w:p>
      <w:pPr>
        <w:spacing w:before="240" w:after="120"/>
        <w:jc w:val="left"/>
      </w:pPr>
      <w:r>
        <w:rPr>
          <w:rFonts w:ascii="楷体" w:hAnsi="楷体" w:eastAsia="楷体"/>
          <w:b/>
          <w:sz w:val="32"/>
        </w:rPr>
        <w:t>（四）责任分工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C41E3A"/>
          <w:left w:val="single" w:sz="4" w:space="0" w:color="C41E3A"/>
          <w:bottom w:val="single" w:sz="4" w:space="0" w:color="C41E3A"/>
          <w:right w:val="single" w:sz="4" w:space="0" w:color="C41E3A"/>
          <w:insideH w:val="single" w:sz="4" w:space="0" w:color="C41E3A"/>
          <w:insideV w:val="single" w:sz="4" w:space="0" w:color="C41E3A"/>
        </w:tblBorders>
      </w:tblPr>
      <w:tblGrid>
        <w:gridCol w:w="3060"/>
        <w:gridCol w:w="3060"/>
        <w:gridCol w:w="3060"/>
      </w:tblGrid>
      <w:tr>
        <w:tc>
          <w:tcPr>
            <w:tcW w:type="dxa" w:w="2551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责任主体</w:t>
            </w:r>
          </w:p>
        </w:tc>
        <w:tc>
          <w:tcPr>
            <w:tcW w:type="dxa" w:w="3685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主要职责</w:t>
            </w:r>
          </w:p>
        </w:tc>
        <w:tc>
          <w:tcPr>
            <w:tcW w:type="dxa" w:w="1701"/>
            <w:shd w:fill="C41E3A"/>
          </w:tcPr>
          <w:p>
            <w:pPr>
              <w:jc w:val="center"/>
            </w:pPr>
            <w:r/>
            <w:r>
              <w:rPr>
                <w:rFonts w:ascii="黑体" w:hAnsi="黑体" w:eastAsia="黑体"/>
                <w:b/>
                <w:color w:val="FFFFFF"/>
                <w:sz w:val="21"/>
              </w:rPr>
              <w:t>联系人</w:t>
            </w:r>
          </w:p>
        </w:tc>
      </w:tr>
      <w:tr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西宁市大数据服务中心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资源审批、协调配合、效果验收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XXX</w:t>
            </w:r>
          </w:p>
        </w:tc>
      </w:tr>
      <w:tr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运维厂商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方案实施、技术支撑、日常运维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XXX</w:t>
            </w:r>
          </w:p>
        </w:tc>
      </w:tr>
      <w:tr>
        <w:tc>
          <w:tcPr>
            <w:tcW w:type="dxa" w:w="255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平台业务方</w:t>
            </w:r>
          </w:p>
        </w:tc>
        <w:tc>
          <w:tcPr>
            <w:tcW w:type="dxa" w:w="3685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业务需求确认、测试配合、使用反馈</w:t>
            </w:r>
          </w:p>
        </w:tc>
        <w:tc>
          <w:tcPr>
            <w:tcW w:type="dxa" w:w="1701"/>
          </w:tcPr>
          <w:p>
            <w:pPr>
              <w:jc w:val="center"/>
            </w:pPr>
            <w:r/>
            <w:r>
              <w:rPr>
                <w:rFonts w:ascii="仿宋" w:hAnsi="仿宋" w:eastAsia="仿宋"/>
                <w:sz w:val="21"/>
              </w:rPr>
              <w:t>XXX</w:t>
            </w:r>
          </w:p>
        </w:tc>
      </w:tr>
    </w:tbl>
    <w:p/>
    <w:p>
      <w:pPr>
        <w:spacing w:before="240" w:after="120"/>
        <w:jc w:val="left"/>
      </w:pPr>
      <w:r>
        <w:rPr>
          <w:rFonts w:ascii="黑体" w:hAnsi="黑体" w:eastAsia="黑体"/>
          <w:b/>
          <w:sz w:val="32"/>
        </w:rPr>
        <w:t>七、附则</w:t>
      </w:r>
    </w:p>
    <w:p>
      <w:pPr>
        <w:pBdr>
          <w:bottom w:val="single" w:sz="6" w:space="1" w:color="C41E3A"/>
        </w:pBdr>
      </w:pP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本方案由运维厂商编制，经西宁市大数据服务中心审核批准后实施。方案执行过程中如遇特殊情况，由专项工作组协商决定，并及时形成书面纪要。本方案自发布之日起生效，有效期至资源优化目标全面达成之日止。</w:t>
      </w:r>
    </w:p>
    <w:p>
      <w:pPr>
        <w:spacing w:line="360" w:lineRule="auto" w:before="0" w:after="120"/>
        <w:ind w:firstLine="420"/>
        <w:jc w:val="both"/>
      </w:pPr>
      <w:r>
        <w:rPr>
          <w:rFonts w:ascii="仿宋" w:hAnsi="仿宋" w:eastAsia="仿宋"/>
          <w:sz w:val="24"/>
        </w:rPr>
        <w:t>本方案一式两份，西宁市大数据服务中心和运维厂商各执一份，具有同等效力。</w:t>
      </w:r>
    </w:p>
    <w:p/>
    <w:p/>
    <w:p>
      <w:pPr>
        <w:jc w:val="right"/>
      </w:pPr>
      <w:r>
        <w:rPr>
          <w:rFonts w:ascii="仿宋" w:hAnsi="仿宋" w:eastAsia="仿宋"/>
          <w:sz w:val="32"/>
        </w:rPr>
        <w:t>运维厂商：XXX科技有限公司</w:t>
      </w:r>
    </w:p>
    <w:p>
      <w:pPr>
        <w:jc w:val="right"/>
      </w:pPr>
      <w:r>
        <w:rPr>
          <w:rFonts w:ascii="仿宋" w:hAnsi="仿宋" w:eastAsia="仿宋"/>
          <w:sz w:val="32"/>
        </w:rPr>
        <w:t>2026年07月29日</w:t>
      </w:r>
    </w:p>
    <w:sectPr w:rsidR="00FC693F" w:rsidRPr="0006063C" w:rsidSect="00034616"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仿宋" w:hAnsi="仿宋" w:eastAsia="仿宋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