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21894">
      <w:pPr>
        <w:spacing w:line="620" w:lineRule="exac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附件4：</w:t>
      </w:r>
    </w:p>
    <w:p w14:paraId="0E455BEA">
      <w:pPr>
        <w:spacing w:line="620" w:lineRule="exact"/>
        <w:ind w:firstLine="640" w:firstLineChars="200"/>
        <w:rPr>
          <w:rFonts w:hint="default" w:ascii="仿宋_GB2312" w:eastAsia="仿宋_GB2312"/>
          <w:color w:val="000000"/>
          <w:sz w:val="32"/>
          <w:szCs w:val="32"/>
          <w:lang w:val="en-US" w:eastAsia="zh-CN"/>
        </w:rPr>
      </w:pPr>
    </w:p>
    <w:p w14:paraId="0A4E754C">
      <w:pPr>
        <w:jc w:val="center"/>
        <w:rPr>
          <w:rFonts w:hint="eastAsia" w:ascii="宋体" w:hAnsi="宋体"/>
          <w:b/>
          <w:sz w:val="44"/>
          <w:szCs w:val="44"/>
        </w:rPr>
      </w:pPr>
      <w:r>
        <w:rPr>
          <w:rFonts w:hint="eastAsia" w:ascii="宋体" w:hAnsi="宋体"/>
          <w:b/>
          <w:sz w:val="44"/>
          <w:szCs w:val="44"/>
          <w:lang w:eastAsia="zh-CN"/>
        </w:rPr>
        <w:t>中国共产党自贡市沿滩区委员会组织部2026</w:t>
      </w:r>
      <w:r>
        <w:rPr>
          <w:rFonts w:hint="eastAsia" w:ascii="宋体" w:hAnsi="宋体"/>
          <w:b/>
          <w:sz w:val="44"/>
          <w:szCs w:val="44"/>
        </w:rPr>
        <w:t>年</w:t>
      </w:r>
      <w:r>
        <w:rPr>
          <w:rFonts w:hint="eastAsia" w:ascii="宋体" w:hAnsi="宋体"/>
          <w:b/>
          <w:sz w:val="44"/>
          <w:szCs w:val="44"/>
          <w:lang w:eastAsia="zh-CN"/>
        </w:rPr>
        <w:t>单位</w:t>
      </w:r>
      <w:r>
        <w:rPr>
          <w:rFonts w:hint="eastAsia" w:ascii="宋体" w:hAnsi="宋体"/>
          <w:b/>
          <w:sz w:val="44"/>
          <w:szCs w:val="44"/>
        </w:rPr>
        <w:t>预算编制的说明</w:t>
      </w:r>
    </w:p>
    <w:p w14:paraId="60E91151">
      <w:pPr>
        <w:widowControl/>
        <w:rPr>
          <w:rFonts w:hint="eastAsia" w:ascii="黑体" w:hAnsi="黑体" w:eastAsia="黑体"/>
          <w:color w:val="000000"/>
          <w:sz w:val="48"/>
          <w:szCs w:val="48"/>
        </w:rPr>
      </w:pPr>
    </w:p>
    <w:p w14:paraId="69BFF832">
      <w:pPr>
        <w:widowControl/>
        <w:jc w:val="center"/>
        <w:rPr>
          <w:rFonts w:hint="eastAsia" w:ascii="黑体" w:hAnsi="黑体" w:eastAsia="黑体"/>
          <w:color w:val="000000"/>
          <w:sz w:val="48"/>
          <w:szCs w:val="48"/>
        </w:rPr>
      </w:pPr>
      <w:r>
        <w:rPr>
          <w:rFonts w:hint="eastAsia" w:ascii="黑体" w:hAnsi="黑体" w:eastAsia="黑体"/>
          <w:color w:val="000000"/>
          <w:sz w:val="48"/>
          <w:szCs w:val="48"/>
        </w:rPr>
        <w:t>目录</w:t>
      </w:r>
    </w:p>
    <w:p w14:paraId="24ECF556">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TOC \o "1-3" \h \z \u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HYPERLINK \l _Toc9016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一、基本职能及主要工作</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_Toc9016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rPr>
        <w:fldChar w:fldCharType="end"/>
      </w:r>
    </w:p>
    <w:p w14:paraId="15A09ED3">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_Toc28031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（一）区组织部</w:t>
      </w:r>
      <w:r>
        <w:rPr>
          <w:rFonts w:hint="eastAsia" w:ascii="仿宋_GB2312" w:eastAsia="仿宋_GB2312"/>
          <w:b w:val="0"/>
          <w:bCs w:val="0"/>
          <w:i w:val="0"/>
          <w:iCs w:val="0"/>
          <w:sz w:val="28"/>
          <w:szCs w:val="28"/>
          <w:lang w:eastAsia="zh-CN"/>
        </w:rPr>
        <w:t>单位</w:t>
      </w:r>
      <w:r>
        <w:rPr>
          <w:rFonts w:hint="eastAsia" w:ascii="仿宋_GB2312" w:eastAsia="仿宋_GB2312"/>
          <w:b w:val="0"/>
          <w:bCs w:val="0"/>
          <w:i w:val="0"/>
          <w:iCs w:val="0"/>
          <w:sz w:val="28"/>
          <w:szCs w:val="28"/>
        </w:rPr>
        <w:t>职能简介</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_Toc28031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9005E3E">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_Toc8746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（二） 区委组织部</w:t>
      </w:r>
      <w:r>
        <w:rPr>
          <w:rFonts w:hint="eastAsia" w:ascii="仿宋_GB2312" w:eastAsia="仿宋_GB2312"/>
          <w:b w:val="0"/>
          <w:bCs w:val="0"/>
          <w:i w:val="0"/>
          <w:iCs w:val="0"/>
          <w:sz w:val="28"/>
          <w:szCs w:val="28"/>
          <w:lang w:eastAsia="zh-CN"/>
        </w:rPr>
        <w:t>单位2026</w:t>
      </w:r>
      <w:r>
        <w:rPr>
          <w:rFonts w:hint="eastAsia" w:ascii="仿宋_GB2312" w:eastAsia="仿宋_GB2312"/>
          <w:b w:val="0"/>
          <w:bCs w:val="0"/>
          <w:i w:val="0"/>
          <w:iCs w:val="0"/>
          <w:sz w:val="28"/>
          <w:szCs w:val="28"/>
        </w:rPr>
        <w:t>年重点工作</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_Toc8746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42DA27BC">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_Toc12181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二、</w:t>
      </w:r>
      <w:r>
        <w:rPr>
          <w:rFonts w:hint="eastAsia" w:ascii="仿宋_GB2312" w:eastAsia="仿宋_GB2312"/>
          <w:b w:val="0"/>
          <w:bCs w:val="0"/>
          <w:i w:val="0"/>
          <w:iCs w:val="0"/>
          <w:sz w:val="28"/>
          <w:szCs w:val="28"/>
          <w:lang w:eastAsia="zh-CN"/>
        </w:rPr>
        <w:t>单位</w:t>
      </w:r>
      <w:r>
        <w:rPr>
          <w:rFonts w:hint="eastAsia" w:ascii="仿宋_GB2312" w:eastAsia="仿宋_GB2312"/>
          <w:b w:val="0"/>
          <w:bCs w:val="0"/>
          <w:i w:val="0"/>
          <w:iCs w:val="0"/>
          <w:sz w:val="28"/>
          <w:szCs w:val="28"/>
        </w:rPr>
        <w:t>概况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_Toc12181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- 5 -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6A09B613">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_Toc4922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三、收支预算情况说明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_Toc4922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- 6 -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4176AB77">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_Toc23048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（一）收入预算情况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_Toc23048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- 6 -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1606F6B">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_Toc12316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（二）支出预算情况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_Toc12316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- 7 -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6F54F46A">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_Toc28509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四、财政拨款收支预算情况说明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_Toc28509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- 7 -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D6B1BA8">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_Toc27218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五、一般公共预算当年拨款情况说明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_Toc27218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- 8 -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2EFA09B9">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_Toc6076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（一）一般公共预算当年拨款规模变化情况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_Toc6076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- 8 -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5C40B33">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_Toc6992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lang w:val="en-US" w:eastAsia="zh-CN"/>
        </w:rPr>
        <w:t>（二）一般公共预算当年拨款结构情况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_Toc6992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- 9 -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19E64819">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_Toc30988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lang w:val="en-US" w:eastAsia="zh-CN"/>
        </w:rPr>
        <w:t>（三）一般公共预算当年拨款具体使用情况：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_Toc30988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- 10 -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396E0F1">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_Toc17052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六、一般公共预算基本支出情况说明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_Toc17052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- 11 -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210E92D">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_Toc10514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七、“三公”经费财政拨款预算安排情况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_Toc10514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- 11 -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2C863CB">
      <w:pPr>
        <w:pStyle w:val="9"/>
        <w:tabs>
          <w:tab w:val="right" w:leader="dot" w:pos="8296"/>
        </w:tabs>
        <w:spacing w:line="600" w:lineRule="exact"/>
        <w:rPr>
          <w:rFonts w:hint="eastAsia" w:ascii="仿宋_GB2312" w:eastAsia="仿宋_GB2312"/>
          <w:b w:val="0"/>
          <w:bCs w:val="0"/>
          <w:i w:val="0"/>
          <w:iCs w:val="0"/>
          <w:sz w:val="28"/>
          <w:szCs w:val="28"/>
          <w:lang w:val="zh-CN"/>
        </w:rPr>
        <w:sectPr>
          <w:pgSz w:w="11906" w:h="16838"/>
          <w:pgMar w:top="1440" w:right="1800" w:bottom="1440" w:left="1800" w:header="851" w:footer="992" w:gutter="0"/>
          <w:pgNumType w:fmt="numberInDash"/>
          <w:cols w:space="425" w:num="1"/>
          <w:docGrid w:type="lines" w:linePitch="312" w:charSpace="0"/>
        </w:sectPr>
      </w:pPr>
    </w:p>
    <w:p w14:paraId="707E6911">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_Toc10741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八、政府性基金预算支出情况说明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_Toc10741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F031A83">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_Toc20844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九、国有资本经营预算支出情况说明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_Toc20844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B20502E">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_Toc18386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十、其他重要事项的情况说明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_Toc18386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1FF503BA">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_Toc7338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（一）机关运行经费情况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_Toc7338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488EF4BD">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_Toc15029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（二）政府采购情况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_Toc15029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27EC871">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_Toc31945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（三）国有资产占有使用情况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_Toc31945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- 13 -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647DB806">
      <w:pPr>
        <w:pStyle w:val="9"/>
        <w:tabs>
          <w:tab w:val="right" w:leader="dot" w:pos="8296"/>
        </w:tabs>
        <w:spacing w:line="600" w:lineRule="exact"/>
        <w:ind w:firstLine="280" w:firstLineChars="100"/>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_Toc19488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（四）绩效目标设置情况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_Toc19488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- 14 -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5A0A80D2">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_Toc7895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十一、名词解释</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_Toc7895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- 14 -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47890BA7">
      <w:pPr>
        <w:pStyle w:val="9"/>
        <w:tabs>
          <w:tab w:val="right" w:leader="dot" w:pos="8296"/>
        </w:tabs>
        <w:spacing w:line="600" w:lineRule="exact"/>
        <w:rPr>
          <w:rFonts w:hint="eastAsia" w:ascii="仿宋_GB2312" w:eastAsia="仿宋_GB2312"/>
          <w:b w:val="0"/>
          <w:bCs w:val="0"/>
          <w:i w:val="0"/>
          <w:iCs w:val="0"/>
          <w:sz w:val="28"/>
          <w:szCs w:val="28"/>
        </w:rPr>
      </w:pPr>
      <w:r>
        <w:rPr>
          <w:rFonts w:hint="eastAsia" w:ascii="仿宋_GB2312" w:eastAsia="仿宋_GB2312"/>
          <w:b w:val="0"/>
          <w:bCs w:val="0"/>
          <w:i w:val="0"/>
          <w:iCs w:val="0"/>
          <w:sz w:val="28"/>
          <w:szCs w:val="28"/>
          <w:lang w:val="zh-CN"/>
        </w:rPr>
        <w:fldChar w:fldCharType="begin"/>
      </w:r>
      <w:r>
        <w:rPr>
          <w:rFonts w:hint="eastAsia" w:ascii="仿宋_GB2312" w:eastAsia="仿宋_GB2312"/>
          <w:b w:val="0"/>
          <w:bCs w:val="0"/>
          <w:i w:val="0"/>
          <w:iCs w:val="0"/>
          <w:sz w:val="28"/>
          <w:szCs w:val="28"/>
          <w:lang w:val="zh-CN"/>
        </w:rPr>
        <w:instrText xml:space="preserve"> HYPERLINK \l _Toc8240 </w:instrText>
      </w:r>
      <w:r>
        <w:rPr>
          <w:rFonts w:hint="eastAsia" w:ascii="仿宋_GB2312" w:eastAsia="仿宋_GB2312"/>
          <w:b w:val="0"/>
          <w:bCs w:val="0"/>
          <w:i w:val="0"/>
          <w:iCs w:val="0"/>
          <w:sz w:val="28"/>
          <w:szCs w:val="28"/>
          <w:lang w:val="zh-CN"/>
        </w:rPr>
        <w:fldChar w:fldCharType="separate"/>
      </w:r>
      <w:r>
        <w:rPr>
          <w:rFonts w:hint="eastAsia" w:ascii="仿宋_GB2312" w:eastAsia="仿宋_GB2312"/>
          <w:b w:val="0"/>
          <w:bCs w:val="0"/>
          <w:i w:val="0"/>
          <w:iCs w:val="0"/>
          <w:sz w:val="28"/>
          <w:szCs w:val="28"/>
        </w:rPr>
        <w:t>附件：</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PAGEREF _Toc8240 \h </w:instrText>
      </w:r>
      <w:r>
        <w:rPr>
          <w:rFonts w:hint="eastAsia" w:ascii="仿宋_GB2312" w:eastAsia="仿宋_GB2312"/>
          <w:b w:val="0"/>
          <w:bCs w:val="0"/>
          <w:i w:val="0"/>
          <w:iCs w:val="0"/>
          <w:sz w:val="28"/>
          <w:szCs w:val="28"/>
        </w:rPr>
        <w:fldChar w:fldCharType="separate"/>
      </w:r>
      <w:r>
        <w:rPr>
          <w:rFonts w:hint="eastAsia" w:ascii="仿宋_GB2312" w:eastAsia="仿宋_GB2312"/>
          <w:b w:val="0"/>
          <w:bCs w:val="0"/>
          <w:i w:val="0"/>
          <w:iCs w:val="0"/>
          <w:sz w:val="28"/>
          <w:szCs w:val="28"/>
        </w:rPr>
        <w:t>- 16 -</w:t>
      </w:r>
      <w:r>
        <w:rPr>
          <w:rFonts w:hint="eastAsia" w:ascii="仿宋_GB2312" w:eastAsia="仿宋_GB2312"/>
          <w:b w:val="0"/>
          <w:bCs w:val="0"/>
          <w:i w:val="0"/>
          <w:iCs w:val="0"/>
          <w:sz w:val="28"/>
          <w:szCs w:val="28"/>
        </w:rPr>
        <w:fldChar w:fldCharType="end"/>
      </w:r>
      <w:r>
        <w:rPr>
          <w:rFonts w:hint="eastAsia" w:ascii="仿宋_GB2312" w:eastAsia="仿宋_GB2312"/>
          <w:b w:val="0"/>
          <w:bCs w:val="0"/>
          <w:i w:val="0"/>
          <w:iCs w:val="0"/>
          <w:sz w:val="28"/>
          <w:szCs w:val="28"/>
          <w:lang w:val="zh-CN"/>
        </w:rPr>
        <w:fldChar w:fldCharType="end"/>
      </w:r>
    </w:p>
    <w:p w14:paraId="310321C1">
      <w:pPr>
        <w:pStyle w:val="9"/>
        <w:tabs>
          <w:tab w:val="right" w:leader="dot" w:pos="8296"/>
        </w:tabs>
        <w:spacing w:line="600" w:lineRule="exact"/>
        <w:rPr>
          <w:rFonts w:hint="default" w:ascii="仿宋_GB2312" w:eastAsia="仿宋_GB2312"/>
          <w:b w:val="0"/>
          <w:bCs w:val="0"/>
          <w:i w:val="0"/>
          <w:iCs w:val="0"/>
          <w:sz w:val="28"/>
          <w:szCs w:val="28"/>
          <w:lang w:val="en-US" w:eastAsia="zh-CN"/>
        </w:rPr>
      </w:pPr>
      <w:r>
        <w:rPr>
          <w:rFonts w:hint="eastAsia" w:ascii="仿宋_GB2312" w:eastAsia="仿宋_GB2312"/>
          <w:b w:val="0"/>
          <w:bCs w:val="0"/>
          <w:i w:val="0"/>
          <w:iCs w:val="0"/>
          <w:sz w:val="28"/>
          <w:szCs w:val="28"/>
          <w:lang w:val="zh-CN"/>
        </w:rPr>
        <w:fldChar w:fldCharType="end"/>
      </w:r>
    </w:p>
    <w:p w14:paraId="4DB32E68">
      <w:pPr>
        <w:pStyle w:val="9"/>
        <w:tabs>
          <w:tab w:val="right" w:leader="dot" w:pos="8296"/>
        </w:tabs>
        <w:spacing w:line="600" w:lineRule="exact"/>
        <w:rPr>
          <w:rFonts w:hint="eastAsia" w:ascii="仿宋_GB2312" w:eastAsia="仿宋_GB2312"/>
          <w:b w:val="0"/>
          <w:bCs w:val="0"/>
          <w:i w:val="0"/>
          <w:iCs w:val="0"/>
          <w:sz w:val="28"/>
          <w:szCs w:val="28"/>
          <w:lang w:val="zh-CN"/>
        </w:rPr>
      </w:pPr>
    </w:p>
    <w:p w14:paraId="02C2E4AF">
      <w:pPr>
        <w:pStyle w:val="9"/>
        <w:tabs>
          <w:tab w:val="right" w:leader="dot" w:pos="8296"/>
        </w:tabs>
        <w:spacing w:line="600" w:lineRule="exact"/>
        <w:rPr>
          <w:rFonts w:hint="eastAsia" w:ascii="仿宋_GB2312" w:eastAsia="仿宋_GB2312"/>
          <w:b w:val="0"/>
          <w:bCs w:val="0"/>
          <w:i w:val="0"/>
          <w:iCs w:val="0"/>
          <w:sz w:val="28"/>
          <w:szCs w:val="28"/>
          <w:lang w:val="zh-CN"/>
        </w:rPr>
      </w:pPr>
    </w:p>
    <w:p w14:paraId="2660A083">
      <w:pPr>
        <w:jc w:val="center"/>
        <w:rPr>
          <w:rFonts w:ascii="仿宋_GB2312" w:eastAsia="仿宋_GB2312"/>
          <w:sz w:val="28"/>
          <w:szCs w:val="28"/>
          <w:lang w:val="zh-CN"/>
        </w:rPr>
      </w:pPr>
    </w:p>
    <w:p w14:paraId="2EABE63C">
      <w:pPr>
        <w:jc w:val="center"/>
        <w:rPr>
          <w:rFonts w:ascii="仿宋_GB2312" w:eastAsia="仿宋_GB2312"/>
          <w:sz w:val="28"/>
          <w:szCs w:val="28"/>
          <w:lang w:val="zh-CN"/>
        </w:rPr>
      </w:pPr>
    </w:p>
    <w:p w14:paraId="0BD488F0">
      <w:pPr>
        <w:jc w:val="center"/>
        <w:rPr>
          <w:rFonts w:ascii="仿宋_GB2312" w:eastAsia="仿宋_GB2312"/>
          <w:sz w:val="28"/>
          <w:szCs w:val="28"/>
          <w:lang w:val="zh-CN"/>
        </w:rPr>
      </w:pPr>
    </w:p>
    <w:p w14:paraId="474DD924">
      <w:pPr>
        <w:jc w:val="center"/>
        <w:rPr>
          <w:rFonts w:ascii="仿宋_GB2312" w:eastAsia="仿宋_GB2312"/>
          <w:sz w:val="28"/>
          <w:szCs w:val="28"/>
          <w:lang w:val="zh-CN"/>
        </w:rPr>
      </w:pPr>
    </w:p>
    <w:p w14:paraId="10589EA6">
      <w:pPr>
        <w:jc w:val="center"/>
        <w:rPr>
          <w:rFonts w:ascii="仿宋_GB2312" w:eastAsia="仿宋_GB2312"/>
          <w:sz w:val="28"/>
          <w:szCs w:val="28"/>
          <w:lang w:val="zh-CN"/>
        </w:rPr>
      </w:pPr>
    </w:p>
    <w:p w14:paraId="0694DD21">
      <w:pPr>
        <w:jc w:val="center"/>
        <w:rPr>
          <w:rFonts w:ascii="仿宋_GB2312" w:eastAsia="仿宋_GB2312"/>
          <w:sz w:val="28"/>
          <w:szCs w:val="28"/>
          <w:lang w:val="zh-CN"/>
        </w:rPr>
      </w:pPr>
    </w:p>
    <w:p w14:paraId="3D114239">
      <w:pPr>
        <w:jc w:val="center"/>
        <w:rPr>
          <w:rFonts w:ascii="仿宋_GB2312" w:eastAsia="仿宋_GB2312"/>
          <w:sz w:val="28"/>
          <w:szCs w:val="28"/>
          <w:lang w:val="zh-CN"/>
        </w:rPr>
        <w:sectPr>
          <w:footerReference r:id="rId3" w:type="default"/>
          <w:pgSz w:w="11906" w:h="16838"/>
          <w:pgMar w:top="1440" w:right="1800" w:bottom="1440" w:left="1800" w:header="851" w:footer="992" w:gutter="0"/>
          <w:pgNumType w:fmt="numberInDash" w:start="1"/>
          <w:cols w:space="425" w:num="1"/>
          <w:docGrid w:type="lines" w:linePitch="312" w:charSpace="0"/>
        </w:sectPr>
      </w:pPr>
    </w:p>
    <w:p w14:paraId="7B3563C9">
      <w:pPr>
        <w:rPr>
          <w:rFonts w:hint="eastAsia" w:ascii="黑体" w:eastAsia="黑体"/>
          <w:sz w:val="32"/>
          <w:szCs w:val="32"/>
        </w:rPr>
      </w:pPr>
    </w:p>
    <w:p w14:paraId="00966FF9">
      <w:pPr>
        <w:spacing w:line="580" w:lineRule="exact"/>
        <w:ind w:firstLine="640" w:firstLineChars="200"/>
        <w:outlineLvl w:val="0"/>
        <w:rPr>
          <w:rFonts w:hint="eastAsia" w:ascii="黑体" w:eastAsia="黑体"/>
          <w:sz w:val="32"/>
          <w:szCs w:val="32"/>
        </w:rPr>
      </w:pPr>
      <w:bookmarkStart w:id="0" w:name="_Toc9016"/>
      <w:r>
        <w:rPr>
          <w:rFonts w:hint="eastAsia" w:ascii="黑体" w:eastAsia="黑体"/>
          <w:sz w:val="32"/>
          <w:szCs w:val="32"/>
        </w:rPr>
        <w:t>一、基本职能及主要工作</w:t>
      </w:r>
      <w:bookmarkEnd w:id="0"/>
    </w:p>
    <w:p w14:paraId="0FDBD086">
      <w:pPr>
        <w:pStyle w:val="5"/>
        <w:adjustRightInd w:val="0"/>
        <w:snapToGrid w:val="0"/>
        <w:spacing w:line="580" w:lineRule="exact"/>
        <w:ind w:left="561" w:leftChars="267" w:firstLine="32" w:firstLineChars="10"/>
        <w:outlineLvl w:val="1"/>
        <w:rPr>
          <w:rFonts w:hint="eastAsia"/>
          <w:b/>
          <w:bCs/>
          <w:sz w:val="32"/>
          <w:szCs w:val="32"/>
        </w:rPr>
      </w:pPr>
      <w:bookmarkStart w:id="1" w:name="_Toc28031"/>
      <w:r>
        <w:rPr>
          <w:rFonts w:hint="eastAsia"/>
          <w:b/>
          <w:bCs/>
          <w:sz w:val="32"/>
          <w:szCs w:val="32"/>
        </w:rPr>
        <w:t>（一）区组织部</w:t>
      </w:r>
      <w:r>
        <w:rPr>
          <w:rFonts w:hint="eastAsia"/>
          <w:b/>
          <w:bCs/>
          <w:sz w:val="32"/>
          <w:szCs w:val="32"/>
          <w:lang w:eastAsia="zh-CN"/>
        </w:rPr>
        <w:t>单位</w:t>
      </w:r>
      <w:r>
        <w:rPr>
          <w:rFonts w:hint="eastAsia"/>
          <w:b/>
          <w:bCs/>
          <w:sz w:val="32"/>
          <w:szCs w:val="32"/>
        </w:rPr>
        <w:t>职能简介</w:t>
      </w:r>
      <w:bookmarkEnd w:id="1"/>
    </w:p>
    <w:p w14:paraId="0D9B4797">
      <w:pPr>
        <w:snapToGrid w:val="0"/>
        <w:spacing w:line="580" w:lineRule="exact"/>
        <w:ind w:firstLine="640" w:firstLineChars="200"/>
        <w:rPr>
          <w:rFonts w:hint="eastAsia" w:ascii="仿宋_GB2312" w:hAnsi="仿宋" w:eastAsia="仿宋_GB2312"/>
          <w:sz w:val="32"/>
          <w:szCs w:val="32"/>
          <w:lang w:eastAsia="zh-CN"/>
        </w:rPr>
      </w:pPr>
      <w:r>
        <w:rPr>
          <w:rFonts w:hint="eastAsia" w:ascii="仿宋_GB2312" w:hAnsi="仿宋" w:eastAsia="仿宋_GB2312"/>
          <w:color w:val="000000"/>
          <w:sz w:val="32"/>
          <w:szCs w:val="32"/>
          <w:lang w:eastAsia="zh-CN"/>
        </w:rPr>
        <w:t>中国共产党自贡市沿滩区委员会组织部</w:t>
      </w:r>
      <w:r>
        <w:rPr>
          <w:rFonts w:hint="eastAsia" w:ascii="仿宋_GB2312" w:hAnsi="仿宋" w:eastAsia="仿宋_GB2312"/>
          <w:color w:val="000000"/>
          <w:sz w:val="32"/>
          <w:szCs w:val="32"/>
        </w:rPr>
        <w:t>（简称区委组织部）是区委主管组织工作、干部工作、人才</w:t>
      </w:r>
      <w:r>
        <w:rPr>
          <w:rFonts w:hint="eastAsia" w:ascii="仿宋_GB2312" w:hAnsi="仿宋" w:eastAsia="仿宋_GB2312"/>
          <w:color w:val="000000"/>
          <w:sz w:val="32"/>
          <w:szCs w:val="32"/>
          <w:highlight w:val="none"/>
        </w:rPr>
        <w:t>工作、公务员工作的职能部门。挂区委直属机关工作委员会、区委老干部局、区委非公有制经济组织和社会组织工作委员会、</w:t>
      </w:r>
      <w:r>
        <w:rPr>
          <w:rFonts w:hint="eastAsia" w:ascii="仿宋_GB2312" w:hAnsi="黑体" w:eastAsia="仿宋_GB2312" w:cs="仿宋_GB2312"/>
          <w:sz w:val="32"/>
          <w:szCs w:val="32"/>
          <w:highlight w:val="none"/>
        </w:rPr>
        <w:t>区委城乡社区发展治理委员会办公室</w:t>
      </w:r>
      <w:r>
        <w:rPr>
          <w:rFonts w:hint="eastAsia" w:ascii="仿宋_GB2312" w:hAnsi="黑体" w:eastAsia="仿宋_GB2312" w:cs="仿宋_GB2312"/>
          <w:sz w:val="32"/>
          <w:szCs w:val="32"/>
          <w:highlight w:val="none"/>
          <w:lang w:eastAsia="zh-CN"/>
        </w:rPr>
        <w:t>、</w:t>
      </w:r>
      <w:r>
        <w:rPr>
          <w:rFonts w:hint="eastAsia" w:ascii="仿宋_GB2312" w:hAnsi="仿宋" w:eastAsia="仿宋_GB2312"/>
          <w:color w:val="000000"/>
          <w:sz w:val="32"/>
          <w:szCs w:val="32"/>
          <w:highlight w:val="none"/>
        </w:rPr>
        <w:t>区人才工作领导小组办公室、区公务员</w:t>
      </w:r>
      <w:r>
        <w:rPr>
          <w:rFonts w:hint="eastAsia" w:ascii="仿宋_GB2312" w:hAnsi="仿宋" w:eastAsia="仿宋_GB2312"/>
          <w:color w:val="000000"/>
          <w:sz w:val="32"/>
          <w:szCs w:val="32"/>
        </w:rPr>
        <w:t>局牌子。</w:t>
      </w:r>
    </w:p>
    <w:p w14:paraId="18D5E2D3">
      <w:pPr>
        <w:pStyle w:val="5"/>
        <w:adjustRightInd w:val="0"/>
        <w:snapToGrid w:val="0"/>
        <w:spacing w:line="580" w:lineRule="exact"/>
        <w:ind w:left="561" w:leftChars="267" w:firstLine="32" w:firstLineChars="10"/>
        <w:outlineLvl w:val="1"/>
        <w:rPr>
          <w:rFonts w:hint="eastAsia"/>
          <w:b/>
          <w:bCs/>
          <w:sz w:val="32"/>
          <w:szCs w:val="32"/>
        </w:rPr>
      </w:pPr>
      <w:bookmarkStart w:id="2" w:name="_Toc8746"/>
      <w:r>
        <w:rPr>
          <w:rFonts w:hint="eastAsia"/>
          <w:b/>
          <w:bCs/>
          <w:sz w:val="32"/>
          <w:szCs w:val="32"/>
        </w:rPr>
        <w:t>（二） 区委组织部</w:t>
      </w:r>
      <w:r>
        <w:rPr>
          <w:rFonts w:hint="eastAsia"/>
          <w:b/>
          <w:bCs/>
          <w:sz w:val="32"/>
          <w:szCs w:val="32"/>
          <w:lang w:eastAsia="zh-CN"/>
        </w:rPr>
        <w:t>单位2026</w:t>
      </w:r>
      <w:r>
        <w:rPr>
          <w:rFonts w:hint="eastAsia"/>
          <w:b/>
          <w:bCs/>
          <w:sz w:val="32"/>
          <w:szCs w:val="32"/>
        </w:rPr>
        <w:t>年重点工作</w:t>
      </w:r>
      <w:bookmarkEnd w:id="2"/>
    </w:p>
    <w:p w14:paraId="5FE7EC65">
      <w:pPr>
        <w:spacing w:line="580" w:lineRule="exact"/>
        <w:ind w:firstLine="640" w:firstLineChars="200"/>
        <w:rPr>
          <w:rFonts w:hint="default" w:ascii="仿宋_GB2312" w:eastAsia="仿宋_GB2312"/>
          <w:sz w:val="32"/>
          <w:szCs w:val="32"/>
        </w:rPr>
      </w:pPr>
      <w:r>
        <w:rPr>
          <w:rFonts w:hint="default" w:ascii="仿宋_GB2312" w:eastAsia="仿宋_GB2312"/>
          <w:sz w:val="32"/>
          <w:szCs w:val="32"/>
        </w:rPr>
        <w:t>2026年，沿滩区委组织部将全面贯彻党的二十届四中全会精神和新时代党的组织路线，立足“十五五”开局起步，坚决落实省委“四化同步、城乡融合、五区共兴”战略部署和自贡市委“工业强市”工作要求。聚焦主责主业，持续在强化政治引领、锻造过硬队伍、夯实基层基础、集聚急需人才、强化自身建设上求实效、出实招，推动组织优势更好转化为发展动能，为绘就中国式现代化自贡篇章的沿滩画卷提供坚实组织保证。</w:t>
      </w:r>
    </w:p>
    <w:p w14:paraId="63A00C03">
      <w:pPr>
        <w:spacing w:line="580" w:lineRule="exact"/>
        <w:ind w:firstLine="643" w:firstLineChars="200"/>
        <w:rPr>
          <w:rFonts w:hint="default" w:ascii="仿宋_GB2312" w:eastAsia="仿宋_GB2312"/>
          <w:sz w:val="32"/>
          <w:szCs w:val="32"/>
        </w:rPr>
      </w:pPr>
      <w:r>
        <w:rPr>
          <w:rFonts w:hint="eastAsia" w:ascii="楷体_GB2312" w:eastAsia="楷体_GB2312" w:hAnsiTheme="minorHAnsi" w:cstheme="minorBidi"/>
          <w:b/>
          <w:bCs/>
          <w:kern w:val="2"/>
          <w:sz w:val="32"/>
          <w:szCs w:val="32"/>
          <w:lang w:val="en-US" w:eastAsia="zh-CN" w:bidi="ar-SA"/>
        </w:rPr>
        <w:t>1.</w:t>
      </w:r>
      <w:r>
        <w:rPr>
          <w:rFonts w:hint="default" w:ascii="楷体_GB2312" w:eastAsia="楷体_GB2312" w:hAnsiTheme="minorHAnsi" w:cstheme="minorBidi"/>
          <w:b/>
          <w:bCs/>
          <w:kern w:val="2"/>
          <w:sz w:val="32"/>
          <w:szCs w:val="32"/>
          <w:lang w:val="en-US" w:eastAsia="zh-CN" w:bidi="ar-SA"/>
        </w:rPr>
        <w:t>实施“铸魂固本”行动，着力凝聚干事创业强大合力。</w:t>
      </w:r>
      <w:r>
        <w:rPr>
          <w:rFonts w:hint="default" w:ascii="仿宋_GB2312" w:eastAsia="仿宋_GB2312"/>
          <w:sz w:val="32"/>
          <w:szCs w:val="32"/>
        </w:rPr>
        <w:t>一是常态长效抓实政治理论培训。深入实施习近平新时代中国特色社会主义思想凝心铸魂计划，充分发挥基本培训基础性、主体性、牵引性作用，办实办好中青年干部培训班，强化年轻干部政治训练，抓好重点培训班次，分级分类办好政治轮训班，深化干部思想教育，引导干部正确看待个人“进退留转”，强化“一盘棋”共识，确保换届期间思想统一、心齐劲足。深入开展专项需求调研，精心制定培训方案，帮助换届新当选干部强化习近平新时代中国特色社会主义思想的认识和把握，确保中央和省、市、区委决策部署在工作实践中落地生根。二是精准科学抓实党员分类教育。高质量开展基层党委全覆盖兜底培训，加强流动党员、新兴领域党员和老党员基础性教育，提升党员教育载体化体系化品牌化建设，持续开展“党课开讲啦”“书记龙门阵”等特色活动，分层分类打造优秀基层党课，推动集中教育和分散教育相结合、线上教育和线下教育相结合，让党员经常性教育“实起来”“活起来”。三是因地制宜抓实教学课程建设。以“五好”工作申报为导向，加强教材、课程、案例开发，打造“通识+特色”教学模块，结合“十年磨一课”工程，打造以习近平新时代中国特色社会主义思想为核心的“通识”课程，完善以马克思主义基本理论为根、党的创新理论为纲的党性课程体系。深化科研层级联动，推动研究模式从“单兵作战”向“系统集成”转变，努力产出一批能用管用的调研成果。</w:t>
      </w:r>
    </w:p>
    <w:p w14:paraId="30113975">
      <w:pPr>
        <w:spacing w:line="580" w:lineRule="exact"/>
        <w:ind w:firstLine="643" w:firstLineChars="200"/>
        <w:rPr>
          <w:rFonts w:hint="default" w:ascii="仿宋_GB2312" w:eastAsia="仿宋_GB2312"/>
          <w:sz w:val="32"/>
          <w:szCs w:val="32"/>
        </w:rPr>
      </w:pPr>
      <w:r>
        <w:rPr>
          <w:rFonts w:hint="eastAsia" w:ascii="楷体_GB2312" w:eastAsia="楷体_GB2312" w:hAnsiTheme="minorHAnsi" w:cstheme="minorBidi"/>
          <w:b/>
          <w:bCs/>
          <w:kern w:val="2"/>
          <w:sz w:val="32"/>
          <w:szCs w:val="32"/>
          <w:lang w:val="en-US" w:eastAsia="zh-CN" w:bidi="ar-SA"/>
        </w:rPr>
        <w:t>2.</w:t>
      </w:r>
      <w:r>
        <w:rPr>
          <w:rFonts w:hint="default" w:ascii="楷体_GB2312" w:eastAsia="楷体_GB2312" w:hAnsiTheme="minorHAnsi" w:cstheme="minorBidi"/>
          <w:b/>
          <w:bCs/>
          <w:kern w:val="2"/>
          <w:sz w:val="32"/>
          <w:szCs w:val="32"/>
          <w:lang w:val="en-US" w:eastAsia="zh-CN" w:bidi="ar-SA"/>
        </w:rPr>
        <w:t>实施“赋能增效”行动，精准选配堪当重任领导班子。</w:t>
      </w:r>
      <w:r>
        <w:rPr>
          <w:rFonts w:hint="default" w:ascii="仿宋_GB2312" w:eastAsia="仿宋_GB2312"/>
          <w:sz w:val="32"/>
          <w:szCs w:val="32"/>
        </w:rPr>
        <w:t>一是聚焦系统调优，优化班子结构配置。紧扣新一轮区乡换届要求，围绕推动“十五五”对干部队伍建设所需，深入实施“薪火接力”行动，大力选拔使用在经济发展、安全生产等重大斗争一线表现突出的干部，切实用好“五方面人员”干部选拔政策，加大优秀年轻干部使用力度，合理使用各年龄段干部，统筹做好女干部、少数民族干部和党外干部培养选拔工作，持续推进班子结构优化，建设一支梯次合理、优势互补、接续有力的干部队伍，形成“青蓝相继·薪火相传”的生动局面。二是聚焦多维赋能，锤炼履职实战本领。突出以用为本，聚焦区域发展所需，围绕基层治理、产业发展、招商引资等重点内容，精心制定培训方案，精准选配优质师资，大力推行“领导干部上讲堂”，聚焦实践所需，谈思路、授方法、传经验，以“关键少数”带动“绝大多数”。持续深化“双向互派”“导师帮带”机制，常态化安排干部在基层一线、经济发展前沿等吃劲岗位锤炼，筑牢干部履职尽责的能力根基。三是聚焦发展所需，强化干部实绩导向。紧盯区委化工园区“三年满园”行动，聚焦工业经济、项目建设、产业发展“第一要事”，持续深化揭榜挂帅机制，引导干部主动领题、聚力攻坚，围绕重点任务提建议、查问题、谋对策，推动干部在破解难题中提升实战能力，切实把学习成果转化为谋划工作的思路、推动落实的举措，为“六片区协同，产城人共兴”建设提供坚强干部支撑。</w:t>
      </w:r>
    </w:p>
    <w:p w14:paraId="6D2F4E75">
      <w:pPr>
        <w:spacing w:line="580" w:lineRule="exact"/>
        <w:ind w:firstLine="643" w:firstLineChars="200"/>
        <w:rPr>
          <w:rFonts w:hint="default" w:ascii="仿宋_GB2312" w:eastAsia="仿宋_GB2312"/>
          <w:sz w:val="32"/>
          <w:szCs w:val="32"/>
        </w:rPr>
      </w:pPr>
      <w:r>
        <w:rPr>
          <w:rFonts w:hint="eastAsia" w:ascii="楷体_GB2312" w:eastAsia="楷体_GB2312" w:hAnsiTheme="minorHAnsi" w:cstheme="minorBidi"/>
          <w:b/>
          <w:bCs/>
          <w:kern w:val="2"/>
          <w:sz w:val="32"/>
          <w:szCs w:val="32"/>
          <w:lang w:val="en-US" w:eastAsia="zh-CN" w:bidi="ar-SA"/>
        </w:rPr>
        <w:t>3.</w:t>
      </w:r>
      <w:r>
        <w:rPr>
          <w:rFonts w:hint="default" w:ascii="楷体_GB2312" w:eastAsia="楷体_GB2312" w:hAnsiTheme="minorHAnsi" w:cstheme="minorBidi"/>
          <w:b/>
          <w:bCs/>
          <w:kern w:val="2"/>
          <w:sz w:val="32"/>
          <w:szCs w:val="32"/>
          <w:lang w:val="en-US" w:eastAsia="zh-CN" w:bidi="ar-SA"/>
        </w:rPr>
        <w:t>实施“强基跃升”行动，不断提升基层组织整体效能。</w:t>
      </w:r>
      <w:r>
        <w:rPr>
          <w:rFonts w:hint="default" w:ascii="仿宋_GB2312" w:eastAsia="仿宋_GB2312"/>
          <w:sz w:val="32"/>
          <w:szCs w:val="32"/>
        </w:rPr>
        <w:t>一是分类抓好各领域党建。在农村，着眼增强村（社区）班子抓发展、抓治理能力，突出一体谋划和风险防控，全面完成村（社区）“两委”换届，扎实开展新任村（社区）干部全覆盖培训。在城市，升级打造区域化党建平台，有序推进党组织联建共建，持续推动街道社区党建、单位党建、行业党建互联互动，切实发挥党建联席会议和党组织兼职委员作用。在系统，着力政治机关和模范机关创建，持续深化党组织领导下的校（院）长负责制，不断推进国有企业完善“双向进入、交叉任职”领导体制，切实增强党组织领导作用。二是统筹党建赋能乡村振兴。做好党建工作项目化，深化“园镇共建”行动，全力推动“沿小集”集体经济品牌提档升级。持续做好“兴村强社特岗”人员引进工作，有序抓好驻村第一书记和工作队期满轮换工作，打造一支沉得下、留得住、能管用的乡村人才队伍，推动在产业发展、乡村治理中发挥更大作用。三是精准提升基层治理效能。针对超大、“三无”、老旧及有物业管理等不同类型小区，精准实施“一小区一策”，持续深化党建引领“多网合一”改革，分类提升治理精细化水平。同步升级“贡治合伙人”共建机制，拓展“沿义仓”平台资源整合与交换功能，全面提升党建引领治理实效。</w:t>
      </w:r>
    </w:p>
    <w:p w14:paraId="6E2FB71E">
      <w:pPr>
        <w:spacing w:line="580" w:lineRule="exact"/>
        <w:ind w:firstLine="643" w:firstLineChars="200"/>
        <w:rPr>
          <w:rFonts w:hint="default" w:ascii="仿宋_GB2312" w:eastAsia="仿宋_GB2312"/>
          <w:sz w:val="32"/>
          <w:szCs w:val="32"/>
        </w:rPr>
      </w:pPr>
      <w:r>
        <w:rPr>
          <w:rFonts w:hint="eastAsia" w:ascii="楷体_GB2312" w:eastAsia="楷体_GB2312" w:hAnsiTheme="minorHAnsi" w:cstheme="minorBidi"/>
          <w:b/>
          <w:bCs/>
          <w:kern w:val="2"/>
          <w:sz w:val="32"/>
          <w:szCs w:val="32"/>
          <w:lang w:val="en-US" w:eastAsia="zh-CN" w:bidi="ar-SA"/>
        </w:rPr>
        <w:t>4.</w:t>
      </w:r>
      <w:r>
        <w:rPr>
          <w:rFonts w:hint="default" w:ascii="楷体_GB2312" w:eastAsia="楷体_GB2312" w:hAnsiTheme="minorHAnsi" w:cstheme="minorBidi"/>
          <w:b/>
          <w:bCs/>
          <w:kern w:val="2"/>
          <w:sz w:val="32"/>
          <w:szCs w:val="32"/>
          <w:lang w:val="en-US" w:eastAsia="zh-CN" w:bidi="ar-SA"/>
        </w:rPr>
        <w:t>实施“聚智兴业”行动，全面汇聚向新人才发展动能。</w:t>
      </w:r>
      <w:r>
        <w:rPr>
          <w:rFonts w:hint="default" w:ascii="仿宋_GB2312" w:eastAsia="仿宋_GB2312"/>
          <w:sz w:val="32"/>
          <w:szCs w:val="32"/>
        </w:rPr>
        <w:t>一是抓好人才规划编制。坚持“一盘棋”思想，围绕全市人才工作“创新驱动·产才共兴”三年行动和“中国绿色氟都”建设需要，推进行业领域主管部门“一把手”领办重点任务，高标准编制人才发展“十五五”规划。二是抓好人才精准引育。聚焦化工园区“三年满园”行动，深化“双招双引”协同机制，探索完善“赛会聚才”“以才引才”政策支撑，依托技能实训、教学实践等平台，开展“靶向引才”“人才订单”培养，更加精准、灵活引进培养产业所需人才。三是抓好人才生态营造。持续深化“沿路有你”人才品牌，推动“天府英才C卡”服务升级，建设一批人才公寓、人才主题公园，高质量开展党情国情研修、人才联谊等暖心活动，构建宜居宜业、栓心留人的人才生态。</w:t>
      </w:r>
    </w:p>
    <w:p w14:paraId="5D6EEFA0">
      <w:pPr>
        <w:spacing w:line="580" w:lineRule="exact"/>
        <w:ind w:firstLine="643" w:firstLineChars="200"/>
        <w:rPr>
          <w:rFonts w:hint="default" w:ascii="仿宋_GB2312" w:eastAsia="仿宋_GB2312"/>
          <w:sz w:val="32"/>
          <w:szCs w:val="32"/>
          <w:lang w:val="en-US" w:eastAsia="zh-CN"/>
        </w:rPr>
      </w:pPr>
      <w:r>
        <w:rPr>
          <w:rFonts w:hint="eastAsia" w:ascii="楷体_GB2312" w:eastAsia="楷体_GB2312" w:hAnsiTheme="minorHAnsi" w:cstheme="minorBidi"/>
          <w:b/>
          <w:bCs/>
          <w:kern w:val="2"/>
          <w:sz w:val="32"/>
          <w:szCs w:val="32"/>
          <w:lang w:val="en-US" w:eastAsia="zh-CN" w:bidi="ar-SA"/>
        </w:rPr>
        <w:t>5.</w:t>
      </w:r>
      <w:r>
        <w:rPr>
          <w:rFonts w:hint="default" w:ascii="楷体_GB2312" w:eastAsia="楷体_GB2312" w:hAnsiTheme="minorHAnsi" w:cstheme="minorBidi"/>
          <w:b/>
          <w:bCs/>
          <w:kern w:val="2"/>
          <w:sz w:val="32"/>
          <w:szCs w:val="32"/>
          <w:lang w:val="en-US" w:eastAsia="zh-CN" w:bidi="ar-SA"/>
        </w:rPr>
        <w:t>实施“提能砺为”行动，持续锤炼业务精湛过硬队伍。</w:t>
      </w:r>
      <w:r>
        <w:rPr>
          <w:rFonts w:hint="default" w:ascii="仿宋_GB2312" w:eastAsia="仿宋_GB2312"/>
          <w:sz w:val="32"/>
          <w:szCs w:val="32"/>
        </w:rPr>
        <w:t>一是政治忠诚上再淬炼。始终把旗帜鲜明讲政治摆在首位，坚持用党的创新理论凝心铸魂，教育引导部机关全体干部深刻领悟“两个确立”的决定性意义，坚决做到“两个维护”。严守党的政治纪律和政治规矩，不断提高政治判断力、政治领悟力、政治执行力，确保组织工作的每一项部署都体现政治要求、彰显政治属性。二是融合发展上再突破。推动组织工作与中心任务深度融合、同频共振。聚焦高质量发展首要任务，优化干部选育管用机制，建强敢为善为的骨干队伍；围绕增强“两个功能”，推动基层党建全域提升、全面过硬；紧扣创新驱动引才聚智，提升人才服务发展效能。强化系统思维，加强部门协同，使组织优势更好转化为发展胜势。三是严管厚爱上再加力。坚持从严管理、抓在日常，严格执行各项纪律规定，筑牢廉洁防线。大力弘扬“安专迷”精神和务实作风，严格落实整治形式主义为基层减负各项举措。健全关心关爱机制，落实谈心谈话、健康关爱等措施，激励干部担当作为、锐意进取，营造风清气正、团结奋进的良好生态，展现组工干部队伍新风貌。</w:t>
      </w:r>
    </w:p>
    <w:p w14:paraId="71AE9262">
      <w:pPr>
        <w:spacing w:line="580" w:lineRule="exact"/>
        <w:ind w:firstLine="640" w:firstLineChars="200"/>
        <w:outlineLvl w:val="0"/>
        <w:rPr>
          <w:rFonts w:hint="eastAsia" w:ascii="黑体" w:eastAsia="黑体"/>
          <w:sz w:val="32"/>
          <w:szCs w:val="32"/>
        </w:rPr>
      </w:pPr>
      <w:bookmarkStart w:id="3" w:name="_Toc12181"/>
      <w:r>
        <w:rPr>
          <w:rFonts w:hint="eastAsia" w:ascii="黑体" w:eastAsia="黑体"/>
          <w:sz w:val="32"/>
          <w:szCs w:val="32"/>
        </w:rPr>
        <w:t>二、</w:t>
      </w:r>
      <w:r>
        <w:rPr>
          <w:rFonts w:hint="eastAsia" w:ascii="黑体" w:eastAsia="黑体"/>
          <w:sz w:val="32"/>
          <w:szCs w:val="32"/>
          <w:lang w:eastAsia="zh-CN"/>
        </w:rPr>
        <w:t>单位</w:t>
      </w:r>
      <w:r>
        <w:rPr>
          <w:rFonts w:hint="eastAsia" w:ascii="黑体" w:eastAsia="黑体"/>
          <w:sz w:val="32"/>
          <w:szCs w:val="32"/>
        </w:rPr>
        <w:t>概况</w:t>
      </w:r>
      <w:bookmarkEnd w:id="3"/>
    </w:p>
    <w:p w14:paraId="193FD25B">
      <w:pPr>
        <w:pStyle w:val="5"/>
        <w:adjustRightInd w:val="0"/>
        <w:snapToGrid w:val="0"/>
        <w:spacing w:line="580" w:lineRule="exact"/>
        <w:ind w:firstLine="672" w:firstLineChars="210"/>
        <w:rPr>
          <w:rFonts w:hint="eastAsia"/>
          <w:sz w:val="32"/>
          <w:szCs w:val="32"/>
        </w:rPr>
      </w:pPr>
      <w:r>
        <w:rPr>
          <w:rFonts w:hint="eastAsia"/>
          <w:sz w:val="32"/>
          <w:szCs w:val="32"/>
          <w:lang w:eastAsia="zh-CN"/>
        </w:rPr>
        <w:t>中国共产党自贡市沿滩区委员会组织部</w:t>
      </w:r>
      <w:r>
        <w:rPr>
          <w:rFonts w:hint="eastAsia" w:ascii="仿宋_GB2312" w:hAnsi="仿宋_GB2312" w:eastAsia="仿宋_GB2312" w:cs="仿宋_GB2312"/>
          <w:sz w:val="32"/>
          <w:szCs w:val="32"/>
          <w:lang w:val="en-US" w:eastAsia="zh-CN"/>
        </w:rPr>
        <w:t>属于</w:t>
      </w:r>
      <w:r>
        <w:rPr>
          <w:rFonts w:hint="eastAsia"/>
          <w:sz w:val="32"/>
          <w:szCs w:val="32"/>
          <w:lang w:eastAsia="zh-CN"/>
        </w:rPr>
        <w:t>中国共产党自贡市沿滩区委员会组织部</w:t>
      </w:r>
      <w:r>
        <w:rPr>
          <w:rFonts w:hint="eastAsia" w:ascii="仿宋_GB2312" w:hAnsi="仿宋_GB2312" w:eastAsia="仿宋_GB2312" w:cs="仿宋_GB2312"/>
          <w:sz w:val="32"/>
          <w:szCs w:val="32"/>
          <w:lang w:val="en-US" w:eastAsia="zh-CN"/>
        </w:rPr>
        <w:t>部门二级预算单位。</w:t>
      </w:r>
      <w:r>
        <w:rPr>
          <w:rFonts w:hint="eastAsia"/>
          <w:sz w:val="32"/>
          <w:szCs w:val="32"/>
          <w:lang w:val="en-US" w:eastAsia="zh-CN"/>
        </w:rPr>
        <w:t>其内设机构为：办公室、组织一室、组织二室、干部一室、干部二室、干部监督室、公务员股、人才股</w:t>
      </w:r>
      <w:r>
        <w:rPr>
          <w:rFonts w:hint="eastAsia" w:ascii="仿宋_GB2312" w:hAnsi="仿宋_GB2312" w:eastAsia="仿宋_GB2312" w:cs="仿宋_GB2312"/>
          <w:sz w:val="32"/>
          <w:szCs w:val="32"/>
          <w:lang w:val="en-US" w:eastAsia="zh-CN"/>
        </w:rPr>
        <w:t>。</w:t>
      </w:r>
    </w:p>
    <w:p w14:paraId="0905E8C9">
      <w:pPr>
        <w:spacing w:line="580" w:lineRule="exact"/>
        <w:ind w:firstLine="640" w:firstLineChars="200"/>
        <w:outlineLvl w:val="0"/>
        <w:rPr>
          <w:rFonts w:hint="eastAsia" w:ascii="黑体" w:eastAsia="黑体"/>
          <w:sz w:val="32"/>
          <w:szCs w:val="32"/>
        </w:rPr>
      </w:pPr>
      <w:bookmarkStart w:id="4" w:name="_Toc4922"/>
      <w:r>
        <w:rPr>
          <w:rFonts w:hint="eastAsia" w:ascii="黑体" w:eastAsia="黑体"/>
          <w:sz w:val="32"/>
          <w:szCs w:val="32"/>
        </w:rPr>
        <w:t>三、收支预算情况说明</w:t>
      </w:r>
      <w:bookmarkEnd w:id="4"/>
    </w:p>
    <w:p w14:paraId="7128EF94">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按照综合预算的原则，</w:t>
      </w:r>
      <w:r>
        <w:rPr>
          <w:rFonts w:hint="eastAsia" w:ascii="仿宋_GB2312" w:eastAsia="仿宋_GB2312"/>
          <w:sz w:val="32"/>
          <w:szCs w:val="32"/>
          <w:lang w:eastAsia="zh-CN"/>
        </w:rPr>
        <w:t> 中国共产党自贡市沿滩区委员会组织部单位</w:t>
      </w:r>
      <w:r>
        <w:rPr>
          <w:rFonts w:hint="eastAsia" w:ascii="仿宋_GB2312" w:eastAsia="仿宋_GB2312"/>
          <w:sz w:val="32"/>
          <w:szCs w:val="32"/>
        </w:rPr>
        <w:t>所有收入和支出均纳入</w:t>
      </w:r>
      <w:r>
        <w:rPr>
          <w:rFonts w:hint="eastAsia" w:ascii="仿宋_GB2312" w:eastAsia="仿宋_GB2312"/>
          <w:sz w:val="32"/>
          <w:szCs w:val="32"/>
          <w:lang w:eastAsia="zh-CN"/>
        </w:rPr>
        <w:t>单位</w:t>
      </w:r>
      <w:r>
        <w:rPr>
          <w:rFonts w:hint="eastAsia" w:ascii="仿宋_GB2312" w:eastAsia="仿宋_GB2312"/>
          <w:sz w:val="32"/>
          <w:szCs w:val="32"/>
        </w:rPr>
        <w:t>预算管理。收入包括：一般公共预算拨款收入、上年结转、政府性基金收入；支出包括：一般公共服务支出、教育支出、社会保障和就业支出、医疗卫生与计划生育支出、住房保障支出。</w:t>
      </w:r>
      <w:r>
        <w:rPr>
          <w:rFonts w:hint="eastAsia" w:ascii="仿宋_GB2312" w:eastAsia="仿宋_GB2312"/>
          <w:sz w:val="32"/>
          <w:szCs w:val="32"/>
          <w:lang w:eastAsia="zh-CN"/>
        </w:rPr>
        <w:t> 中国共产党自贡市沿滩区委员会组织部单位2026</w:t>
      </w:r>
      <w:r>
        <w:rPr>
          <w:rFonts w:hint="eastAsia" w:ascii="仿宋_GB2312" w:eastAsia="仿宋_GB2312"/>
          <w:sz w:val="32"/>
          <w:szCs w:val="32"/>
        </w:rPr>
        <w:t>年收支总预算</w:t>
      </w:r>
      <w:r>
        <w:rPr>
          <w:rFonts w:hint="eastAsia" w:ascii="仿宋_GB2312" w:eastAsia="仿宋_GB2312"/>
          <w:sz w:val="32"/>
          <w:szCs w:val="32"/>
          <w:lang w:val="en-US" w:eastAsia="zh-CN"/>
        </w:rPr>
        <w:t>2026.73</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年收支预算总数增加</w:t>
      </w:r>
      <w:r>
        <w:rPr>
          <w:rFonts w:hint="eastAsia" w:ascii="仿宋_GB2312" w:eastAsia="仿宋_GB2312"/>
          <w:sz w:val="32"/>
          <w:szCs w:val="32"/>
          <w:lang w:val="en-US" w:eastAsia="zh-CN"/>
        </w:rPr>
        <w:t>444.47</w:t>
      </w:r>
      <w:r>
        <w:rPr>
          <w:rFonts w:hint="eastAsia" w:ascii="仿宋_GB2312" w:eastAsia="仿宋_GB2312"/>
          <w:sz w:val="32"/>
          <w:szCs w:val="32"/>
        </w:rPr>
        <w:t>万元，</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引进高端人才增加，增人增资</w:t>
      </w:r>
      <w:r>
        <w:rPr>
          <w:rFonts w:hint="eastAsia" w:ascii="仿宋_GB2312" w:eastAsia="仿宋_GB2312"/>
          <w:sz w:val="32"/>
          <w:szCs w:val="32"/>
          <w:highlight w:val="none"/>
        </w:rPr>
        <w:t>。</w:t>
      </w:r>
    </w:p>
    <w:p w14:paraId="0D718662">
      <w:pPr>
        <w:pStyle w:val="5"/>
        <w:adjustRightInd w:val="0"/>
        <w:snapToGrid w:val="0"/>
        <w:spacing w:line="580" w:lineRule="exact"/>
        <w:ind w:left="561" w:leftChars="267" w:firstLine="32" w:firstLineChars="10"/>
        <w:outlineLvl w:val="1"/>
        <w:rPr>
          <w:rFonts w:hint="eastAsia"/>
          <w:b/>
          <w:bCs/>
          <w:sz w:val="32"/>
          <w:szCs w:val="32"/>
        </w:rPr>
      </w:pPr>
      <w:bookmarkStart w:id="5" w:name="_Toc23048"/>
      <w:r>
        <w:rPr>
          <w:rFonts w:hint="eastAsia"/>
          <w:b/>
          <w:bCs/>
          <w:sz w:val="32"/>
          <w:szCs w:val="32"/>
        </w:rPr>
        <w:t>（一）收入预算情况</w:t>
      </w:r>
      <w:bookmarkEnd w:id="5"/>
    </w:p>
    <w:p w14:paraId="32E9BD74">
      <w:pPr>
        <w:spacing w:line="580" w:lineRule="exact"/>
        <w:ind w:firstLine="645"/>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中国共产党自贡市沿滩区委员会组织部单位2026</w:t>
      </w:r>
      <w:r>
        <w:rPr>
          <w:rFonts w:hint="eastAsia" w:ascii="仿宋_GB2312" w:eastAsia="仿宋_GB2312"/>
          <w:sz w:val="32"/>
          <w:szCs w:val="32"/>
        </w:rPr>
        <w:t>年收入预算</w:t>
      </w:r>
      <w:r>
        <w:rPr>
          <w:rFonts w:hint="eastAsia" w:ascii="仿宋_GB2312" w:eastAsia="仿宋_GB2312"/>
          <w:sz w:val="32"/>
          <w:szCs w:val="32"/>
          <w:lang w:val="en-US" w:eastAsia="zh-CN"/>
        </w:rPr>
        <w:t>2026.73</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2026.73</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14:paraId="2BF0DCEF">
      <w:pPr>
        <w:pStyle w:val="2"/>
        <w:rPr>
          <w:rFonts w:hint="eastAsia"/>
        </w:rPr>
      </w:pPr>
      <w:r>
        <w:drawing>
          <wp:inline distT="0" distB="0" distL="114300" distR="114300">
            <wp:extent cx="4284345" cy="3042920"/>
            <wp:effectExtent l="4445" t="4445" r="8890" b="1587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29DB8DC">
      <w:pPr>
        <w:spacing w:line="600" w:lineRule="exact"/>
        <w:ind w:firstLine="2249" w:firstLineChars="700"/>
        <w:rPr>
          <w:rFonts w:hint="eastAsia" w:ascii="仿宋_GB2312" w:eastAsia="仿宋_GB2312"/>
          <w:b/>
          <w:sz w:val="32"/>
          <w:szCs w:val="32"/>
        </w:rPr>
      </w:pPr>
      <w:r>
        <w:rPr>
          <w:rFonts w:hint="eastAsia" w:ascii="仿宋_GB2312" w:eastAsia="仿宋_GB2312"/>
          <w:b/>
          <w:sz w:val="32"/>
          <w:szCs w:val="32"/>
        </w:rPr>
        <w:t>（图1：收入预算结构图）</w:t>
      </w:r>
    </w:p>
    <w:p w14:paraId="31382DE3">
      <w:pPr>
        <w:pStyle w:val="5"/>
        <w:adjustRightInd w:val="0"/>
        <w:snapToGrid w:val="0"/>
        <w:spacing w:line="580" w:lineRule="exact"/>
        <w:ind w:left="561" w:leftChars="267" w:firstLine="32" w:firstLineChars="10"/>
        <w:outlineLvl w:val="1"/>
        <w:rPr>
          <w:rFonts w:hint="eastAsia"/>
          <w:b/>
          <w:bCs/>
          <w:sz w:val="32"/>
          <w:szCs w:val="32"/>
        </w:rPr>
      </w:pPr>
      <w:bookmarkStart w:id="6" w:name="_Toc12316"/>
      <w:r>
        <w:rPr>
          <w:rFonts w:hint="eastAsia"/>
          <w:b/>
          <w:bCs/>
          <w:sz w:val="32"/>
          <w:szCs w:val="32"/>
        </w:rPr>
        <w:t>（二）支出预算情况</w:t>
      </w:r>
      <w:bookmarkEnd w:id="6"/>
    </w:p>
    <w:p w14:paraId="0C85DE6E">
      <w:pPr>
        <w:spacing w:line="580" w:lineRule="exact"/>
        <w:ind w:firstLine="645"/>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中国共产党自贡市沿滩区委员会组织部单位2026</w:t>
      </w:r>
      <w:r>
        <w:rPr>
          <w:rFonts w:hint="eastAsia" w:ascii="仿宋_GB2312" w:eastAsia="仿宋_GB2312"/>
          <w:sz w:val="32"/>
          <w:szCs w:val="32"/>
        </w:rPr>
        <w:t>年支出预算</w:t>
      </w:r>
      <w:r>
        <w:rPr>
          <w:rFonts w:hint="eastAsia" w:ascii="仿宋_GB2312" w:eastAsia="仿宋_GB2312"/>
          <w:sz w:val="32"/>
          <w:szCs w:val="32"/>
          <w:lang w:val="en-US" w:eastAsia="zh-CN"/>
        </w:rPr>
        <w:t>2026.73</w:t>
      </w:r>
      <w:r>
        <w:rPr>
          <w:rFonts w:hint="eastAsia" w:ascii="仿宋_GB2312" w:eastAsia="仿宋_GB2312"/>
          <w:sz w:val="32"/>
          <w:szCs w:val="32"/>
        </w:rPr>
        <w:t>万元，其中：基本支出</w:t>
      </w:r>
      <w:r>
        <w:rPr>
          <w:rFonts w:hint="eastAsia" w:ascii="仿宋_GB2312" w:eastAsia="仿宋_GB2312"/>
          <w:sz w:val="32"/>
          <w:szCs w:val="32"/>
          <w:lang w:val="en-US" w:eastAsia="zh-CN"/>
        </w:rPr>
        <w:t>1000.73</w:t>
      </w:r>
      <w:r>
        <w:rPr>
          <w:rFonts w:hint="eastAsia" w:ascii="仿宋_GB2312" w:eastAsia="仿宋_GB2312"/>
          <w:sz w:val="32"/>
          <w:szCs w:val="32"/>
        </w:rPr>
        <w:t>万元，占</w:t>
      </w:r>
      <w:r>
        <w:rPr>
          <w:rFonts w:hint="eastAsia" w:ascii="仿宋_GB2312" w:eastAsia="仿宋_GB2312"/>
          <w:sz w:val="32"/>
          <w:szCs w:val="32"/>
          <w:lang w:val="en-US" w:eastAsia="zh-CN"/>
        </w:rPr>
        <w:t>49.38</w:t>
      </w:r>
      <w:r>
        <w:rPr>
          <w:rFonts w:hint="eastAsia" w:ascii="仿宋_GB2312" w:eastAsia="仿宋_GB2312"/>
          <w:sz w:val="32"/>
          <w:szCs w:val="32"/>
        </w:rPr>
        <w:t>%；项目支出</w:t>
      </w:r>
      <w:r>
        <w:rPr>
          <w:rFonts w:hint="eastAsia" w:ascii="仿宋_GB2312" w:eastAsia="仿宋_GB2312"/>
          <w:sz w:val="32"/>
          <w:szCs w:val="32"/>
          <w:lang w:val="en-US" w:eastAsia="zh-CN"/>
        </w:rPr>
        <w:t>1026.00</w:t>
      </w:r>
      <w:r>
        <w:rPr>
          <w:rFonts w:hint="eastAsia" w:ascii="仿宋_GB2312" w:eastAsia="仿宋_GB2312"/>
          <w:sz w:val="32"/>
          <w:szCs w:val="32"/>
        </w:rPr>
        <w:t>万元，占</w:t>
      </w:r>
      <w:r>
        <w:rPr>
          <w:rFonts w:hint="eastAsia" w:ascii="仿宋_GB2312" w:eastAsia="仿宋_GB2312"/>
          <w:sz w:val="32"/>
          <w:szCs w:val="32"/>
          <w:lang w:val="en-US" w:eastAsia="zh-CN"/>
        </w:rPr>
        <w:t>50.62</w:t>
      </w:r>
      <w:r>
        <w:rPr>
          <w:rFonts w:hint="eastAsia" w:ascii="仿宋_GB2312" w:eastAsia="仿宋_GB2312"/>
          <w:sz w:val="32"/>
          <w:szCs w:val="32"/>
        </w:rPr>
        <w:t>%。</w:t>
      </w:r>
    </w:p>
    <w:p w14:paraId="6180E2D2">
      <w:pPr>
        <w:pStyle w:val="2"/>
        <w:rPr>
          <w:rFonts w:hint="eastAsia"/>
        </w:rPr>
      </w:pPr>
      <w:r>
        <w:drawing>
          <wp:inline distT="0" distB="0" distL="114300" distR="114300">
            <wp:extent cx="4312285" cy="2587625"/>
            <wp:effectExtent l="4445" t="5080" r="11430" b="1333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07931C">
      <w:pPr>
        <w:spacing w:line="600" w:lineRule="exact"/>
        <w:ind w:firstLine="1928" w:firstLineChars="600"/>
        <w:rPr>
          <w:rFonts w:hint="eastAsia" w:ascii="仿宋_GB2312" w:eastAsia="仿宋_GB2312"/>
          <w:b/>
          <w:sz w:val="32"/>
          <w:szCs w:val="32"/>
        </w:rPr>
      </w:pPr>
      <w:r>
        <w:rPr>
          <w:rFonts w:hint="eastAsia" w:ascii="仿宋_GB2312" w:eastAsia="仿宋_GB2312"/>
          <w:b/>
          <w:sz w:val="32"/>
          <w:szCs w:val="32"/>
        </w:rPr>
        <w:t>（图2：支出预算结构图）</w:t>
      </w:r>
    </w:p>
    <w:p w14:paraId="537B6730">
      <w:pPr>
        <w:pStyle w:val="2"/>
        <w:rPr>
          <w:rFonts w:hint="eastAsia"/>
        </w:rPr>
      </w:pPr>
    </w:p>
    <w:p w14:paraId="71C9D1CA">
      <w:pPr>
        <w:spacing w:line="580" w:lineRule="exact"/>
        <w:ind w:firstLine="640" w:firstLineChars="200"/>
        <w:outlineLvl w:val="0"/>
        <w:rPr>
          <w:rFonts w:hint="eastAsia" w:ascii="黑体" w:eastAsia="黑体"/>
          <w:sz w:val="32"/>
          <w:szCs w:val="32"/>
        </w:rPr>
      </w:pPr>
      <w:bookmarkStart w:id="7" w:name="_Toc28509"/>
      <w:r>
        <w:rPr>
          <w:rFonts w:hint="eastAsia" w:ascii="黑体" w:eastAsia="黑体"/>
          <w:sz w:val="32"/>
          <w:szCs w:val="32"/>
        </w:rPr>
        <w:t>四、财政拨款收支预算情况说明</w:t>
      </w:r>
      <w:bookmarkEnd w:id="7"/>
    </w:p>
    <w:p w14:paraId="1C64ED68">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年财政拨款收支总预算</w:t>
      </w:r>
      <w:r>
        <w:rPr>
          <w:rFonts w:hint="eastAsia" w:ascii="仿宋_GB2312" w:eastAsia="仿宋_GB2312"/>
          <w:sz w:val="32"/>
          <w:szCs w:val="32"/>
          <w:lang w:val="en-US" w:eastAsia="zh-CN"/>
        </w:rPr>
        <w:t>2026.73</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年收支预算总数增加</w:t>
      </w:r>
      <w:r>
        <w:rPr>
          <w:rFonts w:hint="eastAsia" w:ascii="仿宋_GB2312" w:eastAsia="仿宋_GB2312"/>
          <w:sz w:val="32"/>
          <w:szCs w:val="32"/>
          <w:lang w:val="en-US" w:eastAsia="zh-CN"/>
        </w:rPr>
        <w:t>444.47</w:t>
      </w:r>
      <w:r>
        <w:rPr>
          <w:rFonts w:hint="eastAsia" w:ascii="仿宋_GB2312" w:eastAsia="仿宋_GB2312"/>
          <w:sz w:val="32"/>
          <w:szCs w:val="32"/>
        </w:rPr>
        <w:t>万元，</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引进高端人才增加，增人增资</w:t>
      </w:r>
      <w:r>
        <w:rPr>
          <w:rFonts w:hint="eastAsia" w:ascii="仿宋_GB2312" w:eastAsia="仿宋_GB2312"/>
          <w:sz w:val="32"/>
          <w:szCs w:val="32"/>
          <w:highlight w:val="none"/>
        </w:rPr>
        <w:t>。</w:t>
      </w:r>
    </w:p>
    <w:p w14:paraId="1D0A7FB3">
      <w:pPr>
        <w:bidi w:val="0"/>
        <w:rPr>
          <w:rFonts w:hint="eastAsia"/>
        </w:rPr>
      </w:pPr>
      <w:r>
        <w:rPr>
          <w:rFonts w:hint="eastAsia"/>
          <w:lang w:val="en-US" w:eastAsia="zh-CN"/>
        </w:rPr>
        <w:t xml:space="preserve">         </w:t>
      </w:r>
      <w:r>
        <w:drawing>
          <wp:inline distT="0" distB="0" distL="114300" distR="114300">
            <wp:extent cx="4091940" cy="2693670"/>
            <wp:effectExtent l="4445" t="5080" r="18415" b="1397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EF6424">
      <w:pPr>
        <w:spacing w:line="600" w:lineRule="exact"/>
        <w:ind w:firstLine="1606" w:firstLineChars="500"/>
        <w:rPr>
          <w:rFonts w:hint="eastAsia" w:ascii="仿宋_GB2312" w:eastAsia="仿宋_GB2312"/>
          <w:b/>
          <w:sz w:val="32"/>
          <w:szCs w:val="32"/>
        </w:rPr>
      </w:pPr>
      <w:r>
        <w:rPr>
          <w:rFonts w:hint="eastAsia" w:ascii="仿宋_GB2312" w:eastAsia="仿宋_GB2312"/>
          <w:b/>
          <w:sz w:val="32"/>
          <w:szCs w:val="32"/>
        </w:rPr>
        <w:t>（图3：财政拨款收支总预算变动情况）</w:t>
      </w:r>
    </w:p>
    <w:p w14:paraId="209FB8F4">
      <w:pPr>
        <w:spacing w:line="580"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收入包括：本年一般公共预算拨款收入</w:t>
      </w:r>
      <w:r>
        <w:rPr>
          <w:rFonts w:hint="eastAsia" w:ascii="仿宋_GB2312" w:eastAsia="仿宋_GB2312"/>
          <w:sz w:val="32"/>
          <w:szCs w:val="32"/>
          <w:lang w:val="en-US" w:eastAsia="zh-CN"/>
        </w:rPr>
        <w:t>2026.73</w:t>
      </w:r>
      <w:r>
        <w:rPr>
          <w:rFonts w:hint="eastAsia" w:ascii="仿宋_GB2312" w:eastAsia="仿宋_GB2312"/>
          <w:color w:val="333333"/>
          <w:sz w:val="32"/>
          <w:szCs w:val="32"/>
        </w:rPr>
        <w:t>万元，本年</w:t>
      </w:r>
      <w:r>
        <w:rPr>
          <w:rFonts w:hint="eastAsia" w:ascii="仿宋_GB2312" w:eastAsia="仿宋_GB2312"/>
          <w:sz w:val="32"/>
          <w:szCs w:val="32"/>
        </w:rPr>
        <w:t>政府性基金收入</w:t>
      </w:r>
      <w:r>
        <w:rPr>
          <w:rFonts w:hint="eastAsia" w:ascii="仿宋_GB2312" w:eastAsia="仿宋_GB2312"/>
          <w:sz w:val="32"/>
          <w:szCs w:val="32"/>
          <w:lang w:val="en-US" w:eastAsia="zh-CN"/>
        </w:rPr>
        <w:t>0.00</w:t>
      </w:r>
      <w:r>
        <w:rPr>
          <w:rFonts w:hint="eastAsia" w:ascii="仿宋_GB2312" w:eastAsia="仿宋_GB2312"/>
          <w:color w:val="333333"/>
          <w:sz w:val="32"/>
          <w:szCs w:val="32"/>
        </w:rPr>
        <w:t>万元，上年结转一般公共预算拨款收入</w:t>
      </w:r>
      <w:r>
        <w:rPr>
          <w:rFonts w:hint="eastAsia" w:ascii="仿宋_GB2312" w:eastAsia="仿宋_GB2312"/>
          <w:sz w:val="32"/>
          <w:szCs w:val="32"/>
          <w:lang w:val="en-US" w:eastAsia="zh-CN"/>
        </w:rPr>
        <w:t>0.00</w:t>
      </w:r>
      <w:r>
        <w:rPr>
          <w:rFonts w:hint="eastAsia" w:ascii="仿宋_GB2312" w:eastAsia="仿宋_GB2312"/>
          <w:color w:val="333333"/>
          <w:sz w:val="32"/>
          <w:szCs w:val="32"/>
        </w:rPr>
        <w:t>万元；支出包括：一般公共服务支出</w:t>
      </w:r>
      <w:r>
        <w:rPr>
          <w:rFonts w:hint="eastAsia" w:ascii="仿宋_GB2312" w:eastAsia="仿宋_GB2312"/>
          <w:sz w:val="32"/>
          <w:szCs w:val="32"/>
          <w:lang w:val="en-US" w:eastAsia="zh-CN"/>
        </w:rPr>
        <w:t>1799.47</w:t>
      </w:r>
      <w:r>
        <w:rPr>
          <w:rFonts w:hint="eastAsia" w:ascii="仿宋_GB2312" w:eastAsia="仿宋_GB2312"/>
          <w:color w:val="333333"/>
          <w:sz w:val="32"/>
          <w:szCs w:val="32"/>
        </w:rPr>
        <w:t>万元、社会保障和就业支出</w:t>
      </w:r>
      <w:r>
        <w:rPr>
          <w:rFonts w:hint="eastAsia" w:ascii="仿宋_GB2312" w:eastAsia="仿宋_GB2312"/>
          <w:sz w:val="32"/>
          <w:szCs w:val="32"/>
          <w:lang w:val="en-US" w:eastAsia="zh-CN"/>
        </w:rPr>
        <w:t>98.43</w:t>
      </w:r>
      <w:r>
        <w:rPr>
          <w:rFonts w:hint="eastAsia" w:ascii="仿宋_GB2312" w:eastAsia="仿宋_GB2312"/>
          <w:color w:val="333333"/>
          <w:sz w:val="32"/>
          <w:szCs w:val="32"/>
        </w:rPr>
        <w:t>万元、卫生健康支出</w:t>
      </w:r>
      <w:r>
        <w:rPr>
          <w:rFonts w:hint="eastAsia" w:ascii="仿宋_GB2312" w:eastAsia="仿宋_GB2312"/>
          <w:sz w:val="32"/>
          <w:szCs w:val="32"/>
          <w:lang w:val="en-US" w:eastAsia="zh-CN"/>
        </w:rPr>
        <w:t>54.43</w:t>
      </w:r>
      <w:r>
        <w:rPr>
          <w:rFonts w:hint="eastAsia" w:ascii="仿宋_GB2312" w:eastAsia="仿宋_GB2312"/>
          <w:color w:val="333333"/>
          <w:sz w:val="32"/>
          <w:szCs w:val="32"/>
        </w:rPr>
        <w:t>万元、住房保障支出</w:t>
      </w:r>
      <w:r>
        <w:rPr>
          <w:rFonts w:hint="eastAsia" w:ascii="仿宋_GB2312" w:eastAsia="仿宋_GB2312"/>
          <w:sz w:val="32"/>
          <w:szCs w:val="32"/>
          <w:lang w:val="en-US" w:eastAsia="zh-CN"/>
        </w:rPr>
        <w:t>74.40</w:t>
      </w:r>
      <w:r>
        <w:rPr>
          <w:rFonts w:hint="eastAsia" w:ascii="仿宋_GB2312" w:eastAsia="仿宋_GB2312"/>
          <w:color w:val="333333"/>
          <w:sz w:val="32"/>
          <w:szCs w:val="32"/>
        </w:rPr>
        <w:t>万元。</w:t>
      </w:r>
    </w:p>
    <w:p w14:paraId="690E0E80">
      <w:pPr>
        <w:spacing w:line="580" w:lineRule="exact"/>
        <w:ind w:firstLine="640" w:firstLineChars="200"/>
        <w:outlineLvl w:val="0"/>
        <w:rPr>
          <w:rFonts w:hint="eastAsia" w:ascii="黑体" w:eastAsia="黑体"/>
          <w:sz w:val="32"/>
          <w:szCs w:val="32"/>
        </w:rPr>
      </w:pPr>
      <w:bookmarkStart w:id="8" w:name="_Toc27218"/>
      <w:r>
        <w:rPr>
          <w:rFonts w:hint="eastAsia" w:ascii="黑体" w:eastAsia="黑体"/>
          <w:sz w:val="32"/>
          <w:szCs w:val="32"/>
        </w:rPr>
        <w:t>五、一般公共预算当年拨款情况说明</w:t>
      </w:r>
      <w:bookmarkEnd w:id="8"/>
      <w:r>
        <w:rPr>
          <w:rFonts w:hint="eastAsia" w:ascii="黑体" w:eastAsia="黑体"/>
          <w:sz w:val="32"/>
          <w:szCs w:val="32"/>
        </w:rPr>
        <w:t>　　</w:t>
      </w:r>
    </w:p>
    <w:p w14:paraId="7E008D25">
      <w:pPr>
        <w:pStyle w:val="5"/>
        <w:adjustRightInd w:val="0"/>
        <w:snapToGrid w:val="0"/>
        <w:spacing w:line="580" w:lineRule="exact"/>
        <w:ind w:left="561" w:leftChars="267" w:firstLine="32" w:firstLineChars="10"/>
        <w:outlineLvl w:val="1"/>
        <w:rPr>
          <w:rFonts w:hint="eastAsia"/>
          <w:b/>
          <w:bCs/>
          <w:sz w:val="32"/>
          <w:szCs w:val="32"/>
        </w:rPr>
      </w:pPr>
      <w:bookmarkStart w:id="9" w:name="_Toc6076"/>
      <w:r>
        <w:rPr>
          <w:rFonts w:hint="eastAsia"/>
          <w:b/>
          <w:bCs/>
          <w:sz w:val="32"/>
          <w:szCs w:val="32"/>
        </w:rPr>
        <w:t>（一）一般公共预算当年拨款规模变化情况</w:t>
      </w:r>
      <w:bookmarkEnd w:id="9"/>
    </w:p>
    <w:p w14:paraId="0EC7F5D4">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年一般公共预算当年拨款</w:t>
      </w:r>
      <w:r>
        <w:rPr>
          <w:rFonts w:hint="eastAsia" w:ascii="仿宋_GB2312" w:eastAsia="仿宋_GB2312"/>
          <w:sz w:val="32"/>
          <w:szCs w:val="32"/>
          <w:lang w:val="en-US" w:eastAsia="zh-CN"/>
        </w:rPr>
        <w:t>2026.73</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年收支预算总数增加</w:t>
      </w:r>
      <w:r>
        <w:rPr>
          <w:rFonts w:hint="eastAsia" w:ascii="仿宋_GB2312" w:eastAsia="仿宋_GB2312"/>
          <w:sz w:val="32"/>
          <w:szCs w:val="32"/>
          <w:lang w:val="en-US" w:eastAsia="zh-CN"/>
        </w:rPr>
        <w:t>444.47</w:t>
      </w:r>
      <w:r>
        <w:rPr>
          <w:rFonts w:hint="eastAsia" w:ascii="仿宋_GB2312" w:eastAsia="仿宋_GB2312"/>
          <w:sz w:val="32"/>
          <w:szCs w:val="32"/>
        </w:rPr>
        <w:t>万元，</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引进高端人才增加，增人增资</w:t>
      </w:r>
      <w:r>
        <w:rPr>
          <w:rFonts w:hint="eastAsia" w:ascii="仿宋_GB2312" w:eastAsia="仿宋_GB2312"/>
          <w:sz w:val="32"/>
          <w:szCs w:val="32"/>
          <w:highlight w:val="none"/>
        </w:rPr>
        <w:t>。</w:t>
      </w:r>
    </w:p>
    <w:p w14:paraId="5267871B">
      <w:pPr>
        <w:spacing w:line="580" w:lineRule="exact"/>
        <w:ind w:firstLine="640" w:firstLineChars="200"/>
        <w:rPr>
          <w:rFonts w:hint="eastAsia" w:ascii="仿宋_GB2312" w:eastAsia="仿宋_GB2312"/>
          <w:color w:val="333333"/>
          <w:sz w:val="32"/>
          <w:szCs w:val="32"/>
        </w:rPr>
      </w:pPr>
    </w:p>
    <w:p w14:paraId="6C28F5E3">
      <w:pPr>
        <w:bidi w:val="0"/>
        <w:rPr>
          <w:rFonts w:hint="eastAsia"/>
        </w:rPr>
      </w:pPr>
      <w:r>
        <w:rPr>
          <w:rFonts w:hint="eastAsia"/>
          <w:lang w:val="en-US" w:eastAsia="zh-CN"/>
        </w:rPr>
        <w:t xml:space="preserve">       </w:t>
      </w:r>
      <w:r>
        <w:drawing>
          <wp:inline distT="0" distB="0" distL="114300" distR="114300">
            <wp:extent cx="4160520" cy="2727960"/>
            <wp:effectExtent l="4445" t="4445" r="10795" b="1079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8627AA">
      <w:pPr>
        <w:spacing w:line="600" w:lineRule="exact"/>
        <w:ind w:firstLine="643" w:firstLineChars="200"/>
        <w:rPr>
          <w:rFonts w:hint="eastAsia" w:ascii="仿宋_GB2312" w:eastAsia="仿宋_GB2312"/>
          <w:b/>
          <w:sz w:val="32"/>
          <w:szCs w:val="32"/>
        </w:rPr>
      </w:pPr>
      <w:r>
        <w:rPr>
          <w:rFonts w:hint="eastAsia" w:ascii="仿宋_GB2312" w:eastAsia="仿宋_GB2312"/>
          <w:b/>
          <w:sz w:val="32"/>
          <w:szCs w:val="32"/>
        </w:rPr>
        <w:t>（图4：一般公共预算财政拨款支出预算变动情况）</w:t>
      </w:r>
    </w:p>
    <w:p w14:paraId="1A80EEBA">
      <w:pPr>
        <w:pStyle w:val="5"/>
        <w:numPr>
          <w:ilvl w:val="0"/>
          <w:numId w:val="0"/>
        </w:numPr>
        <w:adjustRightInd w:val="0"/>
        <w:snapToGrid w:val="0"/>
        <w:spacing w:line="580" w:lineRule="exact"/>
        <w:ind w:left="561" w:leftChars="267" w:firstLine="30" w:firstLineChars="10"/>
        <w:outlineLvl w:val="1"/>
        <w:rPr>
          <w:rFonts w:hint="eastAsia" w:ascii="仿宋_GB2312" w:eastAsia="仿宋_GB2312" w:hAnsiTheme="minorHAnsi" w:cstheme="minorBidi"/>
          <w:b/>
          <w:bCs/>
          <w:kern w:val="2"/>
          <w:sz w:val="30"/>
          <w:szCs w:val="24"/>
          <w:lang w:val="en-US" w:eastAsia="zh-CN" w:bidi="ar-SA"/>
        </w:rPr>
      </w:pPr>
      <w:bookmarkStart w:id="10" w:name="_Toc6992"/>
      <w:r>
        <w:rPr>
          <w:rFonts w:hint="eastAsia" w:ascii="仿宋_GB2312" w:eastAsia="仿宋_GB2312" w:hAnsiTheme="minorHAnsi" w:cstheme="minorBidi"/>
          <w:b/>
          <w:bCs/>
          <w:kern w:val="2"/>
          <w:sz w:val="30"/>
          <w:szCs w:val="24"/>
          <w:lang w:val="en-US" w:eastAsia="zh-CN" w:bidi="ar-SA"/>
        </w:rPr>
        <w:t>（二）一般公共预算当年拨款结构情况</w:t>
      </w:r>
      <w:bookmarkEnd w:id="10"/>
    </w:p>
    <w:p w14:paraId="63C691FE">
      <w:pPr>
        <w:numPr>
          <w:ilvl w:val="0"/>
          <w:numId w:val="0"/>
        </w:numPr>
        <w:spacing w:line="600" w:lineRule="exact"/>
        <w:ind w:firstLine="640" w:firstLineChars="0"/>
        <w:rPr>
          <w:rFonts w:hint="eastAsia" w:ascii="仿宋" w:hAnsi="仿宋" w:eastAsia="仿宋"/>
          <w:color w:val="000000"/>
          <w:sz w:val="32"/>
          <w:szCs w:val="32"/>
        </w:rPr>
      </w:pPr>
      <w:r>
        <w:rPr>
          <w:rFonts w:hint="eastAsia" w:ascii="仿宋_GB2312" w:eastAsia="仿宋_GB2312"/>
          <w:color w:val="333333"/>
          <w:sz w:val="32"/>
          <w:szCs w:val="32"/>
        </w:rPr>
        <w:t>　　一般公共服务支出</w:t>
      </w:r>
      <w:r>
        <w:rPr>
          <w:rFonts w:hint="eastAsia" w:ascii="仿宋_GB2312" w:eastAsia="仿宋_GB2312"/>
          <w:sz w:val="32"/>
          <w:szCs w:val="32"/>
          <w:lang w:val="en-US" w:eastAsia="zh-CN"/>
        </w:rPr>
        <w:t>1799.47</w:t>
      </w:r>
      <w:r>
        <w:rPr>
          <w:rFonts w:hint="eastAsia" w:ascii="仿宋_GB2312" w:eastAsia="仿宋_GB2312"/>
          <w:color w:val="333333"/>
          <w:sz w:val="32"/>
          <w:szCs w:val="32"/>
        </w:rPr>
        <w:t>万元，占</w:t>
      </w:r>
      <w:r>
        <w:rPr>
          <w:rFonts w:hint="eastAsia" w:ascii="仿宋_GB2312" w:eastAsia="仿宋_GB2312"/>
          <w:sz w:val="32"/>
          <w:szCs w:val="32"/>
          <w:lang w:val="en-US" w:eastAsia="zh-CN"/>
        </w:rPr>
        <w:t>88.79</w:t>
      </w:r>
      <w:r>
        <w:rPr>
          <w:rFonts w:hint="eastAsia" w:ascii="仿宋_GB2312" w:eastAsia="仿宋_GB2312"/>
          <w:color w:val="333333"/>
          <w:sz w:val="32"/>
          <w:szCs w:val="32"/>
        </w:rPr>
        <w:t>%；教育支出</w:t>
      </w:r>
      <w:r>
        <w:rPr>
          <w:rFonts w:hint="eastAsia" w:ascii="仿宋_GB2312" w:eastAsia="仿宋_GB2312"/>
          <w:color w:val="333333"/>
          <w:sz w:val="32"/>
          <w:szCs w:val="32"/>
          <w:lang w:val="en-US" w:eastAsia="zh-CN"/>
        </w:rPr>
        <w:t>0.00</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%；社会保障和就业支出</w:t>
      </w:r>
      <w:r>
        <w:rPr>
          <w:rFonts w:hint="eastAsia" w:ascii="仿宋_GB2312" w:eastAsia="仿宋_GB2312"/>
          <w:sz w:val="32"/>
          <w:szCs w:val="32"/>
          <w:lang w:val="en-US" w:eastAsia="zh-CN"/>
        </w:rPr>
        <w:t>98.43</w:t>
      </w:r>
      <w:r>
        <w:rPr>
          <w:rFonts w:hint="eastAsia" w:ascii="仿宋_GB2312" w:eastAsia="仿宋_GB2312"/>
          <w:color w:val="333333"/>
          <w:sz w:val="32"/>
          <w:szCs w:val="32"/>
        </w:rPr>
        <w:t>万元，占</w:t>
      </w:r>
      <w:r>
        <w:rPr>
          <w:rFonts w:hint="eastAsia" w:ascii="仿宋_GB2312" w:eastAsia="仿宋_GB2312"/>
          <w:sz w:val="32"/>
          <w:szCs w:val="32"/>
          <w:lang w:val="en-US" w:eastAsia="zh-CN"/>
        </w:rPr>
        <w:t>4.86</w:t>
      </w:r>
      <w:r>
        <w:rPr>
          <w:rFonts w:hint="eastAsia" w:ascii="仿宋_GB2312" w:eastAsia="仿宋_GB2312"/>
          <w:color w:val="333333"/>
          <w:sz w:val="32"/>
          <w:szCs w:val="32"/>
        </w:rPr>
        <w:t>%；卫生健康支出</w:t>
      </w:r>
      <w:r>
        <w:rPr>
          <w:rFonts w:hint="eastAsia" w:ascii="仿宋_GB2312" w:eastAsia="仿宋_GB2312"/>
          <w:sz w:val="32"/>
          <w:szCs w:val="32"/>
          <w:lang w:val="en-US" w:eastAsia="zh-CN"/>
        </w:rPr>
        <w:t>54.43</w:t>
      </w:r>
      <w:r>
        <w:rPr>
          <w:rFonts w:hint="eastAsia" w:ascii="仿宋_GB2312" w:eastAsia="仿宋_GB2312"/>
          <w:color w:val="333333"/>
          <w:sz w:val="32"/>
          <w:szCs w:val="32"/>
        </w:rPr>
        <w:t>万元，占</w:t>
      </w:r>
      <w:r>
        <w:rPr>
          <w:rFonts w:hint="eastAsia" w:ascii="仿宋_GB2312" w:eastAsia="仿宋_GB2312"/>
          <w:sz w:val="32"/>
          <w:szCs w:val="32"/>
          <w:lang w:val="en-US" w:eastAsia="zh-CN"/>
        </w:rPr>
        <w:t>2.68</w:t>
      </w:r>
      <w:r>
        <w:rPr>
          <w:rFonts w:hint="eastAsia" w:ascii="仿宋_GB2312" w:eastAsia="仿宋_GB2312"/>
          <w:sz w:val="32"/>
          <w:szCs w:val="32"/>
        </w:rPr>
        <w:t>*</w:t>
      </w:r>
      <w:r>
        <w:rPr>
          <w:rFonts w:hint="eastAsia" w:ascii="仿宋_GB2312" w:eastAsia="仿宋_GB2312"/>
          <w:color w:val="333333"/>
          <w:sz w:val="32"/>
          <w:szCs w:val="32"/>
        </w:rPr>
        <w:t>%；住房保障支出</w:t>
      </w:r>
      <w:r>
        <w:rPr>
          <w:rFonts w:hint="eastAsia" w:ascii="仿宋_GB2312" w:eastAsia="仿宋_GB2312"/>
          <w:sz w:val="32"/>
          <w:szCs w:val="32"/>
          <w:lang w:val="en-US" w:eastAsia="zh-CN"/>
        </w:rPr>
        <w:t>74.40</w:t>
      </w:r>
      <w:r>
        <w:rPr>
          <w:rFonts w:hint="eastAsia" w:ascii="仿宋_GB2312" w:eastAsia="仿宋_GB2312"/>
          <w:color w:val="333333"/>
          <w:sz w:val="32"/>
          <w:szCs w:val="32"/>
        </w:rPr>
        <w:t>万元，占</w:t>
      </w:r>
      <w:r>
        <w:rPr>
          <w:rFonts w:hint="eastAsia" w:ascii="仿宋_GB2312" w:eastAsia="仿宋_GB2312"/>
          <w:sz w:val="32"/>
          <w:szCs w:val="32"/>
          <w:lang w:val="en-US" w:eastAsia="zh-CN"/>
        </w:rPr>
        <w:t>3.67</w:t>
      </w:r>
      <w:r>
        <w:rPr>
          <w:rFonts w:hint="eastAsia" w:ascii="仿宋_GB2312" w:eastAsia="仿宋_GB2312"/>
          <w:color w:val="333333"/>
          <w:sz w:val="32"/>
          <w:szCs w:val="32"/>
        </w:rPr>
        <w:t>%。</w:t>
      </w:r>
    </w:p>
    <w:p w14:paraId="0D6C32B3">
      <w:pPr>
        <w:bidi w:val="0"/>
        <w:rPr>
          <w:rFonts w:hint="eastAsia"/>
        </w:rPr>
      </w:pPr>
      <w:r>
        <w:rPr>
          <w:rFonts w:hint="eastAsia"/>
          <w:lang w:val="en-US" w:eastAsia="zh-CN"/>
        </w:rPr>
        <w:t xml:space="preserve">         </w:t>
      </w:r>
      <w:r>
        <w:drawing>
          <wp:inline distT="0" distB="0" distL="114300" distR="114300">
            <wp:extent cx="4160520" cy="3187065"/>
            <wp:effectExtent l="5080" t="4445" r="10160" b="889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3EDBA0">
      <w:pPr>
        <w:spacing w:line="600" w:lineRule="exact"/>
        <w:ind w:firstLine="960" w:firstLineChars="300"/>
        <w:rPr>
          <w:rFonts w:hint="eastAsia" w:ascii="仿宋" w:hAnsi="仿宋" w:eastAsia="仿宋"/>
          <w:color w:val="000000"/>
          <w:sz w:val="32"/>
          <w:szCs w:val="32"/>
        </w:rPr>
      </w:pPr>
      <w:r>
        <w:rPr>
          <w:rFonts w:hint="eastAsia" w:ascii="仿宋" w:hAnsi="仿宋" w:eastAsia="仿宋"/>
          <w:color w:val="000000"/>
          <w:sz w:val="32"/>
          <w:szCs w:val="32"/>
        </w:rPr>
        <w:t>（图5：一般公共预算财政拨款支出预算结构）</w:t>
      </w:r>
    </w:p>
    <w:p w14:paraId="720FB2B9">
      <w:pPr>
        <w:pStyle w:val="5"/>
        <w:numPr>
          <w:ilvl w:val="0"/>
          <w:numId w:val="0"/>
        </w:numPr>
        <w:adjustRightInd w:val="0"/>
        <w:snapToGrid w:val="0"/>
        <w:spacing w:line="580" w:lineRule="exact"/>
        <w:ind w:left="561" w:leftChars="267" w:firstLine="30" w:firstLineChars="10"/>
        <w:outlineLvl w:val="1"/>
        <w:rPr>
          <w:rFonts w:hint="eastAsia" w:ascii="仿宋_GB2312" w:eastAsia="仿宋_GB2312" w:hAnsiTheme="minorHAnsi" w:cstheme="minorBidi"/>
          <w:b/>
          <w:bCs/>
          <w:kern w:val="2"/>
          <w:sz w:val="30"/>
          <w:szCs w:val="24"/>
          <w:lang w:val="en-US" w:eastAsia="zh-CN" w:bidi="ar-SA"/>
        </w:rPr>
      </w:pPr>
      <w:bookmarkStart w:id="11" w:name="_Toc30988"/>
      <w:r>
        <w:rPr>
          <w:rFonts w:hint="eastAsia" w:ascii="仿宋_GB2312" w:eastAsia="仿宋_GB2312" w:hAnsiTheme="minorHAnsi" w:cstheme="minorBidi"/>
          <w:b/>
          <w:bCs/>
          <w:kern w:val="2"/>
          <w:sz w:val="30"/>
          <w:szCs w:val="24"/>
          <w:lang w:val="en-US" w:eastAsia="zh-CN" w:bidi="ar-SA"/>
        </w:rPr>
        <w:t>（三）一般公共预算当年拨款具体使用情况：</w:t>
      </w:r>
      <w:bookmarkEnd w:id="11"/>
      <w:r>
        <w:rPr>
          <w:rFonts w:hint="eastAsia" w:ascii="仿宋_GB2312" w:eastAsia="仿宋_GB2312" w:hAnsiTheme="minorHAnsi" w:cstheme="minorBidi"/>
          <w:b/>
          <w:bCs/>
          <w:kern w:val="2"/>
          <w:sz w:val="30"/>
          <w:szCs w:val="24"/>
          <w:lang w:val="en-US" w:eastAsia="zh-CN" w:bidi="ar-SA"/>
        </w:rPr>
        <w:t>　　</w:t>
      </w:r>
    </w:p>
    <w:p w14:paraId="59D0C8D4">
      <w:pPr>
        <w:spacing w:line="560" w:lineRule="exact"/>
        <w:ind w:firstLine="640" w:firstLineChars="200"/>
        <w:rPr>
          <w:rFonts w:hint="eastAsia" w:ascii="仿宋_GB2312" w:hAnsi="Helvetica" w:eastAsia="仿宋_GB2312" w:cs="Helvetica"/>
          <w:kern w:val="0"/>
          <w:sz w:val="32"/>
          <w:szCs w:val="32"/>
          <w:highlight w:val="none"/>
          <w:lang w:eastAsia="zh-CN"/>
        </w:rPr>
      </w:pPr>
      <w:r>
        <w:rPr>
          <w:rFonts w:hint="eastAsia" w:ascii="仿宋_GB2312" w:eastAsia="仿宋_GB2312"/>
          <w:color w:val="333333"/>
          <w:sz w:val="32"/>
          <w:szCs w:val="32"/>
        </w:rPr>
        <w:t>1.一般公共服务（类）</w:t>
      </w:r>
      <w:r>
        <w:rPr>
          <w:rFonts w:hint="eastAsia" w:ascii="仿宋_GB2312" w:eastAsia="仿宋_GB2312"/>
          <w:sz w:val="32"/>
          <w:szCs w:val="32"/>
          <w:lang w:eastAsia="zh-CN"/>
        </w:rPr>
        <w:t>组织事务</w:t>
      </w:r>
      <w:r>
        <w:rPr>
          <w:rFonts w:hint="eastAsia" w:ascii="仿宋_GB2312" w:eastAsia="仿宋_GB2312"/>
          <w:color w:val="333333"/>
          <w:sz w:val="32"/>
          <w:szCs w:val="32"/>
        </w:rPr>
        <w:t>（款）</w:t>
      </w:r>
      <w:r>
        <w:rPr>
          <w:rFonts w:hint="eastAsia" w:ascii="仿宋_GB2312" w:eastAsia="仿宋_GB2312"/>
          <w:color w:val="333333"/>
          <w:sz w:val="32"/>
          <w:szCs w:val="32"/>
          <w:lang w:eastAsia="zh-CN"/>
        </w:rPr>
        <w:t>行政运行</w:t>
      </w:r>
      <w:r>
        <w:rPr>
          <w:rFonts w:hint="eastAsia" w:ascii="仿宋_GB2312" w:eastAsia="仿宋_GB2312"/>
          <w:color w:val="333333"/>
          <w:sz w:val="32"/>
          <w:szCs w:val="32"/>
        </w:rPr>
        <w:t>（项）</w:t>
      </w:r>
      <w:r>
        <w:rPr>
          <w:rFonts w:hint="eastAsia" w:ascii="仿宋_GB2312" w:eastAsia="仿宋_GB2312"/>
          <w:color w:val="333333"/>
          <w:sz w:val="32"/>
          <w:szCs w:val="32"/>
          <w:lang w:eastAsia="zh-CN"/>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年预算数为</w:t>
      </w:r>
      <w:r>
        <w:rPr>
          <w:rFonts w:hint="eastAsia" w:ascii="仿宋_GB2312" w:eastAsia="仿宋_GB2312"/>
          <w:sz w:val="32"/>
          <w:szCs w:val="32"/>
          <w:lang w:val="en-US" w:eastAsia="zh-CN"/>
        </w:rPr>
        <w:t>398.34</w:t>
      </w:r>
      <w:r>
        <w:rPr>
          <w:rFonts w:hint="eastAsia" w:ascii="仿宋_GB2312" w:eastAsia="仿宋_GB2312"/>
          <w:color w:val="333333"/>
          <w:sz w:val="32"/>
          <w:szCs w:val="32"/>
        </w:rPr>
        <w:t>万元</w:t>
      </w:r>
      <w:r>
        <w:rPr>
          <w:rFonts w:hint="eastAsia" w:ascii="仿宋_GB2312" w:eastAsia="仿宋_GB2312"/>
          <w:color w:val="auto"/>
          <w:sz w:val="32"/>
          <w:szCs w:val="32"/>
        </w:rPr>
        <w:t>，主要用于：</w:t>
      </w:r>
      <w:r>
        <w:rPr>
          <w:rFonts w:hint="eastAsia" w:ascii="仿宋_GB2312" w:hAnsi="Helvetica" w:eastAsia="仿宋_GB2312" w:cs="Helvetica"/>
          <w:color w:val="auto"/>
          <w:kern w:val="0"/>
          <w:sz w:val="32"/>
          <w:szCs w:val="32"/>
          <w:highlight w:val="none"/>
        </w:rPr>
        <w:t>部机</w:t>
      </w:r>
      <w:r>
        <w:rPr>
          <w:rFonts w:hint="eastAsia" w:ascii="仿宋_GB2312" w:hAnsi="Helvetica" w:eastAsia="仿宋_GB2312" w:cs="Helvetica"/>
          <w:kern w:val="0"/>
          <w:sz w:val="32"/>
          <w:szCs w:val="32"/>
          <w:highlight w:val="none"/>
        </w:rPr>
        <w:t>关及参公管理事业单位正常运转的基本支出</w:t>
      </w:r>
      <w:r>
        <w:rPr>
          <w:rFonts w:hint="eastAsia" w:ascii="仿宋_GB2312" w:hAnsi="Helvetica" w:eastAsia="仿宋_GB2312" w:cs="Helvetica"/>
          <w:kern w:val="0"/>
          <w:sz w:val="32"/>
          <w:szCs w:val="32"/>
          <w:highlight w:val="none"/>
          <w:lang w:eastAsia="zh-CN"/>
        </w:rPr>
        <w:t>，</w:t>
      </w:r>
      <w:r>
        <w:rPr>
          <w:rFonts w:hint="eastAsia" w:ascii="仿宋_GB2312" w:hAnsi="Helvetica" w:eastAsia="仿宋_GB2312" w:cs="Helvetica"/>
          <w:kern w:val="0"/>
          <w:sz w:val="32"/>
          <w:szCs w:val="32"/>
          <w:highlight w:val="none"/>
        </w:rPr>
        <w:t>包括基本工资、津贴补贴等人员经费</w:t>
      </w:r>
      <w:r>
        <w:rPr>
          <w:rFonts w:hint="eastAsia" w:ascii="仿宋_GB2312" w:hAnsi="Helvetica" w:eastAsia="仿宋_GB2312" w:cs="Helvetica"/>
          <w:kern w:val="0"/>
          <w:sz w:val="32"/>
          <w:szCs w:val="32"/>
          <w:highlight w:val="none"/>
          <w:lang w:eastAsia="zh-CN"/>
        </w:rPr>
        <w:t>，</w:t>
      </w:r>
      <w:r>
        <w:rPr>
          <w:rFonts w:hint="eastAsia" w:ascii="仿宋_GB2312" w:hAnsi="Helvetica" w:eastAsia="仿宋_GB2312" w:cs="Helvetica"/>
          <w:kern w:val="0"/>
          <w:sz w:val="32"/>
          <w:szCs w:val="32"/>
          <w:highlight w:val="none"/>
        </w:rPr>
        <w:t>办公费、印刷费、水电费等日常公用经费</w:t>
      </w:r>
      <w:r>
        <w:rPr>
          <w:rFonts w:hint="eastAsia" w:ascii="仿宋_GB2312" w:hAnsi="Helvetica" w:eastAsia="仿宋_GB2312" w:cs="Helvetica"/>
          <w:kern w:val="0"/>
          <w:sz w:val="32"/>
          <w:szCs w:val="32"/>
          <w:highlight w:val="none"/>
          <w:lang w:eastAsia="zh-CN"/>
        </w:rPr>
        <w:t>。项目支出。</w:t>
      </w:r>
    </w:p>
    <w:p w14:paraId="04C4FB61">
      <w:pPr>
        <w:spacing w:line="560" w:lineRule="exact"/>
        <w:ind w:firstLine="640" w:firstLineChars="200"/>
        <w:rPr>
          <w:rFonts w:hint="eastAsia" w:ascii="仿宋_GB2312" w:hAnsi="Helvetica" w:eastAsia="仿宋_GB2312" w:cs="Helvetica"/>
          <w:kern w:val="0"/>
          <w:sz w:val="32"/>
          <w:szCs w:val="32"/>
          <w:highlight w:val="none"/>
          <w:lang w:eastAsia="zh-CN"/>
        </w:rPr>
      </w:pPr>
      <w:r>
        <w:rPr>
          <w:rFonts w:hint="eastAsia" w:ascii="仿宋_GB2312" w:eastAsia="仿宋_GB2312"/>
          <w:color w:val="333333"/>
          <w:sz w:val="32"/>
          <w:szCs w:val="32"/>
          <w:lang w:val="en-US" w:eastAsia="zh-CN"/>
        </w:rPr>
        <w:t>2</w:t>
      </w:r>
      <w:r>
        <w:rPr>
          <w:rFonts w:hint="eastAsia" w:ascii="仿宋_GB2312" w:eastAsia="仿宋_GB2312"/>
          <w:color w:val="333333"/>
          <w:sz w:val="32"/>
          <w:szCs w:val="32"/>
        </w:rPr>
        <w:t>.一般公共服务（类）</w:t>
      </w:r>
      <w:r>
        <w:rPr>
          <w:rFonts w:hint="eastAsia" w:ascii="仿宋_GB2312" w:eastAsia="仿宋_GB2312"/>
          <w:sz w:val="32"/>
          <w:szCs w:val="32"/>
          <w:lang w:eastAsia="zh-CN"/>
        </w:rPr>
        <w:t>组织事务</w:t>
      </w:r>
      <w:r>
        <w:rPr>
          <w:rFonts w:hint="eastAsia" w:ascii="仿宋_GB2312" w:eastAsia="仿宋_GB2312"/>
          <w:color w:val="333333"/>
          <w:sz w:val="32"/>
          <w:szCs w:val="32"/>
        </w:rPr>
        <w:t>（款）</w:t>
      </w:r>
      <w:r>
        <w:rPr>
          <w:rFonts w:hint="eastAsia" w:ascii="仿宋_GB2312" w:eastAsia="仿宋_GB2312"/>
          <w:color w:val="333333"/>
          <w:sz w:val="32"/>
          <w:szCs w:val="32"/>
          <w:lang w:val="en-US" w:eastAsia="zh-CN"/>
        </w:rPr>
        <w:t>一般行政管理事务</w:t>
      </w:r>
      <w:r>
        <w:rPr>
          <w:rFonts w:hint="eastAsia" w:ascii="仿宋_GB2312" w:eastAsia="仿宋_GB2312"/>
          <w:color w:val="333333"/>
          <w:sz w:val="32"/>
          <w:szCs w:val="32"/>
        </w:rPr>
        <w:t>（项）</w:t>
      </w:r>
      <w:r>
        <w:rPr>
          <w:rFonts w:hint="eastAsia" w:ascii="仿宋_GB2312" w:eastAsia="仿宋_GB2312"/>
          <w:color w:val="333333"/>
          <w:sz w:val="32"/>
          <w:szCs w:val="32"/>
          <w:lang w:eastAsia="zh-CN"/>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年预算数为</w:t>
      </w:r>
      <w:r>
        <w:rPr>
          <w:rFonts w:hint="eastAsia" w:ascii="仿宋_GB2312" w:eastAsia="仿宋_GB2312"/>
          <w:color w:val="333333"/>
          <w:sz w:val="32"/>
          <w:szCs w:val="32"/>
          <w:lang w:val="en-US" w:eastAsia="zh-CN"/>
        </w:rPr>
        <w:t>984</w:t>
      </w:r>
      <w:r>
        <w:rPr>
          <w:rFonts w:hint="eastAsia" w:ascii="仿宋_GB2312" w:eastAsia="仿宋_GB2312"/>
          <w:color w:val="333333"/>
          <w:sz w:val="32"/>
          <w:szCs w:val="32"/>
        </w:rPr>
        <w:t>万元</w:t>
      </w:r>
      <w:r>
        <w:rPr>
          <w:rFonts w:hint="eastAsia" w:ascii="仿宋_GB2312" w:eastAsia="仿宋_GB2312"/>
          <w:color w:val="auto"/>
          <w:sz w:val="32"/>
          <w:szCs w:val="32"/>
        </w:rPr>
        <w:t>，主要用于：</w:t>
      </w:r>
      <w:r>
        <w:rPr>
          <w:rFonts w:hint="eastAsia" w:ascii="仿宋_GB2312" w:hAnsi="Helvetica" w:eastAsia="仿宋_GB2312" w:cs="Helvetica"/>
          <w:color w:val="auto"/>
          <w:kern w:val="0"/>
          <w:sz w:val="32"/>
          <w:szCs w:val="32"/>
          <w:highlight w:val="none"/>
        </w:rPr>
        <w:t>部机</w:t>
      </w:r>
      <w:r>
        <w:rPr>
          <w:rFonts w:hint="eastAsia" w:ascii="仿宋_GB2312" w:hAnsi="Helvetica" w:eastAsia="仿宋_GB2312" w:cs="Helvetica"/>
          <w:kern w:val="0"/>
          <w:sz w:val="32"/>
          <w:szCs w:val="32"/>
          <w:highlight w:val="none"/>
        </w:rPr>
        <w:t>关</w:t>
      </w:r>
      <w:r>
        <w:rPr>
          <w:rFonts w:hint="eastAsia" w:ascii="仿宋_GB2312" w:hAnsi="Helvetica" w:eastAsia="仿宋_GB2312" w:cs="Helvetica"/>
          <w:kern w:val="0"/>
          <w:sz w:val="32"/>
          <w:szCs w:val="32"/>
          <w:highlight w:val="none"/>
          <w:lang w:eastAsia="zh-CN"/>
        </w:rPr>
        <w:t>项目支出。</w:t>
      </w:r>
    </w:p>
    <w:p w14:paraId="3E72D612">
      <w:pPr>
        <w:spacing w:line="580"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lang w:val="en-US" w:eastAsia="zh-CN"/>
        </w:rPr>
        <w:t>3</w:t>
      </w:r>
      <w:r>
        <w:rPr>
          <w:rFonts w:hint="eastAsia" w:ascii="仿宋_GB2312" w:eastAsia="仿宋_GB2312"/>
          <w:color w:val="333333"/>
          <w:sz w:val="32"/>
          <w:szCs w:val="32"/>
        </w:rPr>
        <w:t>.一般公共服务（类）</w:t>
      </w:r>
      <w:r>
        <w:rPr>
          <w:rFonts w:hint="eastAsia" w:ascii="仿宋_GB2312" w:eastAsia="仿宋_GB2312"/>
          <w:sz w:val="32"/>
          <w:szCs w:val="32"/>
          <w:lang w:eastAsia="zh-CN"/>
        </w:rPr>
        <w:t>组织事务</w:t>
      </w:r>
      <w:r>
        <w:rPr>
          <w:rFonts w:hint="eastAsia" w:ascii="仿宋_GB2312" w:eastAsia="仿宋_GB2312"/>
          <w:color w:val="333333"/>
          <w:sz w:val="32"/>
          <w:szCs w:val="32"/>
        </w:rPr>
        <w:t>（款）</w:t>
      </w:r>
      <w:r>
        <w:rPr>
          <w:rFonts w:hint="eastAsia" w:ascii="仿宋_GB2312" w:eastAsia="仿宋_GB2312"/>
          <w:color w:val="333333"/>
          <w:sz w:val="32"/>
          <w:szCs w:val="32"/>
          <w:lang w:eastAsia="zh-CN"/>
        </w:rPr>
        <w:t>事业运行</w:t>
      </w:r>
      <w:r>
        <w:rPr>
          <w:rFonts w:hint="eastAsia" w:ascii="仿宋_GB2312" w:eastAsia="仿宋_GB2312"/>
          <w:color w:val="333333"/>
          <w:sz w:val="32"/>
          <w:szCs w:val="32"/>
        </w:rPr>
        <w:t>（项）</w:t>
      </w:r>
      <w:r>
        <w:rPr>
          <w:rFonts w:hint="eastAsia" w:ascii="仿宋_GB2312" w:eastAsia="仿宋_GB2312"/>
          <w:color w:val="333333"/>
          <w:sz w:val="32"/>
          <w:szCs w:val="32"/>
          <w:lang w:eastAsia="zh-CN"/>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年预算数为</w:t>
      </w:r>
      <w:r>
        <w:rPr>
          <w:rFonts w:hint="eastAsia" w:ascii="仿宋_GB2312" w:eastAsia="仿宋_GB2312"/>
          <w:sz w:val="32"/>
          <w:szCs w:val="32"/>
          <w:lang w:val="en-US" w:eastAsia="zh-CN"/>
        </w:rPr>
        <w:t>417.13</w:t>
      </w:r>
      <w:r>
        <w:rPr>
          <w:rFonts w:hint="eastAsia" w:ascii="仿宋_GB2312" w:eastAsia="仿宋_GB2312"/>
          <w:color w:val="333333"/>
          <w:sz w:val="32"/>
          <w:szCs w:val="32"/>
        </w:rPr>
        <w:t>万元，主要用于：</w:t>
      </w:r>
      <w:r>
        <w:rPr>
          <w:rFonts w:hint="eastAsia" w:ascii="仿宋_GB2312" w:eastAsia="仿宋_GB2312"/>
          <w:sz w:val="32"/>
          <w:szCs w:val="32"/>
          <w:lang w:eastAsia="zh-CN"/>
        </w:rPr>
        <w:t>事业人员工资发放等</w:t>
      </w:r>
      <w:r>
        <w:rPr>
          <w:rFonts w:hint="eastAsia" w:ascii="仿宋_GB2312" w:eastAsia="仿宋_GB2312"/>
          <w:color w:val="333333"/>
          <w:sz w:val="32"/>
          <w:szCs w:val="32"/>
        </w:rPr>
        <w:t>。</w:t>
      </w:r>
    </w:p>
    <w:p w14:paraId="507BA53D">
      <w:pPr>
        <w:spacing w:line="580" w:lineRule="exact"/>
        <w:ind w:firstLine="570"/>
        <w:rPr>
          <w:rFonts w:hint="eastAsia" w:ascii="仿宋_GB2312" w:eastAsia="仿宋_GB2312"/>
          <w:sz w:val="32"/>
          <w:szCs w:val="32"/>
        </w:rPr>
      </w:pPr>
      <w:r>
        <w:rPr>
          <w:rFonts w:hint="eastAsia" w:ascii="仿宋_GB2312" w:eastAsia="仿宋_GB2312"/>
          <w:color w:val="333333"/>
          <w:sz w:val="32"/>
          <w:szCs w:val="32"/>
          <w:lang w:val="en-US" w:eastAsia="zh-CN"/>
        </w:rPr>
        <w:t>4</w:t>
      </w:r>
      <w:r>
        <w:rPr>
          <w:rFonts w:hint="eastAsia" w:ascii="仿宋_GB2312" w:eastAsia="仿宋_GB2312"/>
          <w:color w:val="333333"/>
          <w:sz w:val="32"/>
          <w:szCs w:val="32"/>
        </w:rPr>
        <w:t>.</w:t>
      </w:r>
      <w:r>
        <w:rPr>
          <w:rFonts w:hint="eastAsia" w:ascii="仿宋_GB2312" w:eastAsia="仿宋_GB2312"/>
          <w:sz w:val="32"/>
          <w:szCs w:val="32"/>
          <w:lang w:val="en-US" w:eastAsia="zh-CN"/>
        </w:rPr>
        <w:t>社会保障和就业（类）行政事业单位养老支出（款）机关事业单位基本养老保险缴费支出（项）：2026年预算数为94.74万元，主要用于：机关单位实施养老保险制度由单位缴纳的基本养老保险支出</w:t>
      </w:r>
      <w:r>
        <w:rPr>
          <w:rFonts w:hint="eastAsia" w:ascii="仿宋_GB2312" w:eastAsia="仿宋_GB2312"/>
          <w:sz w:val="32"/>
          <w:szCs w:val="32"/>
        </w:rPr>
        <w:t>。</w:t>
      </w:r>
    </w:p>
    <w:p w14:paraId="1C6C9E3F">
      <w:pPr>
        <w:spacing w:line="580" w:lineRule="exact"/>
        <w:ind w:firstLine="570"/>
        <w:rPr>
          <w:rFonts w:hint="eastAsia" w:ascii="仿宋_GB2312" w:eastAsia="仿宋_GB2312"/>
          <w:color w:val="333333"/>
          <w:sz w:val="32"/>
          <w:szCs w:val="32"/>
        </w:rPr>
      </w:pP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w:t>
      </w:r>
      <w:r>
        <w:rPr>
          <w:rFonts w:hint="eastAsia" w:ascii="仿宋_GB2312" w:eastAsia="仿宋_GB2312"/>
          <w:sz w:val="32"/>
          <w:szCs w:val="32"/>
          <w:lang w:val="en-US" w:eastAsia="zh-CN"/>
        </w:rPr>
        <w:t>社会保障和就业（类）其他社会保障和就业支出（款）其他社会保障和就业支出（项）：2026年预算数为3.96万元，主要用于：缴纳职工工伤及失业保险</w:t>
      </w:r>
      <w:r>
        <w:rPr>
          <w:rFonts w:hint="eastAsia" w:ascii="仿宋_GB2312" w:eastAsia="仿宋_GB2312"/>
          <w:color w:val="333333"/>
          <w:sz w:val="32"/>
          <w:szCs w:val="32"/>
        </w:rPr>
        <w:t>。</w:t>
      </w:r>
    </w:p>
    <w:p w14:paraId="37D1CA93">
      <w:pPr>
        <w:spacing w:line="580" w:lineRule="exact"/>
        <w:ind w:firstLine="570"/>
        <w:rPr>
          <w:rFonts w:hint="eastAsia" w:ascii="仿宋_GB2312" w:eastAsia="仿宋_GB2312"/>
          <w:color w:val="333333"/>
          <w:sz w:val="32"/>
          <w:szCs w:val="32"/>
        </w:rPr>
      </w:pP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w:t>
      </w:r>
      <w:r>
        <w:rPr>
          <w:rFonts w:hint="eastAsia" w:ascii="仿宋_GB2312" w:eastAsia="仿宋_GB2312"/>
          <w:sz w:val="32"/>
          <w:szCs w:val="32"/>
          <w:lang w:val="en-US" w:eastAsia="zh-CN"/>
        </w:rPr>
        <w:t>卫生健康（类）行政事业单位医疗（款）行政单位医疗（项）：2026年预算数为14.77万元，主要用于：行政人员基本医疗保险缴费支出</w:t>
      </w:r>
      <w:r>
        <w:rPr>
          <w:rFonts w:hint="eastAsia" w:ascii="仿宋_GB2312" w:eastAsia="仿宋_GB2312"/>
          <w:color w:val="333333"/>
          <w:sz w:val="32"/>
          <w:szCs w:val="32"/>
        </w:rPr>
        <w:t>。　</w:t>
      </w:r>
    </w:p>
    <w:p w14:paraId="70ACCC28">
      <w:pPr>
        <w:spacing w:line="580" w:lineRule="exact"/>
        <w:ind w:firstLine="570"/>
        <w:rPr>
          <w:rFonts w:hint="eastAsia" w:ascii="仿宋_GB2312" w:eastAsia="仿宋_GB2312"/>
          <w:sz w:val="32"/>
          <w:szCs w:val="32"/>
          <w:lang w:val="en-US" w:eastAsia="zh-CN"/>
        </w:rPr>
      </w:pPr>
      <w:r>
        <w:rPr>
          <w:rFonts w:hint="eastAsia" w:ascii="仿宋_GB2312" w:eastAsia="仿宋_GB2312"/>
          <w:color w:val="333333"/>
          <w:sz w:val="32"/>
          <w:szCs w:val="32"/>
          <w:lang w:val="en-US" w:eastAsia="zh-CN"/>
        </w:rPr>
        <w:t>7</w:t>
      </w:r>
      <w:r>
        <w:rPr>
          <w:rFonts w:hint="eastAsia" w:ascii="仿宋_GB2312" w:eastAsia="仿宋_GB2312"/>
          <w:color w:val="333333"/>
          <w:sz w:val="32"/>
          <w:szCs w:val="32"/>
        </w:rPr>
        <w:t>.</w:t>
      </w:r>
      <w:r>
        <w:rPr>
          <w:rFonts w:hint="eastAsia" w:ascii="仿宋_GB2312" w:eastAsia="仿宋_GB2312"/>
          <w:sz w:val="32"/>
          <w:szCs w:val="32"/>
        </w:rPr>
        <w:t xml:space="preserve"> </w:t>
      </w:r>
      <w:r>
        <w:rPr>
          <w:rFonts w:hint="eastAsia" w:ascii="仿宋_GB2312" w:eastAsia="仿宋_GB2312"/>
          <w:sz w:val="32"/>
          <w:szCs w:val="32"/>
          <w:lang w:val="en-US" w:eastAsia="zh-CN"/>
        </w:rPr>
        <w:t>卫生健康（类）行政事业单位医疗（款）事业单位医疗（项）：2026年预算数为36.21万元，主要用于：事业人员基本医疗保险缴费支出。</w:t>
      </w:r>
    </w:p>
    <w:p w14:paraId="407FFA66">
      <w:pPr>
        <w:spacing w:line="580" w:lineRule="exact"/>
        <w:ind w:firstLine="570"/>
        <w:rPr>
          <w:rFonts w:hint="eastAsia"/>
          <w:lang w:val="en-US" w:eastAsia="zh-CN"/>
        </w:rPr>
      </w:pPr>
      <w:r>
        <w:rPr>
          <w:rFonts w:hint="eastAsia" w:ascii="仿宋_GB2312" w:eastAsia="仿宋_GB2312"/>
          <w:sz w:val="32"/>
          <w:szCs w:val="32"/>
          <w:lang w:val="en-US" w:eastAsia="zh-CN"/>
        </w:rPr>
        <w:t>8.卫生健康（类）行政事业单位医疗（款）公务员医疗补助（项）：2026年预算数为3.45万元，主要用于：公务员医疗补助支出。</w:t>
      </w:r>
    </w:p>
    <w:p w14:paraId="5BE4B420">
      <w:pPr>
        <w:spacing w:line="240" w:lineRule="auto"/>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eastAsia="仿宋_GB2312"/>
          <w:sz w:val="32"/>
          <w:szCs w:val="32"/>
          <w:lang w:val="en-US" w:eastAsia="zh-CN"/>
        </w:rPr>
        <w:t>9.住房保障（类）住房改革支出（款）住房公积金（项）：2026年预算数为74.4万元，主要用于：单位按人力资源和社会保障部、财政部规定的基本工资和津贴补贴以及规定比例为职工缴纳的住房公积金。</w:t>
      </w:r>
    </w:p>
    <w:p w14:paraId="65D6E42E">
      <w:pPr>
        <w:spacing w:line="580" w:lineRule="exact"/>
        <w:ind w:firstLine="640" w:firstLineChars="200"/>
        <w:outlineLvl w:val="0"/>
        <w:rPr>
          <w:rFonts w:hint="eastAsia" w:ascii="黑体" w:eastAsia="黑体"/>
          <w:sz w:val="32"/>
          <w:szCs w:val="32"/>
        </w:rPr>
      </w:pPr>
      <w:bookmarkStart w:id="12" w:name="_Toc17052"/>
      <w:r>
        <w:rPr>
          <w:rFonts w:hint="eastAsia" w:ascii="黑体" w:eastAsia="黑体"/>
          <w:sz w:val="32"/>
          <w:szCs w:val="32"/>
        </w:rPr>
        <w:t>六、一般公共预算基本支出情况说明</w:t>
      </w:r>
      <w:bookmarkEnd w:id="12"/>
    </w:p>
    <w:p w14:paraId="760FA03B">
      <w:pPr>
        <w:spacing w:line="580" w:lineRule="exact"/>
        <w:ind w:firstLine="570"/>
        <w:rPr>
          <w:rFonts w:hint="eastAsia" w:ascii="仿宋_GB2312" w:eastAsia="仿宋_GB2312"/>
          <w:color w:val="333333"/>
          <w:sz w:val="32"/>
          <w:szCs w:val="32"/>
        </w:rPr>
      </w:pPr>
      <w:r>
        <w:rPr>
          <w:rFonts w:hint="eastAsia" w:ascii="仿宋_GB2312" w:eastAsia="仿宋_GB2312"/>
          <w:sz w:val="32"/>
          <w:szCs w:val="32"/>
          <w:lang w:eastAsia="zh-CN"/>
        </w:rPr>
        <w:t> 中国共产党自贡市沿滩区委员会组织部单位</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年一般公共预算基本支出</w:t>
      </w:r>
      <w:r>
        <w:rPr>
          <w:rFonts w:hint="eastAsia" w:ascii="仿宋_GB2312" w:eastAsia="仿宋_GB2312"/>
          <w:sz w:val="32"/>
          <w:szCs w:val="32"/>
          <w:lang w:val="en-US" w:eastAsia="zh-CN"/>
        </w:rPr>
        <w:t>1000.73</w:t>
      </w:r>
      <w:r>
        <w:rPr>
          <w:rFonts w:hint="eastAsia" w:ascii="仿宋_GB2312" w:eastAsia="仿宋_GB2312"/>
          <w:color w:val="333333"/>
          <w:sz w:val="32"/>
          <w:szCs w:val="32"/>
        </w:rPr>
        <w:t>万元，其中：</w:t>
      </w:r>
    </w:p>
    <w:p w14:paraId="2E62DE14">
      <w:pPr>
        <w:spacing w:line="580" w:lineRule="exact"/>
        <w:rPr>
          <w:rFonts w:hint="eastAsia" w:ascii="仿宋_GB2312" w:eastAsia="仿宋_GB2312"/>
          <w:color w:val="333333"/>
          <w:sz w:val="32"/>
          <w:szCs w:val="32"/>
        </w:rPr>
      </w:pPr>
      <w:r>
        <w:rPr>
          <w:rFonts w:hint="eastAsia" w:ascii="仿宋_GB2312" w:eastAsia="仿宋_GB2312"/>
          <w:color w:val="333333"/>
          <w:sz w:val="32"/>
          <w:szCs w:val="32"/>
        </w:rPr>
        <w:t>　　人员经费</w:t>
      </w:r>
      <w:r>
        <w:rPr>
          <w:rFonts w:hint="eastAsia" w:ascii="仿宋_GB2312" w:eastAsia="仿宋_GB2312"/>
          <w:sz w:val="32"/>
          <w:szCs w:val="32"/>
          <w:lang w:val="en-US" w:eastAsia="zh-CN"/>
        </w:rPr>
        <w:t>861.17</w:t>
      </w:r>
      <w:r>
        <w:rPr>
          <w:rFonts w:hint="eastAsia" w:ascii="仿宋_GB2312" w:eastAsia="仿宋_GB2312"/>
          <w:color w:val="333333"/>
          <w:sz w:val="32"/>
          <w:szCs w:val="32"/>
        </w:rPr>
        <w:t>万元，主要包括：基本工资、津贴补贴、奖金、社会保险缴费、绩效工资等支出。</w:t>
      </w:r>
    </w:p>
    <w:p w14:paraId="4C896993">
      <w:pPr>
        <w:spacing w:line="580" w:lineRule="exact"/>
        <w:ind w:firstLine="570"/>
        <w:rPr>
          <w:rFonts w:hint="eastAsia" w:ascii="仿宋_GB2312" w:eastAsia="仿宋_GB2312"/>
          <w:color w:val="333333"/>
          <w:sz w:val="32"/>
          <w:szCs w:val="32"/>
        </w:rPr>
      </w:pPr>
      <w:r>
        <w:rPr>
          <w:rFonts w:hint="eastAsia" w:ascii="仿宋_GB2312" w:eastAsia="仿宋_GB2312"/>
          <w:color w:val="333333"/>
          <w:sz w:val="32"/>
          <w:szCs w:val="32"/>
        </w:rPr>
        <w:t>公用经费</w:t>
      </w:r>
      <w:r>
        <w:rPr>
          <w:rFonts w:hint="eastAsia" w:ascii="仿宋_GB2312" w:eastAsia="仿宋_GB2312"/>
          <w:sz w:val="32"/>
          <w:szCs w:val="32"/>
          <w:lang w:val="en-US" w:eastAsia="zh-CN"/>
        </w:rPr>
        <w:t>139.56</w:t>
      </w:r>
      <w:r>
        <w:rPr>
          <w:rFonts w:hint="eastAsia" w:ascii="仿宋_GB2312" w:eastAsia="仿宋_GB2312"/>
          <w:color w:val="333333"/>
          <w:sz w:val="32"/>
          <w:szCs w:val="32"/>
        </w:rPr>
        <w:t>万元，主要包括：办公费、印刷费、手续费、水费、电费、邮电费、差旅费、维修（护）费、会议费、培训费、劳务费</w:t>
      </w:r>
      <w:r>
        <w:rPr>
          <w:rFonts w:hint="eastAsia" w:ascii="仿宋_GB2312" w:eastAsia="仿宋_GB2312"/>
          <w:sz w:val="32"/>
          <w:szCs w:val="32"/>
          <w:lang w:eastAsia="zh-CN"/>
        </w:rPr>
        <w:t>、</w:t>
      </w:r>
      <w:r>
        <w:rPr>
          <w:rFonts w:hint="eastAsia" w:ascii="仿宋_GB2312" w:eastAsia="仿宋_GB2312"/>
          <w:sz w:val="32"/>
          <w:szCs w:val="32"/>
          <w:lang w:val="en-US" w:eastAsia="zh-CN"/>
        </w:rPr>
        <w:t>其他商品和服务支出</w:t>
      </w:r>
      <w:r>
        <w:rPr>
          <w:rFonts w:hint="eastAsia" w:ascii="仿宋_GB2312" w:eastAsia="仿宋_GB2312"/>
          <w:color w:val="333333"/>
          <w:sz w:val="32"/>
          <w:szCs w:val="32"/>
        </w:rPr>
        <w:t>等支出。</w:t>
      </w:r>
    </w:p>
    <w:p w14:paraId="1A2DF342">
      <w:pPr>
        <w:spacing w:line="580" w:lineRule="exact"/>
        <w:ind w:firstLine="640" w:firstLineChars="200"/>
        <w:outlineLvl w:val="0"/>
        <w:rPr>
          <w:rFonts w:hint="eastAsia" w:ascii="黑体" w:eastAsia="黑体"/>
          <w:sz w:val="32"/>
          <w:szCs w:val="32"/>
        </w:rPr>
      </w:pPr>
      <w:bookmarkStart w:id="13" w:name="_Toc10514"/>
      <w:r>
        <w:rPr>
          <w:rFonts w:hint="eastAsia" w:ascii="黑体" w:eastAsia="黑体"/>
          <w:sz w:val="32"/>
          <w:szCs w:val="32"/>
        </w:rPr>
        <w:t>七、“三公”经费财政拨款预算安排情况</w:t>
      </w:r>
      <w:bookmarkEnd w:id="13"/>
    </w:p>
    <w:p w14:paraId="1D94E0A5">
      <w:pPr>
        <w:spacing w:line="62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中国共产党自贡市沿滩区委员会组织部单位2026</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0.54</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年预算下降</w:t>
      </w:r>
      <w:r>
        <w:rPr>
          <w:rFonts w:hint="eastAsia" w:ascii="仿宋_GB2312" w:eastAsia="仿宋_GB2312"/>
          <w:sz w:val="32"/>
          <w:szCs w:val="32"/>
          <w:lang w:val="en-US" w:eastAsia="zh-CN"/>
        </w:rPr>
        <w:t>66.67</w:t>
      </w:r>
      <w:r>
        <w:rPr>
          <w:rFonts w:hint="eastAsia" w:ascii="仿宋_GB2312" w:eastAsia="仿宋_GB2312"/>
          <w:sz w:val="32"/>
          <w:szCs w:val="32"/>
        </w:rPr>
        <w:t>%，</w:t>
      </w:r>
      <w:r>
        <w:rPr>
          <w:rFonts w:ascii="仿宋_GB2312" w:eastAsia="仿宋_GB2312"/>
          <w:sz w:val="32"/>
          <w:szCs w:val="32"/>
        </w:rPr>
        <w:t>其中：</w:t>
      </w:r>
      <w:r>
        <w:rPr>
          <w:rFonts w:hint="eastAsia" w:ascii="仿宋_GB2312" w:eastAsia="仿宋_GB2312"/>
          <w:sz w:val="32"/>
          <w:szCs w:val="32"/>
        </w:rPr>
        <w:t>因公出国（境）经费</w:t>
      </w:r>
      <w:r>
        <w:rPr>
          <w:rFonts w:hint="eastAsia" w:ascii="仿宋_GB2312" w:eastAsia="仿宋_GB2312"/>
          <w:sz w:val="32"/>
          <w:szCs w:val="32"/>
          <w:lang w:val="en-US" w:eastAsia="zh-CN"/>
        </w:rPr>
        <w:t>0.00</w:t>
      </w:r>
      <w:r>
        <w:rPr>
          <w:rFonts w:hint="eastAsia" w:ascii="仿宋_GB2312" w:eastAsia="仿宋_GB2312"/>
          <w:sz w:val="32"/>
          <w:szCs w:val="32"/>
        </w:rPr>
        <w:t>万元，公务接待费</w:t>
      </w:r>
      <w:r>
        <w:rPr>
          <w:rFonts w:hint="eastAsia" w:ascii="仿宋_GB2312" w:eastAsia="仿宋_GB2312"/>
          <w:sz w:val="32"/>
          <w:szCs w:val="32"/>
          <w:lang w:val="en-US" w:eastAsia="zh-CN"/>
        </w:rPr>
        <w:t>0.54</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0.00</w:t>
      </w:r>
      <w:r>
        <w:rPr>
          <w:rFonts w:hint="eastAsia" w:ascii="仿宋_GB2312" w:eastAsia="仿宋_GB2312"/>
          <w:sz w:val="32"/>
          <w:szCs w:val="32"/>
        </w:rPr>
        <w:t>万元（公务</w:t>
      </w:r>
      <w:r>
        <w:rPr>
          <w:rFonts w:ascii="仿宋_GB2312" w:eastAsia="仿宋_GB2312"/>
          <w:sz w:val="32"/>
          <w:szCs w:val="32"/>
        </w:rPr>
        <w:t>用车购置费</w:t>
      </w:r>
      <w:r>
        <w:rPr>
          <w:rFonts w:hint="eastAsia" w:ascii="仿宋_GB2312" w:eastAsia="仿宋_GB2312"/>
          <w:sz w:val="32"/>
          <w:szCs w:val="32"/>
          <w:lang w:val="en-US" w:eastAsia="zh-CN"/>
        </w:rPr>
        <w:t>0.00</w:t>
      </w:r>
      <w:r>
        <w:rPr>
          <w:rFonts w:hint="eastAsia" w:ascii="仿宋_GB2312" w:eastAsia="仿宋_GB2312"/>
          <w:sz w:val="32"/>
          <w:szCs w:val="32"/>
        </w:rPr>
        <w:t>万元</w:t>
      </w:r>
      <w:r>
        <w:rPr>
          <w:rFonts w:ascii="仿宋_GB2312" w:eastAsia="仿宋_GB2312"/>
          <w:sz w:val="32"/>
          <w:szCs w:val="32"/>
        </w:rPr>
        <w:t>，公务用车运行费</w:t>
      </w:r>
      <w:r>
        <w:rPr>
          <w:rFonts w:hint="eastAsia" w:ascii="仿宋_GB2312" w:eastAsia="仿宋_GB2312"/>
          <w:sz w:val="32"/>
          <w:szCs w:val="32"/>
          <w:lang w:val="en-US" w:eastAsia="zh-CN"/>
        </w:rPr>
        <w:t>0.00</w:t>
      </w:r>
      <w:r>
        <w:rPr>
          <w:rFonts w:hint="eastAsia" w:ascii="仿宋_GB2312" w:eastAsia="仿宋_GB2312"/>
          <w:sz w:val="32"/>
          <w:szCs w:val="32"/>
        </w:rPr>
        <w:t>万元）。</w:t>
      </w:r>
    </w:p>
    <w:p w14:paraId="5D0E229C">
      <w:pPr>
        <w:pStyle w:val="2"/>
        <w:rPr>
          <w:rFonts w:hint="eastAsia"/>
        </w:rPr>
      </w:pPr>
      <w:r>
        <w:drawing>
          <wp:inline distT="0" distB="0" distL="114300" distR="114300">
            <wp:extent cx="4091940" cy="2706370"/>
            <wp:effectExtent l="4445" t="5080" r="18415" b="1651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27A2D0">
      <w:pPr>
        <w:spacing w:line="600" w:lineRule="exact"/>
        <w:ind w:firstLine="1292" w:firstLineChars="404"/>
        <w:rPr>
          <w:rFonts w:hint="eastAsia" w:ascii="仿宋" w:hAnsi="仿宋" w:eastAsia="仿宋"/>
          <w:sz w:val="32"/>
          <w:szCs w:val="32"/>
        </w:rPr>
      </w:pPr>
      <w:r>
        <w:rPr>
          <w:rFonts w:hint="eastAsia" w:ascii="仿宋" w:hAnsi="仿宋" w:eastAsia="仿宋"/>
          <w:sz w:val="32"/>
          <w:szCs w:val="32"/>
        </w:rPr>
        <w:t>（图6：“三公”经费财政拨款支出结构）</w:t>
      </w:r>
    </w:p>
    <w:p w14:paraId="26230FF2">
      <w:pPr>
        <w:spacing w:line="620" w:lineRule="exact"/>
        <w:ind w:firstLine="640"/>
        <w:rPr>
          <w:rFonts w:hint="eastAsia" w:ascii="仿宋_GB2312" w:eastAsia="仿宋_GB2312"/>
          <w:sz w:val="32"/>
          <w:szCs w:val="32"/>
        </w:rPr>
      </w:pPr>
      <w:r>
        <w:rPr>
          <w:rFonts w:hint="eastAsia" w:ascii="仿宋_GB2312" w:eastAsia="仿宋_GB2312"/>
          <w:sz w:val="32"/>
          <w:szCs w:val="32"/>
        </w:rPr>
        <w:t>（一）因公出国（境）经费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w:t>
      </w:r>
    </w:p>
    <w:p w14:paraId="5B6B3669">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年拟安排出国（境）</w:t>
      </w:r>
      <w:r>
        <w:rPr>
          <w:rFonts w:hint="eastAsia" w:ascii="仿宋_GB2312" w:eastAsia="仿宋_GB2312"/>
          <w:sz w:val="32"/>
          <w:szCs w:val="32"/>
          <w:lang w:val="en-US" w:eastAsia="zh-CN"/>
        </w:rPr>
        <w:t>0</w:t>
      </w:r>
      <w:r>
        <w:rPr>
          <w:rFonts w:hint="eastAsia" w:ascii="仿宋_GB2312" w:eastAsia="仿宋_GB2312"/>
          <w:sz w:val="32"/>
          <w:szCs w:val="32"/>
        </w:rPr>
        <w:t>人次。主要包括（团组名称、出访地点）等，计划完成（预期绩效）。</w:t>
      </w:r>
    </w:p>
    <w:p w14:paraId="458D3AC3">
      <w:pPr>
        <w:spacing w:line="620" w:lineRule="exact"/>
        <w:ind w:firstLine="640"/>
        <w:rPr>
          <w:rFonts w:hint="eastAsia" w:ascii="仿宋_GB2312" w:eastAsia="仿宋_GB2312"/>
          <w:b/>
          <w:sz w:val="32"/>
          <w:szCs w:val="32"/>
        </w:rPr>
      </w:pPr>
      <w:r>
        <w:rPr>
          <w:rFonts w:hint="eastAsia" w:ascii="仿宋_GB2312" w:eastAsia="仿宋_GB2312"/>
          <w:sz w:val="32"/>
          <w:szCs w:val="32"/>
        </w:rPr>
        <w:t>（二）公务接待费</w:t>
      </w:r>
      <w:r>
        <w:rPr>
          <w:rFonts w:hint="eastAsia" w:ascii="仿宋_GB2312" w:eastAsia="仿宋_GB2312"/>
          <w:sz w:val="32"/>
          <w:szCs w:val="32"/>
          <w:lang w:val="en-US" w:eastAsia="zh-CN"/>
        </w:rPr>
        <w:t>0.54</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年预算下降/持平</w:t>
      </w:r>
      <w:r>
        <w:rPr>
          <w:rFonts w:hint="eastAsia" w:ascii="仿宋_GB2312" w:eastAsia="仿宋_GB2312"/>
          <w:sz w:val="32"/>
          <w:szCs w:val="32"/>
          <w:lang w:val="en-US" w:eastAsia="zh-CN"/>
        </w:rPr>
        <w:t>66.67</w:t>
      </w:r>
      <w:r>
        <w:rPr>
          <w:rFonts w:hint="eastAsia" w:ascii="仿宋_GB2312" w:eastAsia="仿宋_GB2312"/>
          <w:sz w:val="32"/>
          <w:szCs w:val="32"/>
        </w:rPr>
        <w:t>%。</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厉行节约，压缩三公经费。</w:t>
      </w:r>
    </w:p>
    <w:p w14:paraId="7EF8E714">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年公务接待费计划用于执行公务、考察调研、检查指导等公务活动开支。</w:t>
      </w:r>
    </w:p>
    <w:p w14:paraId="44886D1F">
      <w:pPr>
        <w:spacing w:line="620" w:lineRule="exact"/>
        <w:ind w:firstLine="640"/>
        <w:rPr>
          <w:rFonts w:hint="eastAsia" w:ascii="仿宋_GB2312" w:eastAsia="仿宋_GB2312"/>
          <w:b/>
          <w:sz w:val="32"/>
          <w:szCs w:val="32"/>
        </w:rPr>
      </w:pPr>
      <w:r>
        <w:rPr>
          <w:rFonts w:hint="eastAsia" w:ascii="仿宋_GB2312" w:eastAsia="仿宋_GB2312"/>
          <w:sz w:val="32"/>
          <w:szCs w:val="32"/>
        </w:rPr>
        <w:t>（三）公务用车购置及运行维护费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w:t>
      </w:r>
    </w:p>
    <w:p w14:paraId="77736327">
      <w:pPr>
        <w:spacing w:line="620" w:lineRule="exact"/>
        <w:ind w:firstLine="640"/>
        <w:rPr>
          <w:rFonts w:hint="eastAsia" w:ascii="仿宋_GB2312" w:eastAsia="仿宋_GB2312"/>
          <w:sz w:val="32"/>
          <w:szCs w:val="32"/>
        </w:rPr>
      </w:pPr>
      <w:r>
        <w:rPr>
          <w:rFonts w:hint="eastAsia" w:ascii="仿宋_GB2312" w:eastAsia="仿宋_GB2312"/>
          <w:sz w:val="32"/>
          <w:szCs w:val="32"/>
        </w:rPr>
        <w:t>单位现有公务用车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辆，多功能乘用车</w:t>
      </w:r>
      <w:r>
        <w:rPr>
          <w:rFonts w:hint="eastAsia" w:ascii="仿宋_GB2312" w:eastAsia="仿宋_GB2312"/>
          <w:sz w:val="32"/>
          <w:szCs w:val="32"/>
          <w:lang w:val="en-US" w:eastAsia="zh-CN"/>
        </w:rPr>
        <w:t>0</w:t>
      </w:r>
      <w:r>
        <w:rPr>
          <w:rFonts w:hint="eastAsia" w:ascii="仿宋_GB2312" w:eastAsia="仿宋_GB2312"/>
          <w:sz w:val="32"/>
          <w:szCs w:val="32"/>
        </w:rPr>
        <w:t>辆。</w:t>
      </w:r>
    </w:p>
    <w:p w14:paraId="603DA147">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年安排公务用车购置费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w:t>
      </w:r>
    </w:p>
    <w:p w14:paraId="6F8A73A4">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2025</w:t>
      </w:r>
      <w:r>
        <w:rPr>
          <w:rFonts w:hint="eastAsia" w:ascii="仿宋_GB2312" w:eastAsia="仿宋_GB2312"/>
          <w:sz w:val="32"/>
          <w:szCs w:val="32"/>
        </w:rPr>
        <w:t>年预算持平，用于</w:t>
      </w:r>
      <w:r>
        <w:rPr>
          <w:rFonts w:hint="eastAsia" w:ascii="仿宋_GB2312" w:eastAsia="仿宋_GB2312"/>
          <w:sz w:val="32"/>
          <w:szCs w:val="32"/>
          <w:lang w:val="en-US" w:eastAsia="zh-CN"/>
        </w:rPr>
        <w:t>0</w:t>
      </w:r>
      <w:r>
        <w:rPr>
          <w:rFonts w:hint="eastAsia" w:ascii="仿宋_GB2312" w:eastAsia="仿宋_GB2312"/>
          <w:sz w:val="32"/>
          <w:szCs w:val="32"/>
        </w:rPr>
        <w:t>辆公务用车（燃油、维修、保险）等方面支出。</w:t>
      </w:r>
    </w:p>
    <w:p w14:paraId="6C14AAF4">
      <w:pPr>
        <w:spacing w:line="580" w:lineRule="exact"/>
        <w:ind w:firstLine="640" w:firstLineChars="200"/>
        <w:outlineLvl w:val="0"/>
        <w:rPr>
          <w:rFonts w:hint="eastAsia" w:ascii="黑体" w:eastAsia="黑体"/>
          <w:sz w:val="32"/>
          <w:szCs w:val="32"/>
        </w:rPr>
      </w:pPr>
      <w:bookmarkStart w:id="14" w:name="_Toc10741"/>
      <w:r>
        <w:rPr>
          <w:rFonts w:hint="eastAsia" w:ascii="黑体" w:eastAsia="黑体"/>
          <w:sz w:val="32"/>
          <w:szCs w:val="32"/>
        </w:rPr>
        <w:t>八、政府性基金预算支出情况说明</w:t>
      </w:r>
      <w:bookmarkEnd w:id="14"/>
      <w:r>
        <w:rPr>
          <w:rFonts w:hint="eastAsia" w:ascii="黑体" w:eastAsia="黑体"/>
          <w:sz w:val="32"/>
          <w:szCs w:val="32"/>
        </w:rPr>
        <w:t>　</w:t>
      </w:r>
    </w:p>
    <w:p w14:paraId="06D33E22">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 中国共产党自贡市沿滩区委员会组织部单位</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年使用政府性基金预算拨款安排</w:t>
      </w:r>
      <w:r>
        <w:rPr>
          <w:rFonts w:hint="eastAsia" w:ascii="仿宋_GB2312" w:eastAsia="仿宋_GB2312"/>
          <w:sz w:val="32"/>
          <w:szCs w:val="32"/>
          <w:lang w:val="en-US" w:eastAsia="zh-CN"/>
        </w:rPr>
        <w:t>0.00</w:t>
      </w:r>
      <w:r>
        <w:rPr>
          <w:rFonts w:hint="eastAsia" w:ascii="仿宋_GB2312" w:eastAsia="仿宋_GB2312"/>
          <w:sz w:val="32"/>
          <w:szCs w:val="32"/>
        </w:rPr>
        <w:t>万元</w:t>
      </w:r>
      <w:r>
        <w:rPr>
          <w:rFonts w:hint="eastAsia" w:ascii="仿宋_GB2312" w:eastAsia="仿宋_GB2312"/>
          <w:color w:val="333333"/>
          <w:sz w:val="32"/>
          <w:szCs w:val="32"/>
        </w:rPr>
        <w:t>。</w:t>
      </w:r>
    </w:p>
    <w:p w14:paraId="1493266C">
      <w:pPr>
        <w:spacing w:line="580" w:lineRule="exact"/>
        <w:ind w:firstLine="640" w:firstLineChars="200"/>
        <w:outlineLvl w:val="0"/>
        <w:rPr>
          <w:rFonts w:hint="eastAsia" w:ascii="黑体" w:eastAsia="黑体"/>
          <w:sz w:val="32"/>
          <w:szCs w:val="32"/>
        </w:rPr>
      </w:pPr>
      <w:bookmarkStart w:id="15" w:name="_Toc20844"/>
      <w:r>
        <w:rPr>
          <w:rFonts w:hint="eastAsia" w:ascii="黑体" w:eastAsia="黑体"/>
          <w:sz w:val="32"/>
          <w:szCs w:val="32"/>
        </w:rPr>
        <w:t>九、国有资本经营预算支出情况说明</w:t>
      </w:r>
      <w:bookmarkEnd w:id="15"/>
    </w:p>
    <w:p w14:paraId="01CA14A5">
      <w:pPr>
        <w:rPr>
          <w:rFonts w:hint="eastAsia" w:ascii="仿宋_GB2312" w:eastAsia="仿宋_GB2312"/>
          <w:color w:val="333333"/>
          <w:sz w:val="28"/>
          <w:szCs w:val="28"/>
        </w:rPr>
      </w:pPr>
      <w:r>
        <w:rPr>
          <w:rFonts w:hint="eastAsia" w:ascii="仿宋_GB2312" w:eastAsia="仿宋_GB2312"/>
          <w:color w:val="333333"/>
          <w:sz w:val="32"/>
          <w:szCs w:val="32"/>
        </w:rPr>
        <w:t>　　</w:t>
      </w:r>
      <w:r>
        <w:rPr>
          <w:rFonts w:hint="eastAsia" w:ascii="仿宋_GB2312" w:eastAsia="仿宋_GB2312"/>
          <w:sz w:val="32"/>
          <w:szCs w:val="32"/>
          <w:lang w:eastAsia="zh-CN"/>
        </w:rPr>
        <w:t> 中国共产党自贡市沿滩区委员会组织部单位</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年没有使用国有资本经营预算拨款安排的支出。</w:t>
      </w:r>
    </w:p>
    <w:p w14:paraId="09B53EEB">
      <w:pPr>
        <w:spacing w:line="580" w:lineRule="exact"/>
        <w:ind w:firstLine="640" w:firstLineChars="200"/>
        <w:outlineLvl w:val="0"/>
        <w:rPr>
          <w:rFonts w:hint="eastAsia" w:ascii="黑体" w:eastAsia="黑体"/>
          <w:sz w:val="32"/>
          <w:szCs w:val="32"/>
        </w:rPr>
      </w:pPr>
      <w:bookmarkStart w:id="16" w:name="_Toc18386"/>
      <w:r>
        <w:rPr>
          <w:rFonts w:hint="eastAsia" w:ascii="黑体" w:eastAsia="黑体"/>
          <w:sz w:val="32"/>
          <w:szCs w:val="32"/>
        </w:rPr>
        <w:t>十、其他重要事项的情况说明</w:t>
      </w:r>
      <w:bookmarkEnd w:id="16"/>
    </w:p>
    <w:p w14:paraId="6AA8543E">
      <w:pPr>
        <w:spacing w:line="620" w:lineRule="exact"/>
        <w:ind w:firstLine="640"/>
        <w:outlineLvl w:val="1"/>
        <w:rPr>
          <w:rFonts w:hint="eastAsia" w:ascii="仿宋_GB2312" w:eastAsia="仿宋_GB2312"/>
          <w:sz w:val="32"/>
          <w:szCs w:val="32"/>
        </w:rPr>
      </w:pPr>
      <w:bookmarkStart w:id="17" w:name="_Toc7338"/>
      <w:r>
        <w:rPr>
          <w:rFonts w:hint="eastAsia" w:ascii="仿宋_GB2312" w:eastAsia="仿宋_GB2312"/>
          <w:sz w:val="32"/>
          <w:szCs w:val="32"/>
        </w:rPr>
        <w:t>（一）机关运行经费情况</w:t>
      </w:r>
      <w:bookmarkEnd w:id="17"/>
    </w:p>
    <w:p w14:paraId="3DFD7628">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 中国共产党自贡市沿滩区委员会组织部单位</w:t>
      </w:r>
      <w:r>
        <w:rPr>
          <w:rFonts w:hint="eastAsia" w:ascii="仿宋_GB2312" w:eastAsia="仿宋_GB2312"/>
          <w:sz w:val="32"/>
          <w:szCs w:val="32"/>
        </w:rPr>
        <w:t>履行一般行政管理职能、维持机关日常运转而开支的机关运行经费财政拨款预算为</w:t>
      </w:r>
      <w:r>
        <w:rPr>
          <w:rFonts w:hint="eastAsia" w:ascii="仿宋_GB2312" w:eastAsia="仿宋_GB2312"/>
          <w:sz w:val="32"/>
          <w:szCs w:val="32"/>
          <w:lang w:val="en-US" w:eastAsia="zh-CN"/>
        </w:rPr>
        <w:t>139.56</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年预算增加</w:t>
      </w:r>
      <w:r>
        <w:rPr>
          <w:rFonts w:hint="eastAsia" w:ascii="仿宋_GB2312" w:eastAsia="仿宋_GB2312"/>
          <w:sz w:val="32"/>
          <w:szCs w:val="32"/>
          <w:lang w:val="en-US" w:eastAsia="zh-CN"/>
        </w:rPr>
        <w:t>49.7</w:t>
      </w:r>
      <w:r>
        <w:rPr>
          <w:rFonts w:hint="eastAsia" w:ascii="仿宋_GB2312" w:eastAsia="仿宋_GB2312"/>
          <w:sz w:val="32"/>
          <w:szCs w:val="32"/>
        </w:rPr>
        <w:t>万元，增长</w:t>
      </w:r>
      <w:r>
        <w:rPr>
          <w:rFonts w:hint="eastAsia" w:ascii="仿宋_GB2312" w:eastAsia="仿宋_GB2312"/>
          <w:sz w:val="32"/>
          <w:szCs w:val="32"/>
          <w:lang w:val="en-US" w:eastAsia="zh-CN"/>
        </w:rPr>
        <w:t>36.65</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主要原因为：人员增加导致机关运行经费增加</w:t>
      </w:r>
      <w:r>
        <w:rPr>
          <w:rFonts w:hint="eastAsia" w:ascii="仿宋_GB2312" w:eastAsia="仿宋_GB2312"/>
          <w:sz w:val="32"/>
          <w:szCs w:val="32"/>
          <w:highlight w:val="none"/>
        </w:rPr>
        <w:t>。</w:t>
      </w:r>
    </w:p>
    <w:p w14:paraId="5B2F1399">
      <w:pPr>
        <w:spacing w:line="620" w:lineRule="exact"/>
        <w:ind w:firstLine="640"/>
        <w:outlineLvl w:val="1"/>
        <w:rPr>
          <w:rFonts w:hint="eastAsia" w:ascii="仿宋_GB2312" w:eastAsia="仿宋_GB2312"/>
          <w:sz w:val="32"/>
          <w:szCs w:val="32"/>
        </w:rPr>
      </w:pPr>
      <w:bookmarkStart w:id="18" w:name="_Toc15029"/>
      <w:r>
        <w:rPr>
          <w:rFonts w:hint="eastAsia" w:ascii="仿宋_GB2312" w:eastAsia="仿宋_GB2312"/>
          <w:sz w:val="32"/>
          <w:szCs w:val="32"/>
        </w:rPr>
        <w:t>（二）政府采购情况</w:t>
      </w:r>
      <w:bookmarkEnd w:id="18"/>
    </w:p>
    <w:p w14:paraId="60613BE1">
      <w:pPr>
        <w:ind w:firstLine="57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 中国共产党自贡市沿滩区委员会组织部单位</w:t>
      </w:r>
      <w:r>
        <w:rPr>
          <w:rFonts w:hint="eastAsia" w:ascii="仿宋_GB2312" w:eastAsia="仿宋_GB2312"/>
          <w:sz w:val="32"/>
          <w:szCs w:val="32"/>
        </w:rPr>
        <w:t>安排政府采购预算</w:t>
      </w:r>
      <w:r>
        <w:rPr>
          <w:rFonts w:hint="eastAsia" w:ascii="仿宋_GB2312" w:eastAsia="仿宋_GB2312"/>
          <w:sz w:val="32"/>
          <w:szCs w:val="32"/>
          <w:lang w:val="en-US" w:eastAsia="zh-CN"/>
        </w:rPr>
        <w:t>0.00</w:t>
      </w:r>
      <w:r>
        <w:rPr>
          <w:rFonts w:hint="eastAsia" w:ascii="仿宋_GB2312" w:eastAsia="仿宋_GB2312"/>
          <w:sz w:val="32"/>
          <w:szCs w:val="32"/>
        </w:rPr>
        <w:t>万元，主要用于采购办公设备</w:t>
      </w:r>
      <w:r>
        <w:rPr>
          <w:rFonts w:hint="eastAsia" w:ascii="仿宋_GB2312" w:eastAsia="仿宋_GB2312"/>
          <w:sz w:val="32"/>
          <w:szCs w:val="32"/>
          <w:lang w:val="en-US" w:eastAsia="zh-CN"/>
        </w:rPr>
        <w:t>0.00</w:t>
      </w:r>
      <w:r>
        <w:rPr>
          <w:rFonts w:hint="eastAsia" w:ascii="仿宋_GB2312" w:eastAsia="仿宋_GB2312"/>
          <w:sz w:val="32"/>
          <w:szCs w:val="32"/>
        </w:rPr>
        <w:t>万元、公车运行维护</w:t>
      </w:r>
      <w:r>
        <w:rPr>
          <w:rFonts w:hint="eastAsia" w:ascii="仿宋_GB2312" w:eastAsia="仿宋_GB2312"/>
          <w:sz w:val="32"/>
          <w:szCs w:val="32"/>
          <w:lang w:val="en-US" w:eastAsia="zh-CN"/>
        </w:rPr>
        <w:t>0.00</w:t>
      </w:r>
      <w:r>
        <w:rPr>
          <w:rFonts w:hint="eastAsia" w:ascii="仿宋_GB2312" w:eastAsia="仿宋_GB2312"/>
          <w:sz w:val="32"/>
          <w:szCs w:val="32"/>
        </w:rPr>
        <w:t>万元、物业管理服务</w:t>
      </w:r>
      <w:r>
        <w:rPr>
          <w:rFonts w:hint="eastAsia" w:ascii="仿宋_GB2312" w:eastAsia="仿宋_GB2312"/>
          <w:sz w:val="32"/>
          <w:szCs w:val="32"/>
          <w:lang w:val="en-US" w:eastAsia="zh-CN"/>
        </w:rPr>
        <w:t>0.00</w:t>
      </w:r>
      <w:r>
        <w:rPr>
          <w:rFonts w:hint="eastAsia" w:ascii="仿宋_GB2312" w:eastAsia="仿宋_GB2312"/>
          <w:sz w:val="32"/>
          <w:szCs w:val="32"/>
        </w:rPr>
        <w:t>万元等。</w:t>
      </w:r>
    </w:p>
    <w:p w14:paraId="3383BC41">
      <w:pPr>
        <w:spacing w:line="620" w:lineRule="exact"/>
        <w:ind w:firstLine="640"/>
        <w:outlineLvl w:val="1"/>
        <w:rPr>
          <w:rFonts w:hint="eastAsia" w:ascii="仿宋_GB2312" w:eastAsia="仿宋_GB2312"/>
          <w:sz w:val="32"/>
          <w:szCs w:val="32"/>
        </w:rPr>
      </w:pPr>
      <w:bookmarkStart w:id="19" w:name="_Toc31945"/>
      <w:r>
        <w:rPr>
          <w:rFonts w:hint="eastAsia" w:ascii="仿宋_GB2312" w:eastAsia="仿宋_GB2312"/>
          <w:sz w:val="32"/>
          <w:szCs w:val="32"/>
        </w:rPr>
        <w:t>（三）国有资产占有使用情况</w:t>
      </w:r>
      <w:bookmarkEnd w:id="19"/>
    </w:p>
    <w:p w14:paraId="3609468C">
      <w:pPr>
        <w:autoSpaceDE w:val="0"/>
        <w:autoSpaceDN w:val="0"/>
        <w:adjustRightInd w:val="0"/>
        <w:jc w:val="left"/>
        <w:rPr>
          <w:rFonts w:hint="eastAsia" w:ascii="仿宋_GB2312" w:eastAsia="仿宋_GB2312"/>
          <w:sz w:val="32"/>
          <w:szCs w:val="32"/>
        </w:rPr>
      </w:pPr>
      <w:r>
        <w:rPr>
          <w:rFonts w:hint="eastAsia" w:ascii="仿宋_GB2312" w:eastAsia="仿宋_GB2312"/>
          <w:sz w:val="28"/>
          <w:szCs w:val="28"/>
        </w:rPr>
        <w:t>　　</w:t>
      </w:r>
      <w:r>
        <w:rPr>
          <w:rFonts w:hint="eastAsia" w:ascii="仿宋_GB2312" w:eastAsia="仿宋_GB2312"/>
          <w:sz w:val="32"/>
          <w:szCs w:val="32"/>
        </w:rPr>
        <w:t>截至</w:t>
      </w:r>
      <w:r>
        <w:rPr>
          <w:rFonts w:hint="eastAsia" w:ascii="仿宋_GB2312" w:eastAsia="仿宋_GB2312"/>
          <w:sz w:val="32"/>
          <w:szCs w:val="32"/>
          <w:lang w:eastAsia="zh-CN"/>
        </w:rPr>
        <w:t>2025</w:t>
      </w:r>
      <w:r>
        <w:rPr>
          <w:rFonts w:hint="eastAsia" w:ascii="仿宋_GB2312" w:eastAsia="仿宋_GB2312"/>
          <w:sz w:val="32"/>
          <w:szCs w:val="32"/>
        </w:rPr>
        <w:t>年底，</w:t>
      </w:r>
      <w:r>
        <w:rPr>
          <w:rFonts w:hint="eastAsia" w:ascii="仿宋_GB2312" w:eastAsia="仿宋_GB2312"/>
          <w:sz w:val="32"/>
          <w:szCs w:val="32"/>
          <w:lang w:eastAsia="zh-CN"/>
        </w:rPr>
        <w:t> 中国共产党自贡市沿滩区委员会组织部单位</w:t>
      </w:r>
      <w:r>
        <w:rPr>
          <w:rFonts w:hint="eastAsia" w:ascii="仿宋_GB2312" w:eastAsia="仿宋_GB2312"/>
          <w:sz w:val="32"/>
          <w:szCs w:val="32"/>
        </w:rPr>
        <w:t>所属各预算单位共有车辆</w:t>
      </w:r>
      <w:r>
        <w:rPr>
          <w:rFonts w:hint="eastAsia" w:ascii="仿宋_GB2312" w:eastAsia="仿宋_GB2312"/>
          <w:sz w:val="32"/>
          <w:szCs w:val="32"/>
          <w:lang w:val="en-US" w:eastAsia="zh-CN"/>
        </w:rPr>
        <w:t>0</w:t>
      </w:r>
      <w:r>
        <w:rPr>
          <w:rFonts w:hint="eastAsia" w:ascii="仿宋_GB2312" w:eastAsia="仿宋_GB2312"/>
          <w:sz w:val="32"/>
          <w:szCs w:val="32"/>
        </w:rPr>
        <w:t>辆，其中，一般公务用车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14:paraId="1C88390C">
      <w:pPr>
        <w:autoSpaceDE w:val="0"/>
        <w:autoSpaceDN w:val="0"/>
        <w:adjustRightInd w:val="0"/>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单位</w:t>
      </w:r>
      <w:r>
        <w:rPr>
          <w:rFonts w:hint="eastAsia" w:ascii="仿宋_GB2312" w:eastAsia="仿宋_GB2312"/>
          <w:sz w:val="32"/>
          <w:szCs w:val="32"/>
        </w:rPr>
        <w:t>预算安排购置一般公务用车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14:paraId="387E3984">
      <w:pPr>
        <w:spacing w:line="620" w:lineRule="exact"/>
        <w:ind w:firstLine="640"/>
        <w:outlineLvl w:val="1"/>
        <w:rPr>
          <w:rFonts w:hint="eastAsia" w:ascii="仿宋_GB2312" w:eastAsia="仿宋_GB2312"/>
          <w:sz w:val="32"/>
          <w:szCs w:val="32"/>
        </w:rPr>
      </w:pPr>
      <w:bookmarkStart w:id="20" w:name="_Toc19488"/>
      <w:r>
        <w:rPr>
          <w:rFonts w:hint="eastAsia" w:ascii="仿宋_GB2312" w:eastAsia="仿宋_GB2312"/>
          <w:sz w:val="32"/>
          <w:szCs w:val="32"/>
        </w:rPr>
        <w:t>（四）绩效目标设置情况</w:t>
      </w:r>
      <w:bookmarkEnd w:id="20"/>
    </w:p>
    <w:p w14:paraId="1068D749">
      <w:pPr>
        <w:ind w:firstLine="570"/>
        <w:rPr>
          <w:rFonts w:ascii="仿宋_GB2312" w:eastAsia="仿宋_GB2312"/>
          <w:sz w:val="32"/>
          <w:szCs w:val="32"/>
        </w:rPr>
      </w:pPr>
      <w:r>
        <w:rPr>
          <w:rFonts w:hint="eastAsia" w:ascii="仿宋_GB2312" w:eastAsia="仿宋_GB2312"/>
          <w:sz w:val="32"/>
          <w:szCs w:val="32"/>
        </w:rPr>
        <w:t>绩效目标是预算编制的前提和基础，按照“费随事定”的原则，</w:t>
      </w:r>
      <w:r>
        <w:rPr>
          <w:rFonts w:hint="eastAsia" w:ascii="仿宋_GB2312" w:eastAsia="仿宋_GB2312"/>
          <w:sz w:val="32"/>
          <w:szCs w:val="32"/>
          <w:lang w:eastAsia="zh-CN"/>
        </w:rPr>
        <w:t>2026</w:t>
      </w:r>
      <w:r>
        <w:rPr>
          <w:rFonts w:hint="eastAsia" w:ascii="仿宋_GB2312" w:eastAsia="仿宋_GB2312"/>
          <w:sz w:val="32"/>
          <w:szCs w:val="32"/>
        </w:rPr>
        <w:t>年 中国共产党自贡市沿滩区委员会组织部</w:t>
      </w:r>
      <w:r>
        <w:rPr>
          <w:rFonts w:hint="eastAsia" w:ascii="仿宋_GB2312" w:eastAsia="仿宋_GB2312"/>
          <w:sz w:val="32"/>
          <w:szCs w:val="32"/>
          <w:lang w:eastAsia="zh-CN"/>
        </w:rPr>
        <w:t>单位</w:t>
      </w:r>
      <w:r>
        <w:rPr>
          <w:rFonts w:hint="eastAsia" w:ascii="仿宋_GB2312" w:eastAsia="仿宋_GB2312"/>
          <w:sz w:val="32"/>
          <w:szCs w:val="32"/>
        </w:rPr>
        <w:t>所有专项项目均按要求编制了绩效目标,从项目完成、项目效益、满意度等方面设置了绩效指标，综合反映项目预期完成的数量、成本、时效、质量，预期达到的社会效益、经济效益、生态效益、可持续影响以及服务对象满意度等情况。</w:t>
      </w:r>
    </w:p>
    <w:p w14:paraId="0BDBEB38">
      <w:pPr>
        <w:ind w:firstLine="570"/>
        <w:rPr>
          <w:rFonts w:hint="eastAsia" w:ascii="楷体_GB2312" w:eastAsia="楷体_GB2312"/>
          <w:b/>
          <w:bCs/>
          <w:color w:val="333333"/>
          <w:sz w:val="28"/>
          <w:szCs w:val="28"/>
        </w:rPr>
      </w:pPr>
      <w:r>
        <w:rPr>
          <w:rFonts w:hint="eastAsia" w:ascii="仿宋_GB2312" w:eastAsia="仿宋_GB2312"/>
          <w:sz w:val="32"/>
          <w:szCs w:val="32"/>
          <w:lang w:val="en-US" w:eastAsia="zh-CN"/>
        </w:rPr>
        <w:t> </w:t>
      </w:r>
      <w:r>
        <w:rPr>
          <w:rFonts w:hint="eastAsia" w:ascii="仿宋_GB2312" w:eastAsia="仿宋_GB2312"/>
          <w:sz w:val="32"/>
          <w:szCs w:val="32"/>
          <w:lang w:eastAsia="zh-CN"/>
        </w:rPr>
        <w:t>沿滩区委员会组织部</w:t>
      </w:r>
      <w:r>
        <w:rPr>
          <w:rFonts w:hint="eastAsia" w:ascii="仿宋_GB2312" w:eastAsia="仿宋_GB2312"/>
          <w:sz w:val="32"/>
          <w:szCs w:val="32"/>
        </w:rPr>
        <w:t>部门</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年度部门预算</w:t>
      </w:r>
      <w:r>
        <w:rPr>
          <w:rFonts w:hint="eastAsia" w:ascii="仿宋_GB2312" w:eastAsia="仿宋_GB2312"/>
          <w:sz w:val="32"/>
          <w:szCs w:val="32"/>
          <w:lang w:val="en-US" w:eastAsia="zh-CN"/>
        </w:rPr>
        <w:t>重点项目绩效目标情况：</w:t>
      </w:r>
      <w:r>
        <w:rPr>
          <w:rFonts w:hint="eastAsia" w:ascii="仿宋_GB2312" w:eastAsia="仿宋_GB2312"/>
          <w:color w:val="auto"/>
          <w:sz w:val="32"/>
          <w:szCs w:val="32"/>
          <w:lang w:val="en-US" w:eastAsia="zh-CN"/>
        </w:rPr>
        <w:t>安排基层党组织建设项目500万元，用于基层党组织活动阵地建设、基层党建工作等；安排人才工作项目320万元，用于高端人才招引、专家人才服务保障等工作；安排区管离退休干部管理服务项目88万元，用于落实区管离退休干部各项待遇、优化离退休干部服务保障</w:t>
      </w:r>
      <w:r>
        <w:rPr>
          <w:rFonts w:hint="eastAsia" w:ascii="仿宋_GB2312" w:eastAsia="仿宋_GB2312"/>
          <w:sz w:val="32"/>
          <w:szCs w:val="32"/>
        </w:rPr>
        <w:t>。</w:t>
      </w:r>
      <w:bookmarkStart w:id="23" w:name="_GoBack"/>
      <w:bookmarkEnd w:id="23"/>
    </w:p>
    <w:p w14:paraId="00DCE78C">
      <w:pPr>
        <w:spacing w:line="580" w:lineRule="exact"/>
        <w:ind w:firstLine="640" w:firstLineChars="200"/>
        <w:outlineLvl w:val="0"/>
        <w:rPr>
          <w:rFonts w:hint="eastAsia" w:ascii="黑体" w:eastAsia="黑体"/>
          <w:sz w:val="32"/>
          <w:szCs w:val="32"/>
        </w:rPr>
      </w:pPr>
      <w:bookmarkStart w:id="21" w:name="_Toc7895"/>
      <w:r>
        <w:rPr>
          <w:rFonts w:hint="eastAsia" w:ascii="黑体" w:eastAsia="黑体"/>
          <w:sz w:val="32"/>
          <w:szCs w:val="32"/>
        </w:rPr>
        <w:t>十一、名词解释</w:t>
      </w:r>
      <w:bookmarkEnd w:id="21"/>
    </w:p>
    <w:p w14:paraId="5C425F3E">
      <w:pPr>
        <w:spacing w:line="620" w:lineRule="exact"/>
        <w:ind w:firstLine="729" w:firstLineChars="228"/>
        <w:rPr>
          <w:rFonts w:hint="eastAsia" w:ascii="仿宋_GB2312" w:eastAsia="仿宋_GB2312"/>
          <w:color w:val="000000"/>
          <w:sz w:val="32"/>
          <w:szCs w:val="32"/>
        </w:rPr>
      </w:pPr>
      <w:r>
        <w:rPr>
          <w:rFonts w:hint="eastAsia" w:ascii="仿宋_GB2312" w:eastAsia="仿宋_GB2312"/>
          <w:color w:val="000000"/>
          <w:sz w:val="32"/>
          <w:szCs w:val="32"/>
        </w:rPr>
        <w:t>1.一般公共预算拨款收入：指市级财政当年拨付的资金。</w:t>
      </w:r>
    </w:p>
    <w:p w14:paraId="456CB574">
      <w:pPr>
        <w:spacing w:line="620" w:lineRule="exact"/>
        <w:ind w:firstLine="729" w:firstLineChars="228"/>
        <w:rPr>
          <w:rFonts w:hint="eastAsia" w:ascii="仿宋_GB2312" w:eastAsia="仿宋_GB2312"/>
          <w:color w:val="000000"/>
          <w:sz w:val="32"/>
          <w:szCs w:val="32"/>
        </w:rPr>
      </w:pPr>
      <w:r>
        <w:rPr>
          <w:rFonts w:hint="eastAsia" w:ascii="仿宋_GB2312" w:eastAsia="仿宋_GB2312"/>
          <w:color w:val="000000"/>
          <w:sz w:val="32"/>
          <w:szCs w:val="32"/>
        </w:rPr>
        <w:t>2.事业收入：指事业单位开展专业业务活动及辅助活动所取得的收入。</w:t>
      </w:r>
    </w:p>
    <w:p w14:paraId="50650DF1">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3.上年结转：指以前年度尚未完成，结转到本年仍按原规定用途继续使用的资金。</w:t>
      </w:r>
    </w:p>
    <w:p w14:paraId="2C312F02">
      <w:pPr>
        <w:spacing w:line="620" w:lineRule="exact"/>
        <w:ind w:firstLine="645"/>
        <w:rPr>
          <w:rFonts w:hint="eastAsia" w:ascii="仿宋_GB2312" w:eastAsia="仿宋_GB2312"/>
          <w:sz w:val="32"/>
          <w:szCs w:val="32"/>
        </w:rPr>
      </w:pPr>
      <w:r>
        <w:rPr>
          <w:rFonts w:hint="eastAsia" w:ascii="仿宋_GB2312" w:eastAsia="仿宋_GB2312"/>
          <w:color w:val="000000"/>
          <w:sz w:val="32"/>
          <w:szCs w:val="32"/>
        </w:rPr>
        <w:t>4.</w:t>
      </w:r>
      <w:r>
        <w:rPr>
          <w:rFonts w:hint="eastAsia" w:ascii="仿宋_GB2312" w:eastAsia="仿宋_GB2312"/>
          <w:color w:val="333333"/>
          <w:sz w:val="32"/>
          <w:szCs w:val="32"/>
        </w:rPr>
        <w:t>一般公共服务（类）</w:t>
      </w:r>
      <w:r>
        <w:rPr>
          <w:rFonts w:hint="eastAsia" w:ascii="仿宋_GB2312" w:eastAsia="仿宋_GB2312"/>
          <w:sz w:val="32"/>
          <w:szCs w:val="32"/>
          <w:lang w:eastAsia="zh-CN"/>
        </w:rPr>
        <w:t>组织事务</w:t>
      </w:r>
      <w:r>
        <w:rPr>
          <w:rFonts w:hint="eastAsia" w:ascii="仿宋_GB2312" w:eastAsia="仿宋_GB2312"/>
          <w:color w:val="333333"/>
          <w:sz w:val="32"/>
          <w:szCs w:val="32"/>
        </w:rPr>
        <w:t>（款）</w:t>
      </w:r>
      <w:r>
        <w:rPr>
          <w:rFonts w:hint="eastAsia" w:ascii="仿宋_GB2312" w:eastAsia="仿宋_GB2312"/>
          <w:sz w:val="32"/>
          <w:szCs w:val="32"/>
        </w:rPr>
        <w:t>行政运行</w:t>
      </w:r>
      <w:r>
        <w:rPr>
          <w:rFonts w:hint="eastAsia" w:ascii="仿宋_GB2312" w:eastAsia="仿宋_GB2312"/>
          <w:color w:val="333333"/>
          <w:sz w:val="32"/>
          <w:szCs w:val="32"/>
        </w:rPr>
        <w:t>（项）：指</w:t>
      </w:r>
      <w:r>
        <w:rPr>
          <w:rFonts w:hint="eastAsia" w:ascii="仿宋_GB2312" w:eastAsia="仿宋_GB2312"/>
          <w:color w:val="000000"/>
          <w:sz w:val="32"/>
          <w:szCs w:val="32"/>
        </w:rPr>
        <w:t>行政单位及参照公务员法管理的事业单位用于保障机构正常运行、开展日常工作的基本支出</w:t>
      </w:r>
      <w:r>
        <w:rPr>
          <w:rFonts w:hint="eastAsia" w:ascii="仿宋_GB2312" w:eastAsia="仿宋_GB2312"/>
          <w:sz w:val="32"/>
          <w:szCs w:val="32"/>
        </w:rPr>
        <w:t>。</w:t>
      </w:r>
    </w:p>
    <w:p w14:paraId="4E0EA42C">
      <w:pPr>
        <w:spacing w:line="620" w:lineRule="exact"/>
        <w:ind w:firstLine="645"/>
        <w:rPr>
          <w:rFonts w:hint="eastAsia" w:ascii="仿宋_GB2312" w:eastAsia="仿宋_GB2312"/>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333333"/>
          <w:sz w:val="32"/>
          <w:szCs w:val="32"/>
        </w:rPr>
        <w:t>一般公共服务（类）</w:t>
      </w:r>
      <w:r>
        <w:rPr>
          <w:rFonts w:hint="eastAsia" w:ascii="仿宋_GB2312" w:eastAsia="仿宋_GB2312"/>
          <w:sz w:val="32"/>
          <w:szCs w:val="32"/>
          <w:lang w:eastAsia="zh-CN"/>
        </w:rPr>
        <w:t>组织事务</w:t>
      </w:r>
      <w:r>
        <w:rPr>
          <w:rFonts w:hint="eastAsia" w:ascii="仿宋_GB2312" w:eastAsia="仿宋_GB2312"/>
          <w:color w:val="333333"/>
          <w:sz w:val="32"/>
          <w:szCs w:val="32"/>
        </w:rPr>
        <w:t>（款）</w:t>
      </w:r>
      <w:r>
        <w:rPr>
          <w:rFonts w:hint="eastAsia" w:ascii="仿宋_GB2312" w:eastAsia="仿宋_GB2312"/>
          <w:color w:val="333333"/>
          <w:sz w:val="32"/>
          <w:szCs w:val="32"/>
          <w:lang w:eastAsia="zh-CN"/>
        </w:rPr>
        <w:t>事业</w:t>
      </w:r>
      <w:r>
        <w:rPr>
          <w:rFonts w:hint="eastAsia" w:ascii="仿宋_GB2312" w:eastAsia="仿宋_GB2312"/>
          <w:sz w:val="32"/>
          <w:szCs w:val="32"/>
        </w:rPr>
        <w:t>运行</w:t>
      </w:r>
      <w:r>
        <w:rPr>
          <w:rFonts w:hint="eastAsia" w:ascii="仿宋_GB2312" w:eastAsia="仿宋_GB2312"/>
          <w:color w:val="333333"/>
          <w:sz w:val="32"/>
          <w:szCs w:val="32"/>
        </w:rPr>
        <w:t>（项）：指</w:t>
      </w:r>
      <w:r>
        <w:rPr>
          <w:rFonts w:hint="eastAsia" w:ascii="仿宋_GB2312" w:eastAsia="仿宋_GB2312"/>
          <w:color w:val="000000"/>
          <w:sz w:val="32"/>
          <w:szCs w:val="32"/>
        </w:rPr>
        <w:t>行政单位及参照公务员法管理的事业单位用于保障机构正常运行、开展日常工作的基本支出</w:t>
      </w:r>
      <w:r>
        <w:rPr>
          <w:rFonts w:hint="eastAsia" w:ascii="仿宋_GB2312" w:eastAsia="仿宋_GB2312"/>
          <w:sz w:val="32"/>
          <w:szCs w:val="32"/>
        </w:rPr>
        <w:t>。</w:t>
      </w:r>
    </w:p>
    <w:p w14:paraId="20A43E22">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hAnsi="Times New Roman" w:eastAsia="仿宋_GB2312" w:cs="Times New Roman"/>
          <w:kern w:val="2"/>
          <w:sz w:val="32"/>
          <w:szCs w:val="32"/>
          <w:lang w:val="en-US" w:eastAsia="zh-CN" w:bidi="ar-SA"/>
        </w:rPr>
        <w:t>社会保障和就业（类）行政事业单位养老支出（款）机关事业单位基本养老保险缴费支出（项）：指机关单位实施养老保险制度由单位缴纳的基本养老保险支出</w:t>
      </w:r>
      <w:r>
        <w:rPr>
          <w:rFonts w:hint="eastAsia" w:ascii="仿宋_GB2312" w:eastAsia="仿宋_GB2312"/>
          <w:color w:val="000000"/>
          <w:sz w:val="32"/>
          <w:szCs w:val="32"/>
        </w:rPr>
        <w:t>。</w:t>
      </w:r>
    </w:p>
    <w:p w14:paraId="0F0D40B7">
      <w:pPr>
        <w:pStyle w:val="2"/>
        <w:ind w:left="0" w:leftChars="0" w:firstLine="640" w:firstLineChars="200"/>
        <w:rPr>
          <w:rFonts w:hint="eastAsia"/>
        </w:rPr>
      </w:pPr>
      <w:r>
        <w:rPr>
          <w:rFonts w:hint="eastAsia" w:ascii="仿宋_GB2312" w:hAnsi="Times New Roman" w:eastAsia="仿宋_GB2312" w:cs="Times New Roman"/>
          <w:kern w:val="2"/>
          <w:sz w:val="32"/>
          <w:szCs w:val="32"/>
          <w:lang w:val="en-US" w:eastAsia="zh-CN" w:bidi="ar-SA"/>
        </w:rPr>
        <w:t>7.社会保障和就业（类）其他社会保障和就业支出（款）其他社会保障和就业支出（项）：指单位缴纳职工工伤及失业保险支出。</w:t>
      </w:r>
    </w:p>
    <w:p w14:paraId="6D3E1AE4">
      <w:pPr>
        <w:spacing w:line="580" w:lineRule="exact"/>
        <w:ind w:firstLine="570"/>
        <w:rPr>
          <w:rFonts w:hint="eastAsia" w:ascii="仿宋_GB2312" w:hAnsi="Times New Roman" w:eastAsia="仿宋_GB2312" w:cs="Times New Roman"/>
          <w:kern w:val="2"/>
          <w:sz w:val="32"/>
          <w:szCs w:val="32"/>
          <w:lang w:val="en-US" w:eastAsia="zh-CN" w:bidi="ar-SA"/>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w:t>
      </w:r>
      <w:r>
        <w:rPr>
          <w:rFonts w:hint="eastAsia" w:ascii="仿宋_GB2312" w:hAnsi="Times New Roman" w:eastAsia="仿宋_GB2312" w:cs="Times New Roman"/>
          <w:kern w:val="2"/>
          <w:sz w:val="32"/>
          <w:szCs w:val="32"/>
          <w:lang w:val="en-US" w:eastAsia="zh-CN" w:bidi="ar-SA"/>
        </w:rPr>
        <w:t>卫生健康（类）行政事业单位医疗（款）行政单位医疗（项）：指行政人员基本医疗保险缴费支出。</w:t>
      </w:r>
    </w:p>
    <w:p w14:paraId="3DF9F0DF">
      <w:pPr>
        <w:spacing w:line="580" w:lineRule="exact"/>
        <w:ind w:firstLine="570"/>
        <w:rPr>
          <w:rFonts w:hint="eastAsia" w:ascii="仿宋_GB2312" w:hAnsi="Times New Roman" w:eastAsia="仿宋_GB2312" w:cs="Times New Roman"/>
          <w:kern w:val="2"/>
          <w:sz w:val="32"/>
          <w:szCs w:val="32"/>
          <w:lang w:val="en-US" w:eastAsia="zh-CN" w:bidi="ar-SA"/>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hAnsi="Times New Roman" w:eastAsia="仿宋_GB2312" w:cs="Times New Roman"/>
          <w:kern w:val="2"/>
          <w:sz w:val="32"/>
          <w:szCs w:val="32"/>
          <w:lang w:val="en-US" w:eastAsia="zh-CN" w:bidi="ar-SA"/>
        </w:rPr>
        <w:t>卫生健康（类）行政事业单位医疗（款）行政单位医疗（项）：指事业人员基本医疗保险缴费支出。</w:t>
      </w:r>
    </w:p>
    <w:p w14:paraId="1116E7AB">
      <w:pPr>
        <w:pageBreakBefore w:val="0"/>
        <w:widowControl w:val="0"/>
        <w:kinsoku/>
        <w:wordWrap/>
        <w:overflowPunct/>
        <w:topLinePunct w:val="0"/>
        <w:bidi w:val="0"/>
        <w:spacing w:line="240" w:lineRule="auto"/>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10.卫生健康（类）行政事业单位医疗（款）公务员医疗补助（项）：指公务员医疗补助支出。　</w:t>
      </w:r>
    </w:p>
    <w:p w14:paraId="4EC59FC4">
      <w:pPr>
        <w:pageBreakBefore w:val="0"/>
        <w:widowControl w:val="0"/>
        <w:kinsoku/>
        <w:wordWrap/>
        <w:overflowPunct/>
        <w:topLinePunct w:val="0"/>
        <w:bidi w:val="0"/>
        <w:spacing w:line="240" w:lineRule="auto"/>
        <w:ind w:firstLine="640" w:firstLineChars="200"/>
        <w:textAlignment w:val="auto"/>
        <w:rPr>
          <w:rFonts w:hint="eastAsia"/>
        </w:rPr>
      </w:pPr>
      <w:r>
        <w:rPr>
          <w:rFonts w:hint="eastAsia" w:ascii="仿宋_GB2312" w:hAnsi="Times New Roman" w:eastAsia="仿宋_GB2312" w:cs="Times New Roman"/>
          <w:kern w:val="2"/>
          <w:sz w:val="32"/>
          <w:szCs w:val="32"/>
          <w:lang w:val="en-US" w:eastAsia="zh-CN" w:bidi="ar-SA"/>
        </w:rPr>
        <w:t>11.住房保障（类）住房改革支出（款）住房公积金（项）：指行政单位按人力资源和社会保障部、财政部规定的基本工资和津贴补贴以及规定比例为职工缴纳的住房公积金。</w:t>
      </w:r>
    </w:p>
    <w:p w14:paraId="58A59FE1">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.基本支出：指为保证机构正常运转，完成日常工作任务而发生的人员支出和公用支出。</w:t>
      </w:r>
    </w:p>
    <w:p w14:paraId="526D8739">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.项目支出：指在基本支出之外为完成特定行政任务和事业发展目标所发生的支出。</w:t>
      </w:r>
    </w:p>
    <w:p w14:paraId="37210413">
      <w:pPr>
        <w:spacing w:line="620" w:lineRule="exact"/>
        <w:ind w:firstLine="66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4D001C4">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.机关运行经费：为保障行政单位（包含参照公务员法管理的事业单位）运行用于购买货物和服务的各项资金。包括办公及印刷费、邮电费、差旅费、会议费等费用开支。</w:t>
      </w:r>
    </w:p>
    <w:p w14:paraId="77C4F48D">
      <w:pPr>
        <w:spacing w:line="62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highlight w:val="none"/>
          <w:lang w:val="en-US" w:eastAsia="zh-CN"/>
        </w:rPr>
        <w:t>重点项目：单位预算中50万元以上的专项项目。</w:t>
      </w:r>
    </w:p>
    <w:p w14:paraId="679510E8">
      <w:pPr>
        <w:pStyle w:val="2"/>
        <w:ind w:left="0" w:leftChars="0" w:firstLine="0" w:firstLineChars="0"/>
        <w:rPr>
          <w:rFonts w:hint="default" w:ascii="仿宋_GB2312" w:eastAsia="仿宋_GB2312"/>
          <w:color w:val="000000"/>
          <w:sz w:val="32"/>
          <w:szCs w:val="32"/>
          <w:highlight w:val="none"/>
          <w:lang w:val="en-US" w:eastAsia="zh-CN"/>
        </w:rPr>
      </w:pPr>
    </w:p>
    <w:p w14:paraId="29F8B5D9">
      <w:pPr>
        <w:spacing w:line="580" w:lineRule="exact"/>
        <w:ind w:firstLine="640" w:firstLineChars="200"/>
        <w:outlineLvl w:val="0"/>
        <w:rPr>
          <w:rFonts w:hint="eastAsia" w:ascii="黑体" w:eastAsia="黑体"/>
          <w:sz w:val="32"/>
          <w:szCs w:val="32"/>
        </w:rPr>
      </w:pPr>
      <w:r>
        <w:rPr>
          <w:rFonts w:hint="eastAsia" w:ascii="黑体" w:eastAsia="黑体"/>
          <w:sz w:val="32"/>
          <w:szCs w:val="32"/>
        </w:rPr>
        <w:t>　</w:t>
      </w:r>
      <w:bookmarkStart w:id="22" w:name="_Toc8240"/>
      <w:r>
        <w:rPr>
          <w:rFonts w:hint="eastAsia" w:ascii="黑体" w:eastAsia="黑体"/>
          <w:sz w:val="32"/>
          <w:szCs w:val="32"/>
        </w:rPr>
        <w:t>附件：</w:t>
      </w:r>
      <w:bookmarkEnd w:id="22"/>
      <w:r>
        <w:rPr>
          <w:rFonts w:hint="eastAsia" w:ascii="黑体" w:eastAsia="黑体"/>
          <w:sz w:val="32"/>
          <w:szCs w:val="32"/>
        </w:rPr>
        <w:t xml:space="preserve">  </w:t>
      </w:r>
    </w:p>
    <w:p w14:paraId="42569E18">
      <w:pPr>
        <w:ind w:firstLine="1600" w:firstLineChars="500"/>
        <w:rPr>
          <w:rFonts w:hint="eastAsia" w:ascii="仿宋_GB2312" w:eastAsia="仿宋_GB2312"/>
          <w:color w:val="000000"/>
          <w:sz w:val="32"/>
          <w:szCs w:val="32"/>
        </w:rPr>
      </w:pPr>
      <w:r>
        <w:rPr>
          <w:rFonts w:hint="eastAsia" w:ascii="仿宋_GB2312" w:eastAsia="仿宋_GB2312"/>
          <w:color w:val="000000"/>
          <w:sz w:val="32"/>
          <w:szCs w:val="32"/>
        </w:rPr>
        <w:t>表1.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收支总表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收入总表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表1-2.</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支出总表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表2.财政拨款收支总表</w:t>
      </w:r>
    </w:p>
    <w:p w14:paraId="526D8406">
      <w:pPr>
        <w:ind w:firstLine="1600" w:firstLineChars="500"/>
        <w:rPr>
          <w:rFonts w:ascii="仿宋_GB2312" w:eastAsia="仿宋_GB2312"/>
          <w:color w:val="000000"/>
          <w:sz w:val="32"/>
          <w:szCs w:val="32"/>
        </w:rPr>
      </w:pPr>
      <w:r>
        <w:rPr>
          <w:rFonts w:hint="eastAsia" w:ascii="仿宋_GB2312" w:eastAsia="仿宋_GB2312"/>
          <w:color w:val="000000"/>
          <w:sz w:val="32"/>
          <w:szCs w:val="32"/>
        </w:rPr>
        <w:t>表2-1. 财政拨款支出预算表</w:t>
      </w:r>
      <w:r>
        <w:rPr>
          <w:rFonts w:hint="eastAsia" w:ascii="仿宋_GB2312" w:eastAsia="仿宋_GB2312"/>
          <w:color w:val="000000"/>
          <w:sz w:val="28"/>
          <w:szCs w:val="28"/>
        </w:rPr>
        <w:t>（政府经济分类科目）</w:t>
      </w:r>
      <w:r>
        <w:rPr>
          <w:rFonts w:hint="eastAsia" w:ascii="仿宋_GB2312" w:eastAsia="仿宋_GB2312"/>
          <w:color w:val="000000"/>
          <w:sz w:val="32"/>
          <w:szCs w:val="32"/>
        </w:rPr>
        <w:br w:type="textWrapping"/>
      </w:r>
      <w:r>
        <w:rPr>
          <w:rFonts w:hint="eastAsia" w:ascii="仿宋_GB2312" w:eastAsia="仿宋_GB2312"/>
          <w:color w:val="000000"/>
          <w:sz w:val="32"/>
          <w:szCs w:val="32"/>
        </w:rPr>
        <w:t>　　　　　表3.一般公共预算支出预算表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表3-1.一般公共预算基本支出预算表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表3-2.一般公共预算项目支出预算表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表3-3.一般公共预算“三公”经费支出预算表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表4.政府性基金支出预算表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lang w:eastAsia="zh-CN"/>
        </w:rPr>
        <w:t>）</w:t>
      </w:r>
      <w:r>
        <w:rPr>
          <w:rFonts w:hint="eastAsia" w:ascii="仿宋_GB2312" w:eastAsia="仿宋_GB2312"/>
          <w:color w:val="000000"/>
          <w:sz w:val="32"/>
          <w:szCs w:val="32"/>
        </w:rPr>
        <w:br w:type="textWrapping"/>
      </w:r>
      <w:r>
        <w:rPr>
          <w:rFonts w:hint="eastAsia" w:ascii="仿宋_GB2312" w:eastAsia="仿宋_GB2312"/>
          <w:color w:val="000000"/>
          <w:sz w:val="32"/>
          <w:szCs w:val="32"/>
        </w:rPr>
        <w:t>　　　　　表4-1.政府性基金预算“三公”经费支出预算表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lang w:eastAsia="zh-CN"/>
        </w:rPr>
        <w:t>）</w:t>
      </w:r>
      <w:r>
        <w:rPr>
          <w:rFonts w:hint="eastAsia" w:ascii="仿宋_GB2312" w:eastAsia="仿宋_GB2312"/>
          <w:color w:val="000000"/>
          <w:sz w:val="32"/>
          <w:szCs w:val="32"/>
        </w:rPr>
        <w:br w:type="textWrapping"/>
      </w:r>
      <w:r>
        <w:rPr>
          <w:rFonts w:hint="eastAsia" w:ascii="仿宋_GB2312" w:eastAsia="仿宋_GB2312"/>
          <w:color w:val="000000"/>
          <w:sz w:val="32"/>
          <w:szCs w:val="32"/>
        </w:rPr>
        <w:t>　　　　　表5.国有资本经营预算支出预算表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lang w:eastAsia="zh-CN"/>
        </w:rPr>
        <w:t>）</w:t>
      </w:r>
    </w:p>
    <w:p w14:paraId="10D42275">
      <w:pPr>
        <w:spacing w:line="620" w:lineRule="exact"/>
        <w:ind w:firstLine="640" w:firstLineChars="200"/>
        <w:rPr>
          <w:rFonts w:hint="default" w:ascii="仿宋_GB2312" w:eastAsia="仿宋_GB2312"/>
          <w:color w:val="000000"/>
          <w:sz w:val="32"/>
          <w:szCs w:val="32"/>
          <w:lang w:val="en-US" w:eastAsia="zh-CN"/>
        </w:rPr>
      </w:pPr>
    </w:p>
    <w:p w14:paraId="4AE55725">
      <w:pPr>
        <w:spacing w:line="620" w:lineRule="exact"/>
        <w:ind w:firstLine="640" w:firstLineChars="200"/>
        <w:rPr>
          <w:rFonts w:hint="default" w:ascii="仿宋_GB2312" w:eastAsia="仿宋_GB2312"/>
          <w:color w:val="000000"/>
          <w:sz w:val="32"/>
          <w:szCs w:val="32"/>
          <w:lang w:val="en-US" w:eastAsia="zh-CN"/>
        </w:rPr>
      </w:pPr>
    </w:p>
    <w:p w14:paraId="0961EB0D">
      <w:pPr>
        <w:spacing w:line="580" w:lineRule="exact"/>
        <w:ind w:firstLine="640" w:firstLineChars="200"/>
        <w:rPr>
          <w:rFonts w:hint="default" w:ascii="仿宋" w:hAnsi="仿宋" w:eastAsia="仿宋" w:cs="Times New Roman"/>
          <w:sz w:val="32"/>
          <w:szCs w:val="32"/>
          <w:lang w:val="en-US" w:eastAsia="zh-CN"/>
        </w:rPr>
      </w:pPr>
    </w:p>
    <w:p w14:paraId="04FA8E52">
      <w:pPr>
        <w:spacing w:line="580" w:lineRule="exact"/>
        <w:ind w:firstLine="420" w:firstLineChars="200"/>
        <w:rPr>
          <w:rFonts w:hint="default"/>
          <w:lang w:val="en-US" w:eastAsia="zh-CN"/>
        </w:rPr>
      </w:pPr>
    </w:p>
    <w:p w14:paraId="0A32F984">
      <w:pPr>
        <w:spacing w:line="580" w:lineRule="exact"/>
        <w:ind w:firstLine="420" w:firstLineChars="200"/>
        <w:rPr>
          <w:rFonts w:hint="default"/>
          <w:lang w:val="en-US" w:eastAsia="zh-CN"/>
        </w:rPr>
      </w:pPr>
    </w:p>
    <w:p w14:paraId="2B4E416D">
      <w:pPr>
        <w:numPr>
          <w:ilvl w:val="0"/>
          <w:numId w:val="0"/>
        </w:numPr>
        <w:rPr>
          <w:rFonts w:hint="default"/>
          <w:lang w:val="en-US" w:eastAsia="zh-CN"/>
        </w:rPr>
      </w:pPr>
    </w:p>
    <w:p w14:paraId="783050C9">
      <w:pPr>
        <w:rPr>
          <w:rFonts w:hint="default"/>
          <w:lang w:val="en-US" w:eastAsia="zh-CN"/>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20B0604020202030204"/>
    <w:charset w:val="00"/>
    <w:family w:val="swiss"/>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7346C">
    <w:pPr>
      <w:pStyle w:val="7"/>
    </w:pPr>
  </w:p>
  <w:p w14:paraId="0A46B3D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DC65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97160">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F897160">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YjhkMjM2NjI2MzZmODJlN2JlYWQ2NzkyMDIyOTUifQ=="/>
  </w:docVars>
  <w:rsids>
    <w:rsidRoot w:val="1E347ACE"/>
    <w:rsid w:val="07956E7A"/>
    <w:rsid w:val="0A183A6C"/>
    <w:rsid w:val="0C5D525D"/>
    <w:rsid w:val="0CD8573D"/>
    <w:rsid w:val="0E3A347A"/>
    <w:rsid w:val="11E227F4"/>
    <w:rsid w:val="1BFF0A5B"/>
    <w:rsid w:val="1D6A49D7"/>
    <w:rsid w:val="1E347ACE"/>
    <w:rsid w:val="1EA664C0"/>
    <w:rsid w:val="2C044B37"/>
    <w:rsid w:val="3595212A"/>
    <w:rsid w:val="39577B09"/>
    <w:rsid w:val="46420037"/>
    <w:rsid w:val="47E73383"/>
    <w:rsid w:val="4F3132CA"/>
    <w:rsid w:val="50BD73E6"/>
    <w:rsid w:val="54823F99"/>
    <w:rsid w:val="58EC1A98"/>
    <w:rsid w:val="59E91640"/>
    <w:rsid w:val="63845090"/>
    <w:rsid w:val="63927BD2"/>
    <w:rsid w:val="65273D09"/>
    <w:rsid w:val="67F102C4"/>
    <w:rsid w:val="73CB36DD"/>
    <w:rsid w:val="75B55BBC"/>
    <w:rsid w:val="774626EC"/>
    <w:rsid w:val="7AAF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0"/>
    <w:pPr>
      <w:spacing w:after="120"/>
      <w:ind w:left="420" w:leftChars="200"/>
    </w:pPr>
  </w:style>
  <w:style w:type="paragraph" w:styleId="4">
    <w:name w:val="index 5"/>
    <w:basedOn w:val="1"/>
    <w:next w:val="1"/>
    <w:qFormat/>
    <w:uiPriority w:val="99"/>
    <w:pPr>
      <w:ind w:left="1680"/>
    </w:pPr>
  </w:style>
  <w:style w:type="paragraph" w:styleId="5">
    <w:name w:val="Body Text"/>
    <w:basedOn w:val="1"/>
    <w:qFormat/>
    <w:uiPriority w:val="0"/>
    <w:pPr>
      <w:spacing w:before="93" w:beforeLines="30"/>
    </w:pPr>
    <w:rPr>
      <w:rFonts w:ascii="仿宋_GB2312" w:eastAsia="仿宋_GB2312"/>
      <w:sz w:val="30"/>
    </w:rPr>
  </w:style>
  <w:style w:type="paragraph" w:styleId="6">
    <w:name w:val="toc 3"/>
    <w:basedOn w:val="1"/>
    <w:next w:val="1"/>
    <w:qFormat/>
    <w:uiPriority w:val="0"/>
    <w:pPr>
      <w:widowControl/>
      <w:wordWrap w:val="0"/>
      <w:ind w:left="425"/>
    </w:pPr>
    <w:rPr>
      <w:rFonts w:ascii="Times New Roman" w:hAnsi="Times New Roman" w:eastAsia="宋体" w:cs="Times New Roman"/>
      <w:kern w:val="0"/>
      <w:szCs w:val="2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spacing w:before="120"/>
      <w:jc w:val="left"/>
    </w:pPr>
    <w:rPr>
      <w:rFonts w:ascii="等线" w:eastAsia="等线"/>
      <w:b/>
      <w:bCs/>
      <w:i/>
      <w:iCs/>
      <w:sz w:val="24"/>
    </w:rPr>
  </w:style>
  <w:style w:type="paragraph" w:styleId="10">
    <w:name w:val="toc 2"/>
    <w:basedOn w:val="1"/>
    <w:next w:val="1"/>
    <w:unhideWhenUsed/>
    <w:qFormat/>
    <w:uiPriority w:val="39"/>
    <w:pPr>
      <w:spacing w:before="120"/>
      <w:ind w:left="300"/>
      <w:jc w:val="left"/>
    </w:pPr>
    <w:rPr>
      <w:rFonts w:ascii="等线" w:eastAsia="等线"/>
      <w:b/>
      <w:bCs/>
      <w:sz w:val="22"/>
      <w:szCs w:val="22"/>
    </w:rPr>
  </w:style>
  <w:style w:type="character" w:styleId="13">
    <w:name w:val="Strong"/>
    <w:qFormat/>
    <w:uiPriority w:val="0"/>
    <w:rPr>
      <w:b/>
      <w:bCs/>
    </w:rPr>
  </w:style>
  <w:style w:type="character" w:styleId="14">
    <w:name w:val="page number"/>
    <w:basedOn w:val="12"/>
    <w:qFormat/>
    <w:uiPriority w:val="0"/>
  </w:style>
  <w:style w:type="character" w:styleId="15">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026&#24180;\&#33258;&#27839;&#36130;&#39044;%5b2026%5d24&#21495;&#65306;&#20851;&#20110;&#25209;&#22797;2026&#24180;&#37096;&#38376;&#39044;&#31639;&#30340;&#36890;&#30693;\&#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图1：收入预算结构图</a:t>
            </a:r>
          </a:p>
        </c:rich>
      </c:tx>
      <c:layout/>
      <c:overlay val="0"/>
      <c:spPr>
        <a:noFill/>
        <a:ln>
          <a:noFill/>
        </a:ln>
        <a:effectLst/>
      </c:spPr>
    </c:title>
    <c:autoTitleDeleted val="0"/>
    <c:plotArea>
      <c:layout>
        <c:manualLayout>
          <c:layoutTarget val="inner"/>
          <c:xMode val="edge"/>
          <c:yMode val="edge"/>
          <c:x val="0.312934680695906"/>
          <c:y val="0.180383375742154"/>
          <c:w val="0.408509219710387"/>
          <c:h val="0.665187446988974"/>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263238815356589"/>
                  <c:y val="-0.1531184827895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02650288837911"/>
                  <c:y val="-0.015200577069858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78608658730709"/>
                  <c:y val="0.01858219416468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686055514547701"/>
                  <c:y val="-4.34971773889397e-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0173331065868318"/>
                  <c:y val="0.01992306780818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71984952476027"/>
                  <c:y val="0.01517770562212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[图表.xlsx]Sheet1!$A$2:$A$7</c:f>
              <c:strCache>
                <c:ptCount val="6"/>
                <c:pt idx="0">
                  <c:v>一般公共预算拨款收入 </c:v>
                </c:pt>
                <c:pt idx="1">
                  <c:v>政府性基金预算拨款收入 </c:v>
                </c:pt>
                <c:pt idx="2">
                  <c:v>国有资本经营预算拨款收入 </c:v>
                </c:pt>
                <c:pt idx="3">
                  <c:v>事业收入 </c:v>
                </c:pt>
                <c:pt idx="4">
                  <c:v>事业单位经营收入 </c:v>
                </c:pt>
                <c:pt idx="5">
                  <c:v>其他收入 </c:v>
                </c:pt>
              </c:strCache>
            </c:strRef>
          </c:cat>
          <c:val>
            <c:numRef>
              <c:f>[图表.xlsx]Sheet1!$B$2:$B$7</c:f>
              <c:numCache>
                <c:formatCode>#,##0.00_);[Red]\(#,##0.00\)</c:formatCode>
                <c:ptCount val="6"/>
                <c:pt idx="0">
                  <c:v>2026.73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ad2982-dba4-46d9-bff0-c63aec4a49b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图2：支出预算结构图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[图表.xlsx]Sheet1!$A$20:$A$22</c15:sqref>
                  </c15:fullRef>
                </c:ext>
              </c:extLst>
              <c:f>[图表.xlsx]Sheet1!$A$21:$A$22</c:f>
              <c:strCache>
                <c:ptCount val="2"/>
                <c:pt idx="0">
                  <c:v>基本支出</c:v>
                </c:pt>
                <c:pt idx="1">
                  <c:v>项目支出</c:v>
                </c:pt>
              </c:strCache>
            </c:strRef>
          </c:cat>
          <c:val>
            <c:numRef>
              <c:extLst>
                <c:ext xmlns:c15="http://schemas.microsoft.com/office/drawing/2012/chart" uri="{02D57815-91ED-43cb-92C2-25804820EDAC}">
                  <c15:fullRef>
                    <c15:sqref>Sheet1!$B$20:$B$22</c15:sqref>
                  </c15:fullRef>
                </c:ext>
              </c:extLst>
              <c:f>[图表.xlsx]Sheet1!$B$21:$B$22</c:f>
              <c:numCache>
                <c:formatCode>#,##0.00_);[Red]\(#,##0.00\)</c:formatCode>
                <c:ptCount val="2"/>
                <c:pt idx="0">
                  <c:v>1000.73</c:v>
                </c:pt>
                <c:pt idx="1">
                  <c:v>1026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054527e-d483-4893-95d7-f7fdafb12e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图3：财政拨款收支总预算变动情况</a:t>
            </a:r>
          </a:p>
        </c:rich>
      </c:tx>
      <c:layout>
        <c:manualLayout>
          <c:xMode val="edge"/>
          <c:yMode val="edge"/>
          <c:x val="0.189444444444444"/>
          <c:y val="0.024305555555555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[图表.xlsx]Sheet1!$A$39:$A$40</c:f>
              <c:strCache>
                <c:ptCount val="2"/>
                <c:pt idx="0">
                  <c:v>2025年</c:v>
                </c:pt>
                <c:pt idx="1">
                  <c:v>2026年</c:v>
                </c:pt>
              </c:strCache>
            </c:strRef>
          </c:cat>
          <c:val>
            <c:numRef>
              <c:f>[图表.xlsx]Sheet1!$B$39:$B$40</c:f>
              <c:numCache>
                <c:formatCode>#,##0.00_);[Red]\(#,##0.00\)</c:formatCode>
                <c:ptCount val="2"/>
                <c:pt idx="0">
                  <c:v>1582.26</c:v>
                </c:pt>
                <c:pt idx="1">
                  <c:v>2026.73</c:v>
                </c:pt>
              </c:numCache>
            </c:numRef>
          </c:val>
        </c:ser>
        <c:dLbls>
          <c:showLegendKey val="0"/>
          <c:showVal val="1"/>
          <c:showCatName val="0"/>
          <c:showSerName val="0"/>
          <c:showPercent val="0"/>
          <c:showBubbleSize val="0"/>
        </c:dLbls>
        <c:gapWidth val="219"/>
        <c:overlap val="-27"/>
        <c:axId val="817227627"/>
        <c:axId val="328954075"/>
      </c:barChart>
      <c:catAx>
        <c:axId val="8172276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954075"/>
        <c:crosses val="autoZero"/>
        <c:auto val="1"/>
        <c:lblAlgn val="ctr"/>
        <c:lblOffset val="100"/>
        <c:noMultiLvlLbl val="0"/>
      </c:catAx>
      <c:valAx>
        <c:axId val="328954075"/>
        <c:scaling>
          <c:orientation val="minMax"/>
        </c:scaling>
        <c:delete val="0"/>
        <c:axPos val="l"/>
        <c:majorGridlines>
          <c:spPr>
            <a:ln w="9525" cap="flat" cmpd="sng" algn="ctr">
              <a:solidFill>
                <a:schemeClr val="tx1">
                  <a:lumMod val="15000"/>
                  <a:lumOff val="850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227627"/>
        <c:crosses val="autoZero"/>
        <c:crossBetween val="between"/>
      </c:valAx>
      <c:spPr>
        <a:noFill/>
        <a:ln>
          <a:noFill/>
        </a:ln>
        <a:effectLst/>
      </c:spPr>
    </c:plotArea>
    <c:plotVisOnly val="1"/>
    <c:dispBlanksAs val="gap"/>
    <c:showDLblsOverMax val="0"/>
    <c:extLst>
      <c:ext uri="{0b15fc19-7d7d-44ad-8c2d-2c3a37ce22c3}">
        <chartProps xmlns="https://web.wps.cn/et/2018/main" chartId="{7e5f9ede-4f6e-4611-b4af-11035c5aa19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图4</a:t>
            </a:r>
            <a:r>
              <a:rPr lang="en-US" altLang="zh-CN"/>
              <a:t>:</a:t>
            </a:r>
            <a:r>
              <a:t>一般公共预算财政拨款支出预算变动情况</a:t>
            </a:r>
          </a:p>
        </c:rich>
      </c:tx>
      <c:layout>
        <c:manualLayout>
          <c:xMode val="edge"/>
          <c:yMode val="edge"/>
          <c:x val="0.106111111111111"/>
          <c:y val="0.0206185567010309"/>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[图表.xlsx]Sheet1!$A$57:$A$58</c:f>
              <c:strCache>
                <c:ptCount val="2"/>
                <c:pt idx="0">
                  <c:v>2025年</c:v>
                </c:pt>
                <c:pt idx="1">
                  <c:v>2026年</c:v>
                </c:pt>
              </c:strCache>
            </c:strRef>
          </c:cat>
          <c:val>
            <c:numRef>
              <c:f>[图表.xlsx]Sheet1!$B$57:$B$58</c:f>
              <c:numCache>
                <c:formatCode>#,##0.00_);[Red]\(#,##0.00\)</c:formatCode>
                <c:ptCount val="2"/>
                <c:pt idx="0">
                  <c:v>1582.26</c:v>
                </c:pt>
                <c:pt idx="1">
                  <c:v>2026.73</c:v>
                </c:pt>
              </c:numCache>
            </c:numRef>
          </c:val>
        </c:ser>
        <c:dLbls>
          <c:showLegendKey val="0"/>
          <c:showVal val="1"/>
          <c:showCatName val="0"/>
          <c:showSerName val="0"/>
          <c:showPercent val="0"/>
          <c:showBubbleSize val="0"/>
        </c:dLbls>
        <c:gapWidth val="219"/>
        <c:overlap val="-27"/>
        <c:axId val="422703439"/>
        <c:axId val="803320034"/>
      </c:barChart>
      <c:catAx>
        <c:axId val="4227034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320034"/>
        <c:crosses val="autoZero"/>
        <c:auto val="1"/>
        <c:lblAlgn val="ctr"/>
        <c:lblOffset val="100"/>
        <c:noMultiLvlLbl val="0"/>
      </c:catAx>
      <c:valAx>
        <c:axId val="803320034"/>
        <c:scaling>
          <c:orientation val="minMax"/>
        </c:scaling>
        <c:delete val="0"/>
        <c:axPos val="l"/>
        <c:majorGridlines>
          <c:spPr>
            <a:ln w="9525" cap="flat" cmpd="sng" algn="ctr">
              <a:solidFill>
                <a:schemeClr val="tx1">
                  <a:lumMod val="15000"/>
                  <a:lumOff val="850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703439"/>
        <c:crosses val="autoZero"/>
        <c:crossBetween val="between"/>
      </c:valAx>
      <c:spPr>
        <a:noFill/>
        <a:ln>
          <a:noFill/>
        </a:ln>
        <a:effectLst/>
      </c:spPr>
    </c:plotArea>
    <c:plotVisOnly val="1"/>
    <c:dispBlanksAs val="gap"/>
    <c:showDLblsOverMax val="0"/>
    <c:extLst>
      <c:ext uri="{0b15fc19-7d7d-44ad-8c2d-2c3a37ce22c3}">
        <chartProps xmlns="https://web.wps.cn/et/2018/main" chartId="{16c4f007-2c70-4a8c-bb22-05d292c135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图5：一般公共预算财政拨款支出预算结构</a:t>
            </a:r>
          </a:p>
        </c:rich>
      </c:tx>
      <c:layout>
        <c:manualLayout>
          <c:xMode val="edge"/>
          <c:yMode val="edge"/>
          <c:x val="0.132020757020757"/>
          <c:y val="0.026300059772863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714285714285714"/>
                  <c:y val="-0.040645546921697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66074547125523"/>
                  <c:y val="0.04512476302417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0178725778605"/>
                  <c:y val="-0.04750425838176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97915651815701"/>
                  <c:y val="-0.0648285168522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41591844400682"/>
                  <c:y val="0.0048656492959474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[图表.xlsx]Sheet1!$A$80:$A$84</c:f>
              <c:strCache>
                <c:ptCount val="5"/>
                <c:pt idx="0">
                  <c:v>一般公共服务支出</c:v>
                </c:pt>
                <c:pt idx="1">
                  <c:v>教育支出</c:v>
                </c:pt>
                <c:pt idx="2">
                  <c:v>社会保障和就业支出</c:v>
                </c:pt>
                <c:pt idx="3">
                  <c:v>卫生健康支出</c:v>
                </c:pt>
                <c:pt idx="4">
                  <c:v>住房保障支出</c:v>
                </c:pt>
              </c:strCache>
            </c:strRef>
          </c:cat>
          <c:val>
            <c:numRef>
              <c:f>[图表.xlsx]Sheet1!$B$80:$B$84</c:f>
              <c:numCache>
                <c:formatCode>#,##0.00_);[Red]\(#,##0.00\)</c:formatCode>
                <c:ptCount val="5"/>
                <c:pt idx="0">
                  <c:v>1799.47</c:v>
                </c:pt>
                <c:pt idx="1">
                  <c:v>0</c:v>
                </c:pt>
                <c:pt idx="2">
                  <c:v>98.43</c:v>
                </c:pt>
                <c:pt idx="3">
                  <c:v>54.43</c:v>
                </c:pt>
                <c:pt idx="4">
                  <c:v>74.4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542d2c9-2965-42cf-ace8-25ae66b061d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图6：“三公”经费财政拨款支出结构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[图表.xlsx]Sheet1!$A$100:$A$103</c:f>
              <c:strCache>
                <c:ptCount val="4"/>
                <c:pt idx="0">
                  <c:v>因公出国（境）经费</c:v>
                </c:pt>
                <c:pt idx="1">
                  <c:v>公务接待费</c:v>
                </c:pt>
                <c:pt idx="2">
                  <c:v>公务用车购置费</c:v>
                </c:pt>
                <c:pt idx="3">
                  <c:v>公务用车运行维护费</c:v>
                </c:pt>
              </c:strCache>
            </c:strRef>
          </c:cat>
          <c:val>
            <c:numRef>
              <c:f>[图表.xlsx]Sheet1!$B$100:$B$103</c:f>
              <c:numCache>
                <c:formatCode>#,##0.00_);[Red]\(#,##0.00\)</c:formatCode>
                <c:ptCount val="4"/>
                <c:pt idx="0">
                  <c:v>0</c:v>
                </c:pt>
                <c:pt idx="1">
                  <c:v>0.54</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163cab-7992-4925-b18d-c6d0a64158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7117</Words>
  <Characters>7612</Characters>
  <Lines>0</Lines>
  <Paragraphs>0</Paragraphs>
  <TotalTime>0</TotalTime>
  <ScaleCrop>false</ScaleCrop>
  <LinksUpToDate>false</LinksUpToDate>
  <CharactersWithSpaces>7795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2022-07-08T00:59:00Z</dcterms:created>
  <dc:creator>姚垚</dc:creator>
  <cp:lastModifiedBy>麦兜兜</cp:lastModifiedBy>
  <cp:lastPrinted>2023-01-16T01:40:00Z</cp:lastPrinted>
  <dcterms:modified xsi:type="dcterms:W3CDTF">2026-02-27T07:32:25Z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02ABAC4B4D404F59B50D2A76876E8237_12</vt:lpwstr>
  </property>
  <property fmtid="{D5CDD505-2E9C-101B-9397-08002B2CF9AE}" pid="4" name="KSOTemplateDocerSaveRecord">
    <vt:lpwstr>eyJoZGlkIjoiOWE5MzhiYTcxZDkxODAwOWZlM2VmNWMwZTI5NjMwMmQiLCJ1c2VySWQiOiIxMjgzNTY1ODgxIn0=</vt:lpwstr>
  </property>
</Properties>
</file>