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90979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1676AD2F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5CE86779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218B6557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36CBEDF8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6636FF3D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0697E269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10EE2575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1AAA0969">
      <w:pPr>
        <w:spacing w:line="700" w:lineRule="exact"/>
        <w:jc w:val="center"/>
        <w:rPr>
          <w:rFonts w:hint="eastAsia" w:ascii="Times New Roman" w:hAnsi="Times New Roman" w:eastAsia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中共广安市委组织部</w:t>
      </w:r>
    </w:p>
    <w:p w14:paraId="25DD1FFC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/>
          <w:sz w:val="44"/>
          <w:szCs w:val="44"/>
        </w:rPr>
        <w:t>年部门预算编制说明</w:t>
      </w:r>
    </w:p>
    <w:p w14:paraId="7139C037">
      <w:pPr>
        <w:pStyle w:val="7"/>
        <w:rPr>
          <w:rFonts w:ascii="Times New Roman" w:hAnsi="Times New Roman" w:eastAsia="方正小标宋_GBK"/>
          <w:sz w:val="44"/>
          <w:szCs w:val="44"/>
        </w:rPr>
      </w:pPr>
    </w:p>
    <w:p w14:paraId="147847F1">
      <w:pPr>
        <w:rPr>
          <w:rFonts w:ascii="Times New Roman" w:hAnsi="Times New Roman" w:eastAsia="方正小标宋_GBK"/>
          <w:sz w:val="44"/>
          <w:szCs w:val="44"/>
        </w:rPr>
      </w:pPr>
    </w:p>
    <w:p w14:paraId="35499FCB">
      <w:pPr>
        <w:pStyle w:val="7"/>
        <w:rPr>
          <w:rFonts w:ascii="Times New Roman" w:hAnsi="Times New Roman" w:eastAsia="方正小标宋_GBK"/>
          <w:sz w:val="44"/>
          <w:szCs w:val="44"/>
        </w:rPr>
      </w:pPr>
    </w:p>
    <w:p w14:paraId="15A9CFD2">
      <w:pPr>
        <w:rPr>
          <w:rFonts w:ascii="Times New Roman" w:hAnsi="Times New Roman" w:eastAsia="方正小标宋_GBK"/>
          <w:sz w:val="44"/>
          <w:szCs w:val="44"/>
        </w:rPr>
      </w:pPr>
    </w:p>
    <w:p w14:paraId="3E8DA429">
      <w:pPr>
        <w:pStyle w:val="7"/>
        <w:rPr>
          <w:rFonts w:ascii="Times New Roman" w:hAnsi="Times New Roman" w:eastAsia="方正小标宋_GBK"/>
          <w:sz w:val="44"/>
          <w:szCs w:val="44"/>
        </w:rPr>
      </w:pPr>
    </w:p>
    <w:p w14:paraId="0FC775DA">
      <w:pPr>
        <w:rPr>
          <w:rFonts w:ascii="Times New Roman" w:hAnsi="Times New Roman" w:eastAsia="方正小标宋_GBK"/>
          <w:sz w:val="44"/>
          <w:szCs w:val="44"/>
        </w:rPr>
      </w:pPr>
    </w:p>
    <w:p w14:paraId="124AF437">
      <w:pPr>
        <w:pStyle w:val="7"/>
        <w:rPr>
          <w:rFonts w:ascii="Times New Roman" w:hAnsi="Times New Roman" w:eastAsia="方正小标宋_GBK"/>
          <w:sz w:val="44"/>
          <w:szCs w:val="44"/>
        </w:rPr>
      </w:pPr>
    </w:p>
    <w:p w14:paraId="723C2291">
      <w:pPr>
        <w:rPr>
          <w:rFonts w:ascii="Times New Roman" w:hAnsi="Times New Roman" w:eastAsia="方正小标宋_GBK"/>
          <w:sz w:val="44"/>
          <w:szCs w:val="44"/>
        </w:rPr>
      </w:pPr>
    </w:p>
    <w:p w14:paraId="54DD751E">
      <w:pPr>
        <w:pStyle w:val="7"/>
        <w:rPr>
          <w:rFonts w:ascii="Times New Roman" w:hAnsi="Times New Roman" w:eastAsia="方正小标宋_GBK"/>
          <w:sz w:val="44"/>
          <w:szCs w:val="44"/>
        </w:rPr>
      </w:pPr>
    </w:p>
    <w:p w14:paraId="0ABD8C11">
      <w:pPr>
        <w:rPr>
          <w:rFonts w:ascii="Times New Roman" w:hAnsi="Times New Roman" w:eastAsia="方正小标宋_GBK"/>
          <w:sz w:val="44"/>
          <w:szCs w:val="44"/>
        </w:rPr>
      </w:pPr>
    </w:p>
    <w:p w14:paraId="39E4E457">
      <w:pPr>
        <w:pStyle w:val="7"/>
        <w:rPr>
          <w:rFonts w:ascii="Times New Roman" w:hAnsi="Times New Roman" w:eastAsia="方正小标宋_GBK"/>
          <w:sz w:val="44"/>
          <w:szCs w:val="44"/>
        </w:rPr>
      </w:pPr>
    </w:p>
    <w:p w14:paraId="3D445E80">
      <w:pPr>
        <w:rPr>
          <w:rFonts w:ascii="Times New Roman" w:hAnsi="Times New Roman" w:eastAsia="方正小标宋_GBK"/>
          <w:sz w:val="44"/>
          <w:szCs w:val="44"/>
        </w:rPr>
      </w:pPr>
    </w:p>
    <w:p w14:paraId="04DDEEBF">
      <w:pPr>
        <w:pStyle w:val="7"/>
        <w:rPr>
          <w:rFonts w:ascii="Times New Roman" w:hAnsi="Times New Roman" w:eastAsia="方正小标宋_GBK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41" w:right="1531" w:bottom="1701" w:left="1531" w:header="851" w:footer="1474" w:gutter="0"/>
          <w:pgNumType w:fmt="decimal" w:start="1"/>
          <w:cols w:space="425" w:num="1"/>
          <w:docGrid w:linePitch="590" w:charSpace="26655"/>
        </w:sectPr>
      </w:pPr>
    </w:p>
    <w:p w14:paraId="5B3AFA53"/>
    <w:sdt>
      <w:sdtPr>
        <w:rPr>
          <w:rFonts w:hint="eastAsia" w:ascii="Times New Roman" w:hAnsi="Times New Roman" w:eastAsia="方正小标宋_GBK" w:cs="Times New Roman"/>
          <w:color w:val="000000"/>
          <w:sz w:val="48"/>
          <w:szCs w:val="48"/>
          <w:lang w:val="en-US" w:eastAsia="zh-CN"/>
        </w:rPr>
        <w:id w:val="147454161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方正小标宋_GBK" w:cs="Times New Roman"/>
          <w:color w:val="000000"/>
          <w:kern w:val="2"/>
          <w:sz w:val="21"/>
          <w:szCs w:val="44"/>
          <w:lang w:val="en-US" w:eastAsia="zh-CN" w:bidi="ar-SA"/>
        </w:rPr>
      </w:sdtEndPr>
      <w:sdtContent>
        <w:p w14:paraId="7CC29BC4">
          <w:pPr>
            <w:pStyle w:val="10"/>
            <w:tabs>
              <w:tab w:val="right" w:leader="dot" w:pos="8296"/>
            </w:tabs>
            <w:spacing w:before="0"/>
            <w:rPr>
              <w:rFonts w:hint="eastAsia" w:ascii="Times New Roman" w:hAnsi="Times New Roman" w:eastAsia="方正小标宋_GBK" w:cs="Times New Roman"/>
              <w:color w:val="000000"/>
              <w:sz w:val="48"/>
              <w:szCs w:val="48"/>
              <w:lang w:val="en-US" w:eastAsia="zh-CN"/>
            </w:rPr>
          </w:pPr>
          <w:r>
            <w:rPr>
              <w:rFonts w:hint="eastAsia" w:ascii="Times New Roman" w:hAnsi="Times New Roman" w:eastAsia="方正小标宋_GBK" w:cs="Times New Roman"/>
              <w:color w:val="000000"/>
              <w:sz w:val="48"/>
              <w:szCs w:val="48"/>
              <w:lang w:val="en-US" w:eastAsia="zh-CN"/>
            </w:rPr>
            <w:t>目  录</w:t>
          </w:r>
        </w:p>
        <w:p w14:paraId="49C7D411">
          <w:pPr>
            <w:rPr>
              <w:rFonts w:hint="eastAsia"/>
              <w:lang w:val="en-US" w:eastAsia="zh-CN"/>
            </w:rPr>
          </w:pPr>
        </w:p>
        <w:p w14:paraId="323BB451">
          <w:pPr>
            <w:pStyle w:val="18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</w:pPr>
          <w:r>
            <w:rPr>
              <w:rFonts w:ascii="Times New Roman" w:hAnsi="Times New Roman" w:eastAsia="方正小标宋_GBK"/>
              <w:sz w:val="44"/>
              <w:szCs w:val="44"/>
            </w:rPr>
            <w:fldChar w:fldCharType="begin"/>
          </w:r>
          <w:r>
            <w:rPr>
              <w:rFonts w:ascii="Times New Roman" w:hAnsi="Times New Roman" w:eastAsia="方正小标宋_GBK"/>
              <w:sz w:val="44"/>
              <w:szCs w:val="44"/>
            </w:rPr>
            <w:instrText xml:space="preserve">TOC \o "1-3" \h \u </w:instrText>
          </w:r>
          <w:r>
            <w:rPr>
              <w:rFonts w:ascii="Times New Roman" w:hAnsi="Times New Roman" w:eastAsia="方正小标宋_GBK"/>
              <w:sz w:val="44"/>
              <w:szCs w:val="44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HYPERLINK \l _Toc26169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第一部分  中共广安市委组织部概况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ab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PAGEREF _Toc26169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1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</w:p>
        <w:p w14:paraId="27F7BE33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_Toc18633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一、基本职能及主要工作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_Toc18633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7B5C4187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_Toc12187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二、部门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预算单位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构成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情况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_Toc12187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3C9CFB4F">
          <w:pPr>
            <w:pStyle w:val="18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</w:pP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HYPERLINK \l _Toc31428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第二部分  中共广安市委组织部</w:t>
          </w:r>
          <w:r>
            <w:rPr>
              <w:rFonts w:hint="default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202</w:t>
          </w:r>
          <w:r>
            <w:rPr>
              <w:rFonts w:hint="eastAsia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6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年部门预算情况说明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ab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PAGEREF _Toc31428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3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</w:p>
        <w:p w14:paraId="2093DD9A">
          <w:pPr>
            <w:pStyle w:val="18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</w:pP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HYPERLINK \l _Toc24560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第三部分  名称解释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ab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PAGEREF _Toc24560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10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</w:p>
        <w:p w14:paraId="284F21E8">
          <w:pPr>
            <w:pStyle w:val="18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</w:pP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HYPERLINK \l _Toc29672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第四部分  中共广安市委组织部202</w:t>
          </w:r>
          <w:r>
            <w:rPr>
              <w:rFonts w:hint="eastAsia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6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年部门预算表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ab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instrText xml:space="preserve"> PAGEREF _Toc29672 </w:instrTex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t>14</w:t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b/>
              <w:bCs/>
              <w:kern w:val="2"/>
              <w:sz w:val="33"/>
              <w:szCs w:val="33"/>
              <w:lang w:val="en-US" w:eastAsia="zh-CN" w:bidi="ar-SA"/>
            </w:rPr>
            <w:fldChar w:fldCharType="end"/>
          </w:r>
        </w:p>
        <w:p w14:paraId="3A7E64F6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_Toc21628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表1 部门收支总表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_Toc21628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4375A8C7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_Toc18022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表1-1 部门收入总表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_Toc18022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219E5A7D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_Toc21899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 xml:space="preserve">表1-2 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部门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支出总表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_Toc21899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7331E060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_Toc3743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表2 财政拨款收支预算总表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_Toc3743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23AB0702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_Toc12355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表2-1财政拨款支出预算表（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部门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经济分类科目）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_Toc12355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15299912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_Toc9064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表3一般公共预算支出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预算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_Toc9064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0155571C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_Toc17850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表3-1一般公共预算基本支出预算表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_Toc17850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6992B00D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_Toc8118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表3-2一般公共预算项目支出预算表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_Toc8118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1CE25530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_Toc29275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表3-3一般公共预算“三公”经费支出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预算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_Toc29275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12526793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_Toc11854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表4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 xml:space="preserve"> 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政府性基金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预算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支出预算表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_Toc11854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00681E58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_Toc7612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default" w:ascii="Times New Roman" w:hAnsi="Times New Roman" w:eastAsia="方正仿宋_GBK" w:cs="Times New Roman"/>
              <w:sz w:val="33"/>
              <w:szCs w:val="33"/>
            </w:rPr>
            <w:t>表4-1 政府性基金预算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eastAsia="zh-CN"/>
            </w:rPr>
            <w:t>“</w:t>
          </w:r>
          <w:r>
            <w:rPr>
              <w:rFonts w:hint="default" w:ascii="Times New Roman" w:hAnsi="Times New Roman" w:eastAsia="方正仿宋_GBK" w:cs="Times New Roman"/>
              <w:sz w:val="33"/>
              <w:szCs w:val="33"/>
            </w:rPr>
            <w:t>三公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eastAsia="zh-CN"/>
            </w:rPr>
            <w:t>”</w:t>
          </w:r>
          <w:r>
            <w:rPr>
              <w:rFonts w:hint="default" w:ascii="Times New Roman" w:hAnsi="Times New Roman" w:eastAsia="方正仿宋_GBK" w:cs="Times New Roman"/>
              <w:sz w:val="33"/>
              <w:szCs w:val="33"/>
            </w:rPr>
            <w:t>经费支出预算表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_Toc7612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37983E16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_Toc26830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 xml:space="preserve"> 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国有资本经营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预算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支出预算表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_Toc26830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63F5F0DE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_Toc29175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表6 部门预算项目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  <w:lang w:val="en-US" w:eastAsia="zh-CN"/>
            </w:rPr>
            <w:t>支出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绩效目标表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_Toc29175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3D9EE7DB">
          <w:pPr>
            <w:pStyle w:val="11"/>
            <w:keepNext w:val="0"/>
            <w:keepLines w:val="0"/>
            <w:pageBreakBefore w:val="0"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90" w:lineRule="exact"/>
            <w:textAlignment w:val="auto"/>
            <w:rPr>
              <w:rFonts w:hint="eastAsia" w:ascii="Times New Roman" w:hAnsi="Times New Roman" w:eastAsia="方正仿宋_GBK" w:cs="Times New Roman"/>
              <w:sz w:val="33"/>
              <w:szCs w:val="33"/>
            </w:rPr>
          </w:pP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HYPERLINK \l _Toc13327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表7 部门整体支出绩效目标表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ab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begin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instrText xml:space="preserve"> PAGEREF _Toc13327 </w:instrTex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separate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t>15</w:t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  <w:r>
            <w:rPr>
              <w:rFonts w:hint="eastAsia" w:ascii="Times New Roman" w:hAnsi="Times New Roman" w:eastAsia="方正仿宋_GBK" w:cs="Times New Roman"/>
              <w:sz w:val="33"/>
              <w:szCs w:val="33"/>
            </w:rPr>
            <w:fldChar w:fldCharType="end"/>
          </w:r>
        </w:p>
        <w:p w14:paraId="5D957718">
          <w:pPr>
            <w:pStyle w:val="4"/>
            <w:ind w:left="0" w:leftChars="0" w:firstLine="0" w:firstLineChars="0"/>
            <w:rPr>
              <w:rFonts w:ascii="Times New Roman" w:hAnsi="Times New Roman" w:eastAsia="方正小标宋_GBK"/>
              <w:szCs w:val="44"/>
            </w:rPr>
            <w:sectPr>
              <w:footerReference r:id="rId5" w:type="default"/>
              <w:pgSz w:w="11906" w:h="16838"/>
              <w:pgMar w:top="2041" w:right="1531" w:bottom="1701" w:left="1531" w:header="851" w:footer="1474" w:gutter="0"/>
              <w:pgNumType w:fmt="decimal" w:start="1"/>
              <w:cols w:space="425" w:num="1"/>
              <w:docGrid w:linePitch="590" w:charSpace="26655"/>
            </w:sectPr>
          </w:pPr>
        </w:p>
        <w:p w14:paraId="24A04F30">
          <w:pPr>
            <w:pStyle w:val="4"/>
            <w:ind w:left="0" w:leftChars="0" w:firstLine="0" w:firstLineChars="0"/>
          </w:pPr>
          <w:r>
            <w:rPr>
              <w:rFonts w:ascii="Times New Roman" w:hAnsi="Times New Roman" w:eastAsia="方正小标宋_GBK"/>
              <w:szCs w:val="44"/>
            </w:rPr>
            <w:fldChar w:fldCharType="end"/>
          </w:r>
        </w:p>
      </w:sdtContent>
    </w:sdt>
    <w:p w14:paraId="5EF9FFB8">
      <w:pPr>
        <w:rPr>
          <w:rFonts w:ascii="Times New Roman" w:hAnsi="Times New Roman" w:eastAsia="方正小标宋_GBK"/>
          <w:sz w:val="44"/>
          <w:szCs w:val="44"/>
        </w:rPr>
      </w:pPr>
    </w:p>
    <w:p w14:paraId="39A161A1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78D6806E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3BBF9C12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3DC58117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3E5A9430">
      <w:pPr>
        <w:spacing w:line="70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1D33CF3D">
      <w:pPr>
        <w:pStyle w:val="3"/>
        <w:bidi w:val="0"/>
        <w:jc w:val="center"/>
        <w:rPr>
          <w:rFonts w:hint="default" w:ascii="Times New Roman" w:hAnsi="Times New Roman" w:eastAsia="方正小标宋_GBK" w:cs="Times New Roman"/>
          <w:b w:val="0"/>
          <w:kern w:val="2"/>
          <w:sz w:val="44"/>
          <w:szCs w:val="44"/>
          <w:lang w:val="en-US" w:eastAsia="zh-CN" w:bidi="ar-SA"/>
        </w:rPr>
      </w:pPr>
      <w:bookmarkStart w:id="0" w:name="_Toc26169"/>
      <w:r>
        <w:rPr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lang w:val="en-US" w:eastAsia="zh-CN" w:bidi="ar-SA"/>
        </w:rPr>
        <w:t xml:space="preserve">第一部分  </w:t>
      </w:r>
      <w:r>
        <w:rPr>
          <w:rFonts w:ascii="Times New Roman" w:hAnsi="Times New Roman" w:eastAsia="方正小标宋_GBK" w:cs="Times New Roman"/>
          <w:b w:val="0"/>
          <w:kern w:val="2"/>
          <w:sz w:val="44"/>
          <w:szCs w:val="44"/>
          <w:lang w:val="en-US" w:eastAsia="zh-CN" w:bidi="ar-SA"/>
        </w:rPr>
        <w:t>中共广安</w:t>
      </w:r>
      <w:r>
        <w:rPr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lang w:val="en-US" w:eastAsia="zh-CN" w:bidi="ar-SA"/>
        </w:rPr>
        <w:t>市委组织部概况</w:t>
      </w:r>
      <w:bookmarkEnd w:id="0"/>
    </w:p>
    <w:p w14:paraId="496F68C0">
      <w:pPr>
        <w:pStyle w:val="8"/>
      </w:pPr>
    </w:p>
    <w:p w14:paraId="1876B10A">
      <w:pPr>
        <w:pStyle w:val="8"/>
      </w:pPr>
    </w:p>
    <w:p w14:paraId="59E3DDF3">
      <w:pPr>
        <w:pStyle w:val="8"/>
      </w:pPr>
    </w:p>
    <w:p w14:paraId="525CEBD4">
      <w:pPr>
        <w:pStyle w:val="8"/>
      </w:pPr>
    </w:p>
    <w:p w14:paraId="4CD68D33">
      <w:pPr>
        <w:pStyle w:val="8"/>
      </w:pPr>
    </w:p>
    <w:p w14:paraId="7AC97F6F">
      <w:pPr>
        <w:pStyle w:val="8"/>
      </w:pPr>
    </w:p>
    <w:p w14:paraId="1756BEC8">
      <w:pPr>
        <w:pStyle w:val="8"/>
      </w:pPr>
    </w:p>
    <w:p w14:paraId="2E7B252C">
      <w:pPr>
        <w:pStyle w:val="8"/>
      </w:pPr>
    </w:p>
    <w:p w14:paraId="1199A54A">
      <w:pPr>
        <w:pStyle w:val="8"/>
      </w:pPr>
    </w:p>
    <w:p w14:paraId="487B0FE5">
      <w:pPr>
        <w:pStyle w:val="8"/>
      </w:pPr>
    </w:p>
    <w:p w14:paraId="39A5E435">
      <w:pPr>
        <w:pStyle w:val="8"/>
      </w:pPr>
    </w:p>
    <w:p w14:paraId="0AF77674">
      <w:pPr>
        <w:pStyle w:val="8"/>
      </w:pPr>
    </w:p>
    <w:p w14:paraId="44E97CC7">
      <w:pPr>
        <w:pStyle w:val="8"/>
      </w:pPr>
    </w:p>
    <w:p w14:paraId="41BE14CD">
      <w:pPr>
        <w:pStyle w:val="8"/>
      </w:pPr>
    </w:p>
    <w:p w14:paraId="50299D09">
      <w:pPr>
        <w:pStyle w:val="8"/>
      </w:pPr>
    </w:p>
    <w:p w14:paraId="640694F1">
      <w:pPr>
        <w:pStyle w:val="8"/>
      </w:pPr>
    </w:p>
    <w:p w14:paraId="49236202">
      <w:pPr>
        <w:pStyle w:val="8"/>
      </w:pPr>
    </w:p>
    <w:p w14:paraId="34BBE8ED">
      <w:pPr>
        <w:pStyle w:val="8"/>
      </w:pPr>
    </w:p>
    <w:p w14:paraId="3C0750E1">
      <w:pPr>
        <w:pStyle w:val="8"/>
      </w:pPr>
    </w:p>
    <w:p w14:paraId="327BF46D">
      <w:pPr>
        <w:pStyle w:val="8"/>
      </w:pPr>
    </w:p>
    <w:p w14:paraId="315FA98E">
      <w:pPr>
        <w:pStyle w:val="8"/>
      </w:pPr>
    </w:p>
    <w:p w14:paraId="1499D314">
      <w:pPr>
        <w:pStyle w:val="8"/>
      </w:pPr>
    </w:p>
    <w:p w14:paraId="15017B65">
      <w:pPr>
        <w:pStyle w:val="8"/>
      </w:pPr>
    </w:p>
    <w:p w14:paraId="7342B2E7">
      <w:pPr>
        <w:pStyle w:val="8"/>
      </w:pPr>
    </w:p>
    <w:p w14:paraId="1AC8DA79">
      <w:pPr>
        <w:pStyle w:val="8"/>
      </w:pPr>
    </w:p>
    <w:p w14:paraId="24A4428A">
      <w:pPr>
        <w:pStyle w:val="8"/>
      </w:pPr>
    </w:p>
    <w:p w14:paraId="1D6932C3">
      <w:pPr>
        <w:pStyle w:val="8"/>
      </w:pPr>
    </w:p>
    <w:p w14:paraId="117F3491">
      <w:pPr>
        <w:pStyle w:val="8"/>
      </w:pPr>
    </w:p>
    <w:p w14:paraId="1E9AE727">
      <w:pPr>
        <w:pStyle w:val="8"/>
      </w:pPr>
    </w:p>
    <w:p w14:paraId="23CF42D8">
      <w:pPr>
        <w:pStyle w:val="8"/>
      </w:pPr>
    </w:p>
    <w:p w14:paraId="7B479D9E">
      <w:pPr>
        <w:pStyle w:val="8"/>
      </w:pPr>
    </w:p>
    <w:p w14:paraId="4FDFB6C1">
      <w:pPr>
        <w:pStyle w:val="8"/>
      </w:pPr>
    </w:p>
    <w:p w14:paraId="5BA271F2">
      <w:pPr>
        <w:numPr>
          <w:ilvl w:val="0"/>
          <w:numId w:val="1"/>
        </w:num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  <w:sectPr>
          <w:footerReference r:id="rId6" w:type="default"/>
          <w:pgSz w:w="11906" w:h="16838"/>
          <w:pgMar w:top="2041" w:right="1531" w:bottom="1701" w:left="1531" w:header="851" w:footer="1474" w:gutter="0"/>
          <w:pgNumType w:fmt="decimal" w:start="1"/>
          <w:cols w:space="425" w:num="1"/>
          <w:docGrid w:linePitch="590" w:charSpace="26655"/>
        </w:sectPr>
      </w:pPr>
      <w:bookmarkStart w:id="1" w:name="_Toc23030"/>
      <w:bookmarkStart w:id="2" w:name="_Toc18633"/>
    </w:p>
    <w:p w14:paraId="0E78F942">
      <w:pPr>
        <w:numPr>
          <w:ilvl w:val="0"/>
          <w:numId w:val="1"/>
        </w:num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</w:pPr>
      <w:r>
        <w:rPr>
          <w:rFonts w:ascii="Times New Roman" w:hAnsi="Times New Roman" w:eastAsia="方正黑体_GBK"/>
          <w:sz w:val="33"/>
          <w:szCs w:val="33"/>
        </w:rPr>
        <w:t>基本职能及主要工作</w:t>
      </w:r>
      <w:bookmarkEnd w:id="1"/>
      <w:bookmarkEnd w:id="2"/>
    </w:p>
    <w:p w14:paraId="2F8B85DE">
      <w:pPr>
        <w:numPr>
          <w:ilvl w:val="0"/>
          <w:numId w:val="2"/>
        </w:numPr>
        <w:spacing w:line="590" w:lineRule="exact"/>
        <w:ind w:firstLine="663" w:firstLineChars="200"/>
        <w:outlineLvl w:val="2"/>
        <w:rPr>
          <w:rFonts w:ascii="Times New Roman" w:hAnsi="Times New Roman" w:eastAsia="方正楷体_GBK" w:cs="Times New Roman"/>
          <w:b/>
          <w:sz w:val="33"/>
          <w:szCs w:val="33"/>
        </w:rPr>
      </w:pPr>
      <w:bookmarkStart w:id="3" w:name="_Toc28107"/>
      <w:bookmarkStart w:id="4" w:name="_Toc7411"/>
      <w:r>
        <w:rPr>
          <w:rFonts w:hint="eastAsia" w:ascii="Times New Roman" w:hAnsi="Times New Roman" w:eastAsia="方正楷体_GBK" w:cs="Times New Roman"/>
          <w:b/>
          <w:sz w:val="33"/>
          <w:szCs w:val="33"/>
          <w:lang w:val="en-US" w:eastAsia="zh-CN"/>
        </w:rPr>
        <w:t>中共广安市委组织部</w:t>
      </w:r>
      <w:r>
        <w:rPr>
          <w:rFonts w:ascii="Times New Roman" w:hAnsi="Times New Roman" w:eastAsia="方正楷体_GBK" w:cs="Times New Roman"/>
          <w:b/>
          <w:sz w:val="33"/>
          <w:szCs w:val="33"/>
        </w:rPr>
        <w:t>基本职能</w:t>
      </w:r>
      <w:r>
        <w:rPr>
          <w:rFonts w:hint="eastAsia" w:ascii="Times New Roman" w:hAnsi="Times New Roman" w:eastAsia="方正楷体_GBK" w:cs="Times New Roman"/>
          <w:b/>
          <w:sz w:val="33"/>
          <w:szCs w:val="33"/>
          <w:lang w:val="en-US" w:eastAsia="zh-CN"/>
        </w:rPr>
        <w:t>简介</w:t>
      </w:r>
      <w:bookmarkEnd w:id="3"/>
      <w:bookmarkEnd w:id="4"/>
    </w:p>
    <w:p w14:paraId="43A394B7">
      <w:pPr>
        <w:spacing w:line="590" w:lineRule="exact"/>
        <w:ind w:firstLine="660" w:firstLineChars="200"/>
      </w:pP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>中国共产党广安市委员会组织部（部门简称“中共广安市委组织部”）是市委主管组织工作、干部工作、人才工作、公务员工作的职能部门。</w:t>
      </w:r>
    </w:p>
    <w:p w14:paraId="79ED0222">
      <w:pPr>
        <w:spacing w:line="590" w:lineRule="exact"/>
        <w:ind w:firstLine="663" w:firstLineChars="200"/>
        <w:outlineLvl w:val="2"/>
        <w:rPr>
          <w:rFonts w:ascii="Times New Roman" w:hAnsi="Times New Roman" w:eastAsia="方正楷体_GBK" w:cs="Times New Roman"/>
          <w:b/>
          <w:sz w:val="33"/>
          <w:szCs w:val="33"/>
          <w:highlight w:val="none"/>
        </w:rPr>
      </w:pPr>
      <w:bookmarkStart w:id="5" w:name="_Toc9049"/>
      <w:bookmarkStart w:id="6" w:name="_Toc5347"/>
      <w:r>
        <w:rPr>
          <w:rFonts w:ascii="Times New Roman" w:hAnsi="Times New Roman" w:eastAsia="方正楷体_GBK" w:cs="Times New Roman"/>
          <w:b/>
          <w:sz w:val="33"/>
          <w:szCs w:val="33"/>
        </w:rPr>
        <w:t>（二）</w:t>
      </w:r>
      <w:r>
        <w:rPr>
          <w:rFonts w:hint="eastAsia" w:ascii="Times New Roman" w:hAnsi="Times New Roman" w:eastAsia="方正楷体_GBK" w:cs="Times New Roman"/>
          <w:b/>
          <w:sz w:val="33"/>
          <w:szCs w:val="33"/>
          <w:highlight w:val="none"/>
          <w:lang w:eastAsia="zh-CN"/>
        </w:rPr>
        <w:t>中共广安市委组织部</w:t>
      </w:r>
      <w:r>
        <w:rPr>
          <w:rFonts w:ascii="Times New Roman" w:hAnsi="Times New Roman" w:eastAsia="方正楷体_GBK" w:cs="Times New Roman"/>
          <w:b/>
          <w:sz w:val="33"/>
          <w:szCs w:val="33"/>
          <w:highlight w:val="none"/>
        </w:rPr>
        <w:t>202</w:t>
      </w:r>
      <w:r>
        <w:rPr>
          <w:rFonts w:hint="eastAsia" w:ascii="Times New Roman" w:hAnsi="Times New Roman" w:eastAsia="方正楷体_GBK" w:cs="Times New Roman"/>
          <w:b/>
          <w:sz w:val="33"/>
          <w:szCs w:val="33"/>
          <w:highlight w:val="none"/>
          <w:lang w:val="en-US" w:eastAsia="zh-CN"/>
        </w:rPr>
        <w:t>6</w:t>
      </w:r>
      <w:r>
        <w:rPr>
          <w:rFonts w:ascii="Times New Roman" w:hAnsi="Times New Roman" w:eastAsia="方正楷体_GBK" w:cs="Times New Roman"/>
          <w:b/>
          <w:sz w:val="33"/>
          <w:szCs w:val="33"/>
          <w:highlight w:val="none"/>
        </w:rPr>
        <w:t>年重点工作</w:t>
      </w:r>
      <w:bookmarkEnd w:id="5"/>
      <w:bookmarkEnd w:id="6"/>
    </w:p>
    <w:p w14:paraId="4C3C164A">
      <w:pPr>
        <w:adjustRightInd w:val="0"/>
        <w:snapToGrid w:val="0"/>
        <w:spacing w:line="590" w:lineRule="exact"/>
        <w:ind w:firstLine="660" w:firstLineChars="200"/>
        <w:rPr>
          <w:rFonts w:hint="eastAsia" w:ascii="Times New Roman" w:hAnsi="Times New Roman" w:eastAsia="方正仿宋_GBK" w:cs="方正仿宋_GBK"/>
          <w:sz w:val="33"/>
          <w:szCs w:val="33"/>
        </w:rPr>
      </w:pPr>
      <w:bookmarkStart w:id="7" w:name="_Toc3018"/>
      <w:bookmarkStart w:id="8" w:name="_Toc12187"/>
      <w:r>
        <w:rPr>
          <w:rFonts w:hint="eastAsia" w:ascii="Times New Roman" w:hAnsi="Times New Roman" w:eastAsia="方正仿宋_GBK" w:cs="方正仿宋_GBK"/>
          <w:color w:val="000000"/>
          <w:sz w:val="33"/>
          <w:szCs w:val="33"/>
        </w:rPr>
        <w:t>2026年是“十五五”开局之年，也是市县乡集中换届之年，</w:t>
      </w:r>
      <w:r>
        <w:rPr>
          <w:rFonts w:hint="eastAsia" w:ascii="Times New Roman" w:hAnsi="Times New Roman" w:eastAsia="方正仿宋_GBK" w:cs="方正仿宋_GBK"/>
          <w:sz w:val="33"/>
          <w:szCs w:val="33"/>
        </w:rPr>
        <w:t>全市组织系统将坚定以习近平新时代中国特色社会主义思想为指导，牢牢把握</w:t>
      </w:r>
      <w:r>
        <w:rPr>
          <w:rFonts w:hint="eastAsia" w:ascii="Times New Roman" w:hAnsi="Times New Roman" w:eastAsia="方正仿宋_GBK"/>
          <w:kern w:val="0"/>
          <w:sz w:val="33"/>
          <w:szCs w:val="33"/>
        </w:rPr>
        <w:t>市委“加压奋进、量质齐升、聚力成势”工作取向，实干担当、勇毅笃行，为</w:t>
      </w:r>
      <w:r>
        <w:rPr>
          <w:rFonts w:hint="eastAsia" w:ascii="Times New Roman" w:hAnsi="Times New Roman" w:eastAsia="方正仿宋_GBK"/>
          <w:sz w:val="33"/>
          <w:szCs w:val="33"/>
        </w:rPr>
        <w:t>奋力谱写中国式现代化广安新篇章提供坚强组织保证。</w:t>
      </w:r>
      <w:r>
        <w:rPr>
          <w:rFonts w:hint="eastAsia" w:ascii="方正楷体_GBK" w:hAnsi="方正楷体_GBK" w:eastAsia="方正楷体_GBK" w:cs="方正楷体_GBK"/>
          <w:b/>
          <w:bCs/>
          <w:sz w:val="33"/>
          <w:szCs w:val="33"/>
        </w:rPr>
        <w:t>一是强化理论武装筑牢思想根基</w:t>
      </w:r>
      <w:r>
        <w:rPr>
          <w:rFonts w:hint="eastAsia" w:ascii="Times New Roman" w:hAnsi="Times New Roman" w:eastAsia="方正仿宋_GBK"/>
          <w:sz w:val="33"/>
          <w:szCs w:val="33"/>
        </w:rPr>
        <w:t>。</w:t>
      </w:r>
      <w:r>
        <w:rPr>
          <w:rFonts w:hint="eastAsia" w:ascii="Times New Roman" w:hAnsi="Times New Roman" w:eastAsia="方正仿宋_GBK" w:cs="方正仿宋_GBK"/>
          <w:kern w:val="0"/>
          <w:sz w:val="33"/>
          <w:szCs w:val="33"/>
        </w:rPr>
        <w:t>深入实施凝心铸魂计划，扎实推进党的二十届四中全会轮训、</w:t>
      </w:r>
      <w:r>
        <w:rPr>
          <w:rFonts w:hint="eastAsia" w:ascii="Times New Roman" w:hAnsi="Times New Roman" w:eastAsia="方正仿宋_GBK"/>
          <w:sz w:val="33"/>
          <w:szCs w:val="33"/>
        </w:rPr>
        <w:t>新任领导干部提能培训等重点培训，全覆盖开展党员教育培训，深化“小平故里红”党建品牌体系建设，持续</w:t>
      </w:r>
      <w:r>
        <w:rPr>
          <w:rFonts w:hint="eastAsia" w:ascii="Times New Roman" w:hAnsi="Times New Roman" w:eastAsia="方正仿宋_GBK"/>
          <w:bCs/>
          <w:sz w:val="33"/>
          <w:szCs w:val="33"/>
        </w:rPr>
        <w:t>开展“我在小平故里讲党课”等活动，推动党的创新理论更加深入人心</w:t>
      </w:r>
      <w:r>
        <w:rPr>
          <w:rFonts w:hint="eastAsia" w:ascii="Times New Roman" w:hAnsi="Times New Roman" w:eastAsia="方正仿宋_GBK"/>
          <w:sz w:val="33"/>
          <w:szCs w:val="33"/>
        </w:rPr>
        <w:t>。</w:t>
      </w:r>
      <w:r>
        <w:rPr>
          <w:rFonts w:hint="eastAsia" w:ascii="方正楷体_GBK" w:hAnsi="方正楷体_GBK" w:eastAsia="方正楷体_GBK" w:cs="方正楷体_GBK"/>
          <w:b/>
          <w:bCs/>
          <w:sz w:val="33"/>
          <w:szCs w:val="33"/>
        </w:rPr>
        <w:t>二是选优配强班子锻造过硬队伍</w:t>
      </w:r>
      <w:r>
        <w:rPr>
          <w:rFonts w:hint="eastAsia" w:ascii="Times New Roman" w:hAnsi="Times New Roman" w:eastAsia="方正仿宋_GBK" w:cs="方正仿宋_GBK"/>
          <w:sz w:val="33"/>
          <w:szCs w:val="33"/>
        </w:rPr>
        <w:t>。平稳有序推进市县乡集中换届，</w:t>
      </w:r>
      <w:r>
        <w:rPr>
          <w:rFonts w:hint="eastAsia" w:ascii="Times New Roman" w:hAnsi="Times New Roman" w:eastAsia="方正仿宋_GBK" w:cs="方正仿宋_GBK"/>
          <w:color w:val="000000"/>
          <w:sz w:val="33"/>
          <w:szCs w:val="33"/>
        </w:rPr>
        <w:t>完善干部监督信息研判运用机制，</w:t>
      </w:r>
      <w:r>
        <w:rPr>
          <w:rFonts w:hint="eastAsia" w:ascii="Times New Roman" w:hAnsi="Times New Roman" w:eastAsia="方正仿宋_GBK"/>
          <w:bCs/>
          <w:sz w:val="33"/>
          <w:szCs w:val="33"/>
        </w:rPr>
        <w:t>做深做实干部政治素质考察。</w:t>
      </w:r>
      <w:r>
        <w:rPr>
          <w:rFonts w:hint="eastAsia" w:eastAsia="方正仿宋_GBK" w:cs="方正仿宋_GBK"/>
          <w:color w:val="000000"/>
          <w:sz w:val="33"/>
          <w:szCs w:val="33"/>
        </w:rPr>
        <w:t>加强专业化干部队伍建设，</w:t>
      </w:r>
      <w:r>
        <w:rPr>
          <w:rFonts w:hint="eastAsia" w:ascii="Times New Roman" w:hAnsi="Times New Roman" w:eastAsia="方正仿宋_GBK" w:cs="方正仿宋_GBK"/>
          <w:color w:val="000000"/>
          <w:sz w:val="33"/>
          <w:szCs w:val="33"/>
        </w:rPr>
        <w:t>健全完善干部综合考核评价体系，</w:t>
      </w:r>
      <w:r>
        <w:rPr>
          <w:rFonts w:hint="eastAsia" w:eastAsia="方正仿宋_GBK" w:cs="方正仿宋_GBK"/>
          <w:color w:val="000000"/>
          <w:sz w:val="33"/>
          <w:szCs w:val="33"/>
        </w:rPr>
        <w:t>推动干部</w:t>
      </w:r>
      <w:r>
        <w:rPr>
          <w:rFonts w:hint="eastAsia" w:ascii="Times New Roman" w:hAnsi="Times New Roman" w:eastAsia="方正仿宋_GBK" w:cs="方正仿宋_GBK"/>
          <w:color w:val="000000"/>
          <w:sz w:val="33"/>
          <w:szCs w:val="33"/>
        </w:rPr>
        <w:t>能上能下</w:t>
      </w:r>
      <w:r>
        <w:rPr>
          <w:rFonts w:hint="eastAsia" w:eastAsia="方正仿宋_GBK" w:cs="方正仿宋_GBK"/>
          <w:color w:val="000000"/>
          <w:sz w:val="33"/>
          <w:szCs w:val="33"/>
        </w:rPr>
        <w:t>常态化</w:t>
      </w:r>
      <w:r>
        <w:rPr>
          <w:rFonts w:hint="eastAsia" w:ascii="Times New Roman" w:hAnsi="Times New Roman" w:eastAsia="方正仿宋_GBK" w:cs="方正仿宋_GBK"/>
          <w:color w:val="000000"/>
          <w:sz w:val="33"/>
          <w:szCs w:val="33"/>
        </w:rPr>
        <w:t>，激发干事创业内生动力。</w:t>
      </w:r>
      <w:r>
        <w:rPr>
          <w:rFonts w:hint="eastAsia" w:ascii="方正楷体_GBK" w:hAnsi="方正楷体_GBK" w:eastAsia="方正楷体_GBK" w:cs="方正楷体_GBK"/>
          <w:b/>
          <w:bCs/>
          <w:sz w:val="33"/>
          <w:szCs w:val="33"/>
        </w:rPr>
        <w:t>三是夯实基层基础建强战斗堡垒</w:t>
      </w:r>
      <w:r>
        <w:rPr>
          <w:rFonts w:hint="eastAsia" w:ascii="Times New Roman" w:hAnsi="Times New Roman" w:eastAsia="方正仿宋_GBK" w:cs="方正仿宋_GBK"/>
          <w:sz w:val="33"/>
          <w:szCs w:val="33"/>
        </w:rPr>
        <w:t>。</w:t>
      </w:r>
      <w:r>
        <w:rPr>
          <w:rFonts w:hint="eastAsia" w:eastAsia="方正仿宋_GBK"/>
          <w:sz w:val="33"/>
          <w:szCs w:val="33"/>
        </w:rPr>
        <w:t>高质量完成</w:t>
      </w:r>
      <w:r>
        <w:rPr>
          <w:rFonts w:hint="eastAsia" w:ascii="Times New Roman" w:hAnsi="Times New Roman" w:eastAsia="方正仿宋_GBK"/>
          <w:sz w:val="33"/>
          <w:szCs w:val="33"/>
        </w:rPr>
        <w:t>村（社区）“两委”换届工作，</w:t>
      </w:r>
      <w:r>
        <w:rPr>
          <w:rFonts w:hint="eastAsia" w:ascii="Times New Roman" w:hAnsi="Times New Roman" w:eastAsia="方正仿宋_GBK" w:cs="方正仿宋_GBK"/>
          <w:sz w:val="33"/>
          <w:szCs w:val="33"/>
        </w:rPr>
        <w:t>因地制宜发展壮大村集体经济，集中轮换帮扶力量，推动红色美丽村庄建设。全面实施乡镇（街道）履职事项清单，</w:t>
      </w:r>
      <w:r>
        <w:rPr>
          <w:rFonts w:hint="eastAsia" w:eastAsia="方正仿宋_GBK"/>
          <w:sz w:val="33"/>
          <w:szCs w:val="33"/>
        </w:rPr>
        <w:t>持续破解物业服务等领域治理难题，</w:t>
      </w:r>
      <w:r>
        <w:rPr>
          <w:rFonts w:hint="eastAsia" w:ascii="Times New Roman" w:hAnsi="Times New Roman" w:eastAsia="方正仿宋_GBK" w:cs="方正仿宋_GBK"/>
          <w:sz w:val="33"/>
          <w:szCs w:val="33"/>
        </w:rPr>
        <w:t>巩固拓展新兴领域“两个覆盖”集中攻坚成果，不断强化基层党组织政治功能和组织功能。</w:t>
      </w:r>
      <w:r>
        <w:rPr>
          <w:rFonts w:hint="eastAsia" w:ascii="方正楷体_GBK" w:hAnsi="方正楷体_GBK" w:eastAsia="方正楷体_GBK" w:cs="方正楷体_GBK"/>
          <w:b/>
          <w:bCs/>
          <w:sz w:val="33"/>
          <w:szCs w:val="33"/>
        </w:rPr>
        <w:t>四是推进产才融合赋能高质量发展</w:t>
      </w:r>
      <w:r>
        <w:rPr>
          <w:rFonts w:hint="eastAsia" w:ascii="Times New Roman" w:hAnsi="Times New Roman" w:eastAsia="方正仿宋_GBK" w:cs="方正仿宋_GBK"/>
          <w:sz w:val="33"/>
          <w:szCs w:val="33"/>
        </w:rPr>
        <w:t>。</w:t>
      </w:r>
      <w:r>
        <w:rPr>
          <w:rFonts w:hint="eastAsia" w:ascii="Times New Roman" w:hAnsi="Times New Roman" w:eastAsia="方正仿宋_GBK" w:cs="方正仿宋_GBK"/>
          <w:bCs/>
          <w:sz w:val="33"/>
          <w:szCs w:val="33"/>
        </w:rPr>
        <w:t>围绕教育科技人才一体化发展，科学编制“十五五”人才发展规划，加强科技创新和科技成果转化，</w:t>
      </w:r>
      <w:r>
        <w:rPr>
          <w:rFonts w:hint="eastAsia" w:eastAsia="方正仿宋_GBK" w:cs="方正仿宋_GBK"/>
          <w:sz w:val="33"/>
          <w:szCs w:val="33"/>
        </w:rPr>
        <w:t>大力实施“小平故里英才计划”“小平故里培优计划”，</w:t>
      </w:r>
      <w:r>
        <w:rPr>
          <w:rFonts w:hint="eastAsia" w:ascii="Times New Roman" w:hAnsi="Times New Roman" w:eastAsia="方正仿宋_GBK"/>
          <w:sz w:val="33"/>
          <w:szCs w:val="33"/>
        </w:rPr>
        <w:t>持续推进跨省域人才一体化发展，</w:t>
      </w:r>
      <w:r>
        <w:rPr>
          <w:rFonts w:hint="eastAsia" w:eastAsia="方正仿宋_GBK"/>
          <w:sz w:val="33"/>
          <w:szCs w:val="33"/>
        </w:rPr>
        <w:t>深化“人才飞地”“科研飞地”协同创新模式，加快打造区域特色产业人才集聚地。</w:t>
      </w:r>
    </w:p>
    <w:p w14:paraId="587C82F3">
      <w:p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</w:pPr>
      <w:r>
        <w:rPr>
          <w:rFonts w:ascii="Times New Roman" w:hAnsi="Times New Roman" w:eastAsia="方正黑体_GBK"/>
          <w:sz w:val="33"/>
          <w:szCs w:val="33"/>
        </w:rPr>
        <w:t>二、部门</w:t>
      </w:r>
      <w:r>
        <w:rPr>
          <w:rFonts w:hint="eastAsia" w:eastAsia="方正仿宋_GBK" w:cs="Times New Roman"/>
          <w:b/>
          <w:bCs/>
          <w:sz w:val="33"/>
          <w:szCs w:val="33"/>
          <w:lang w:val="en-US" w:eastAsia="zh-CN"/>
        </w:rPr>
        <w:t>预算单位</w:t>
      </w:r>
      <w:r>
        <w:rPr>
          <w:rFonts w:ascii="Times New Roman" w:hAnsi="Times New Roman" w:eastAsia="方正黑体_GBK"/>
          <w:sz w:val="33"/>
          <w:szCs w:val="33"/>
        </w:rPr>
        <w:t>构成情况</w:t>
      </w:r>
      <w:bookmarkEnd w:id="7"/>
      <w:bookmarkEnd w:id="8"/>
    </w:p>
    <w:p w14:paraId="282552FB">
      <w:pPr>
        <w:spacing w:line="590" w:lineRule="exact"/>
        <w:ind w:firstLine="660" w:firstLineChars="200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  <w:bookmarkStart w:id="9" w:name="_Toc24790"/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eastAsia="zh-CN"/>
        </w:rPr>
        <w:t>中共广安市委组织部为一级预算单位，下属二级单位4个（非独立核算），其中行政单位1个，参照公务员法管理的事业单位1个，其他事业单位2个。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>主要包括：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eastAsia="zh-CN"/>
        </w:rPr>
        <w:t>1．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>中共广安市委组织部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>本级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eastAsia="zh-CN"/>
        </w:rPr>
        <w:t>）、2.市委党员教育中心、3．广安市高端人才服务中心、4．广安市干部人事档案服务中心。</w:t>
      </w:r>
      <w:r>
        <w:rPr>
          <w:rFonts w:hint="eastAsia" w:ascii="Times New Roman" w:hAnsi="Times New Roman" w:eastAsia="方正仿宋_GBK" w:cs="Times New Roman"/>
          <w:color w:val="000000"/>
          <w:sz w:val="33"/>
          <w:szCs w:val="33"/>
          <w:lang w:val="en-US" w:eastAsia="zh-CN"/>
        </w:rPr>
        <w:t>其中市委</w:t>
      </w:r>
      <w:r>
        <w:rPr>
          <w:rFonts w:ascii="Times New Roman" w:hAnsi="Times New Roman" w:eastAsia="方正仿宋_GBK"/>
          <w:color w:val="000000"/>
          <w:sz w:val="33"/>
          <w:szCs w:val="33"/>
        </w:rPr>
        <w:t>党员教育中心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eastAsia="zh-CN"/>
        </w:rPr>
        <w:t>、</w:t>
      </w:r>
      <w:r>
        <w:rPr>
          <w:rFonts w:ascii="Times New Roman" w:hAnsi="Times New Roman" w:eastAsia="方正仿宋_GBK"/>
          <w:color w:val="000000"/>
          <w:sz w:val="33"/>
          <w:szCs w:val="33"/>
        </w:rPr>
        <w:t>广安市高端人才服务中心、广安市干部人事档案服务中心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统一纳入中共广安市委组织部预算编报范围进行预算管理，在中共广安市委组织部统一作预算公开。</w:t>
      </w:r>
    </w:p>
    <w:p w14:paraId="794977E9">
      <w:pPr>
        <w:pStyle w:val="4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0EDDCFF">
      <w:pPr>
        <w:pStyle w:val="5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6191C50">
      <w:pPr>
        <w:pStyle w:val="7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1142B30D">
      <w:pP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13E911C">
      <w:pPr>
        <w:pStyle w:val="4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470094C">
      <w:pPr>
        <w:pStyle w:val="5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7C52E11">
      <w:pPr>
        <w:pStyle w:val="7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0951B9F4">
      <w:pP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1627EFD8">
      <w:pPr>
        <w:pStyle w:val="4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751E6A47">
      <w:pPr>
        <w:pStyle w:val="5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C05636F">
      <w:pPr>
        <w:pStyle w:val="7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18D5F73B">
      <w:pP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1738384D">
      <w:pPr>
        <w:pStyle w:val="4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599AC048">
      <w:pPr>
        <w:pStyle w:val="5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20AAB099">
      <w:pPr>
        <w:pStyle w:val="7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FFD9FAF">
      <w:pP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E8CFD59">
      <w:pPr>
        <w:pStyle w:val="4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3067F748">
      <w:pPr>
        <w:pStyle w:val="5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0162638F">
      <w:pPr>
        <w:pStyle w:val="7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3CE3E6B0">
      <w:pP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5F237710">
      <w:pPr>
        <w:pStyle w:val="4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227629F7">
      <w:pPr>
        <w:pStyle w:val="5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4FAA7274">
      <w:pPr>
        <w:pStyle w:val="7"/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</w:pPr>
    </w:p>
    <w:p w14:paraId="6AFEBB60">
      <w:pPr>
        <w:spacing w:line="700" w:lineRule="exact"/>
        <w:jc w:val="center"/>
        <w:outlineLvl w:val="0"/>
        <w:rPr>
          <w:rFonts w:hint="eastAsia" w:ascii="Times New Roman" w:hAnsi="Times New Roman" w:eastAsia="方正小标宋_GBK"/>
          <w:sz w:val="44"/>
          <w:szCs w:val="44"/>
          <w:lang w:eastAsia="zh-CN"/>
        </w:rPr>
      </w:pPr>
      <w:bookmarkStart w:id="10" w:name="_Toc31428"/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 xml:space="preserve">第二部分  </w:t>
      </w:r>
      <w:r>
        <w:rPr>
          <w:rFonts w:ascii="Times New Roman" w:hAnsi="Times New Roman" w:eastAsia="方正小标宋_GBK"/>
          <w:sz w:val="44"/>
          <w:szCs w:val="44"/>
        </w:rPr>
        <w:t>中共广安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市委组织部</w:t>
      </w:r>
      <w:bookmarkEnd w:id="10"/>
    </w:p>
    <w:p w14:paraId="69EB73D7">
      <w:pPr>
        <w:spacing w:line="700" w:lineRule="exact"/>
        <w:jc w:val="center"/>
        <w:outlineLvl w:val="1"/>
        <w:rPr>
          <w:rFonts w:hint="default" w:ascii="Times New Roman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 xml:space="preserve">        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 xml:space="preserve"> </w:t>
      </w:r>
      <w:bookmarkStart w:id="11" w:name="_Toc17645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年部门预算情况说明</w:t>
      </w:r>
      <w:bookmarkEnd w:id="11"/>
    </w:p>
    <w:p w14:paraId="38991AAC">
      <w:pPr>
        <w:pStyle w:val="5"/>
        <w:rPr>
          <w:rFonts w:hint="default"/>
          <w:lang w:val="en-US" w:eastAsia="zh-CN"/>
        </w:rPr>
      </w:pPr>
    </w:p>
    <w:p w14:paraId="7A7AC0D8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49241702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3C2CFFD2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407455F1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6666A019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7896C48F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53D5409F">
      <w:pPr>
        <w:spacing w:line="590" w:lineRule="exact"/>
        <w:ind w:firstLine="660" w:firstLineChars="200"/>
        <w:outlineLvl w:val="9"/>
        <w:rPr>
          <w:rFonts w:ascii="Times New Roman" w:hAnsi="Times New Roman" w:eastAsia="方正黑体_GBK"/>
          <w:sz w:val="33"/>
          <w:szCs w:val="33"/>
        </w:rPr>
      </w:pPr>
    </w:p>
    <w:p w14:paraId="08C96BE0">
      <w:pPr>
        <w:pStyle w:val="4"/>
        <w:rPr>
          <w:rFonts w:ascii="Times New Roman" w:hAnsi="Times New Roman" w:eastAsia="方正黑体_GBK"/>
          <w:sz w:val="33"/>
          <w:szCs w:val="33"/>
        </w:rPr>
      </w:pPr>
    </w:p>
    <w:p w14:paraId="1F6247AC">
      <w:pPr>
        <w:pStyle w:val="5"/>
        <w:rPr>
          <w:rFonts w:ascii="Times New Roman" w:hAnsi="Times New Roman" w:eastAsia="方正黑体_GBK"/>
          <w:sz w:val="33"/>
          <w:szCs w:val="33"/>
        </w:rPr>
      </w:pPr>
    </w:p>
    <w:p w14:paraId="63058DE0">
      <w:pPr>
        <w:pStyle w:val="7"/>
        <w:rPr>
          <w:rFonts w:ascii="Times New Roman" w:hAnsi="Times New Roman" w:eastAsia="方正黑体_GBK"/>
          <w:sz w:val="33"/>
          <w:szCs w:val="33"/>
        </w:rPr>
      </w:pPr>
    </w:p>
    <w:p w14:paraId="3FC0B083"/>
    <w:p w14:paraId="6A2AF300">
      <w:pPr>
        <w:spacing w:line="590" w:lineRule="exact"/>
        <w:ind w:firstLine="660" w:firstLineChars="200"/>
        <w:outlineLvl w:val="1"/>
        <w:rPr>
          <w:rFonts w:hint="eastAsia" w:ascii="Times New Roman" w:hAnsi="Times New Roman" w:eastAsia="方正黑体_GBK"/>
          <w:sz w:val="33"/>
          <w:szCs w:val="33"/>
          <w:lang w:val="en-US" w:eastAsia="zh-CN"/>
        </w:rPr>
      </w:pPr>
      <w:bookmarkStart w:id="12" w:name="_Toc17735"/>
      <w:bookmarkStart w:id="13" w:name="_Toc16885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一</w:t>
      </w:r>
      <w:r>
        <w:rPr>
          <w:rFonts w:ascii="Times New Roman" w:hAnsi="Times New Roman" w:eastAsia="方正黑体_GBK"/>
          <w:sz w:val="33"/>
          <w:szCs w:val="33"/>
        </w:rPr>
        <w:t>、收支预算情况</w:t>
      </w:r>
      <w:bookmarkEnd w:id="9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说明</w:t>
      </w:r>
      <w:bookmarkEnd w:id="12"/>
      <w:bookmarkEnd w:id="13"/>
    </w:p>
    <w:p w14:paraId="1211EA03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  <w:highlight w:val="none"/>
        </w:rPr>
      </w:pP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按照综合管理的原则，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eastAsia="zh-CN"/>
        </w:rPr>
        <w:t>中共广安市委组织部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所有收入和支出均纳入了部门预算管理。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收入包括：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一般公共预算拨款收入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1598.21万元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；支出包括：一般公共服务支出1428.94万元、社会保障和就业支出123.63万元、卫生健康支出45.64万元。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eastAsia="zh-CN"/>
        </w:rPr>
        <w:t>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年收支总预算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万元，较202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5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年收支总预算数合计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eastAsia="zh-CN"/>
        </w:rPr>
        <w:t>增加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83.69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万元，主要是因为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</w:rPr>
        <w:t>人员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增加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。</w:t>
      </w:r>
    </w:p>
    <w:p w14:paraId="34BCE2E3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14" w:name="_Toc23815"/>
      <w:bookmarkStart w:id="15" w:name="_Toc27911"/>
      <w:r>
        <w:rPr>
          <w:rFonts w:ascii="Times New Roman" w:hAnsi="Times New Roman" w:eastAsia="方正楷体_GBK"/>
          <w:b/>
          <w:sz w:val="33"/>
          <w:szCs w:val="33"/>
        </w:rPr>
        <w:t>（一）收入预算情况</w:t>
      </w:r>
      <w:bookmarkEnd w:id="14"/>
      <w:bookmarkEnd w:id="15"/>
    </w:p>
    <w:p w14:paraId="2B23AB8D">
      <w:pPr>
        <w:spacing w:line="590" w:lineRule="exact"/>
        <w:ind w:firstLine="660" w:firstLineChars="200"/>
        <w:rPr>
          <w:rFonts w:ascii="Times New Roman" w:hAnsi="Times New Roman" w:eastAsia="方正仿宋_GBK"/>
          <w:color w:val="000000"/>
          <w:sz w:val="33"/>
          <w:szCs w:val="33"/>
        </w:rPr>
      </w:pPr>
      <w:r>
        <w:rPr>
          <w:rFonts w:hint="eastAsia" w:ascii="Times New Roman" w:hAnsi="Times New Roman" w:eastAsia="方正仿宋_GBK"/>
          <w:color w:val="000000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sz w:val="33"/>
          <w:szCs w:val="33"/>
        </w:rPr>
        <w:t>年收入预算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color w:val="000000"/>
          <w:sz w:val="33"/>
          <w:szCs w:val="33"/>
        </w:rPr>
        <w:t>万元，其中：上年结转0万元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eastAsia="zh-CN"/>
        </w:rPr>
        <w:t>，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占比0%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；一般公共预算拨款收入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color w:val="000000"/>
          <w:sz w:val="33"/>
          <w:szCs w:val="33"/>
        </w:rPr>
        <w:t>万元，占100%。</w:t>
      </w:r>
    </w:p>
    <w:p w14:paraId="5E7FA052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16" w:name="_Toc11722"/>
      <w:bookmarkStart w:id="17" w:name="_Toc10047"/>
      <w:r>
        <w:rPr>
          <w:rFonts w:ascii="Times New Roman" w:hAnsi="Times New Roman" w:eastAsia="方正楷体_GBK"/>
          <w:b/>
          <w:sz w:val="33"/>
          <w:szCs w:val="33"/>
        </w:rPr>
        <w:t>（二）支出预算情况</w:t>
      </w:r>
      <w:bookmarkEnd w:id="16"/>
      <w:bookmarkEnd w:id="17"/>
    </w:p>
    <w:p w14:paraId="3E011CB2">
      <w:pPr>
        <w:spacing w:line="590" w:lineRule="exact"/>
        <w:ind w:firstLine="660" w:firstLineChars="200"/>
        <w:rPr>
          <w:rFonts w:ascii="Times New Roman" w:hAnsi="Times New Roman" w:eastAsia="方正仿宋_GBK"/>
          <w:color w:val="000000"/>
          <w:sz w:val="33"/>
          <w:szCs w:val="33"/>
        </w:rPr>
      </w:pPr>
      <w:r>
        <w:rPr>
          <w:rFonts w:hint="eastAsia" w:ascii="Times New Roman" w:hAnsi="Times New Roman" w:eastAsia="方正仿宋_GBK"/>
          <w:color w:val="000000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sz w:val="33"/>
          <w:szCs w:val="33"/>
        </w:rPr>
        <w:t>年支出预算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color w:val="000000"/>
          <w:sz w:val="33"/>
          <w:szCs w:val="33"/>
        </w:rPr>
        <w:t>万元，其中：基本支出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1261.21</w:t>
      </w:r>
      <w:r>
        <w:rPr>
          <w:rFonts w:ascii="Times New Roman" w:hAnsi="Times New Roman" w:eastAsia="方正仿宋_GBK"/>
          <w:color w:val="000000"/>
          <w:sz w:val="33"/>
          <w:szCs w:val="33"/>
        </w:rPr>
        <w:t>万元，占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78.91</w:t>
      </w:r>
      <w:r>
        <w:rPr>
          <w:rFonts w:ascii="Times New Roman" w:hAnsi="Times New Roman" w:eastAsia="方正仿宋_GBK"/>
          <w:color w:val="000000"/>
          <w:sz w:val="33"/>
          <w:szCs w:val="33"/>
        </w:rPr>
        <w:t>%；项目支出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337</w:t>
      </w:r>
      <w:r>
        <w:rPr>
          <w:rFonts w:ascii="Times New Roman" w:hAnsi="Times New Roman" w:eastAsia="方正仿宋_GBK"/>
          <w:color w:val="000000"/>
          <w:sz w:val="33"/>
          <w:szCs w:val="33"/>
        </w:rPr>
        <w:t>万元，占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21.09</w:t>
      </w:r>
      <w:r>
        <w:rPr>
          <w:rFonts w:ascii="Times New Roman" w:hAnsi="Times New Roman" w:eastAsia="方正仿宋_GBK"/>
          <w:color w:val="000000"/>
          <w:sz w:val="33"/>
          <w:szCs w:val="33"/>
        </w:rPr>
        <w:t>%。</w:t>
      </w:r>
    </w:p>
    <w:p w14:paraId="301AD902">
      <w:pPr>
        <w:spacing w:line="590" w:lineRule="exact"/>
        <w:ind w:firstLine="660" w:firstLineChars="200"/>
        <w:outlineLvl w:val="1"/>
        <w:rPr>
          <w:rFonts w:hint="eastAsia" w:ascii="Times New Roman" w:hAnsi="Times New Roman" w:eastAsia="方正黑体_GBK"/>
          <w:sz w:val="33"/>
          <w:szCs w:val="33"/>
          <w:lang w:val="en-US" w:eastAsia="zh-CN"/>
        </w:rPr>
      </w:pPr>
      <w:bookmarkStart w:id="18" w:name="_Toc901"/>
      <w:bookmarkStart w:id="19" w:name="_Toc15335"/>
      <w:bookmarkStart w:id="20" w:name="_Toc16512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二</w:t>
      </w:r>
      <w:r>
        <w:rPr>
          <w:rFonts w:ascii="Times New Roman" w:hAnsi="Times New Roman" w:eastAsia="方正黑体_GBK"/>
          <w:sz w:val="33"/>
          <w:szCs w:val="33"/>
        </w:rPr>
        <w:t>、财政拨款收支预算情况</w:t>
      </w:r>
      <w:bookmarkEnd w:id="18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说明</w:t>
      </w:r>
      <w:bookmarkEnd w:id="19"/>
      <w:bookmarkEnd w:id="20"/>
    </w:p>
    <w:p w14:paraId="4EDA7501">
      <w:pPr>
        <w:spacing w:line="590" w:lineRule="exact"/>
        <w:ind w:firstLine="660" w:firstLineChars="200"/>
        <w:rPr>
          <w:rFonts w:ascii="Times New Roman" w:hAnsi="Times New Roman" w:eastAsia="方正仿宋_GBK"/>
          <w:color w:val="000000"/>
          <w:sz w:val="33"/>
          <w:szCs w:val="33"/>
        </w:rPr>
      </w:pPr>
      <w:r>
        <w:rPr>
          <w:rFonts w:hint="eastAsia" w:ascii="Times New Roman" w:hAnsi="Times New Roman" w:eastAsia="方正仿宋_GBK"/>
          <w:color w:val="000000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color w:val="000000"/>
          <w:sz w:val="33"/>
          <w:szCs w:val="33"/>
        </w:rPr>
        <w:t>年财政拨款收支预算总数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color w:val="000000"/>
          <w:sz w:val="33"/>
          <w:szCs w:val="33"/>
        </w:rPr>
        <w:t>万元，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比</w:t>
      </w:r>
      <w:r>
        <w:rPr>
          <w:rFonts w:ascii="Times New Roman" w:hAnsi="Times New Roman" w:eastAsia="方正仿宋_GBK"/>
          <w:color w:val="000000"/>
          <w:sz w:val="33"/>
          <w:szCs w:val="33"/>
        </w:rPr>
        <w:t>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5</w:t>
      </w:r>
      <w:r>
        <w:rPr>
          <w:rFonts w:ascii="Times New Roman" w:hAnsi="Times New Roman" w:eastAsia="方正仿宋_GBK"/>
          <w:color w:val="000000"/>
          <w:sz w:val="33"/>
          <w:szCs w:val="33"/>
        </w:rPr>
        <w:t>年收支预算总数合计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增加83.69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万元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，主要是因为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人员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增加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。</w:t>
      </w:r>
    </w:p>
    <w:p w14:paraId="27B1EBB9">
      <w:pPr>
        <w:spacing w:line="590" w:lineRule="exact"/>
        <w:ind w:firstLine="66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/>
          <w:sz w:val="33"/>
          <w:szCs w:val="33"/>
        </w:rPr>
        <w:t>收入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包括：本年</w:t>
      </w:r>
      <w:r>
        <w:rPr>
          <w:rFonts w:ascii="Times New Roman" w:hAnsi="Times New Roman" w:eastAsia="方正仿宋_GBK"/>
          <w:sz w:val="33"/>
          <w:szCs w:val="33"/>
        </w:rPr>
        <w:t>一般公共预算拨款收入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sz w:val="33"/>
          <w:szCs w:val="33"/>
        </w:rPr>
        <w:t>万元。支出包括：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一般公共服务支出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1428.94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万元、社会保障和就业支出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123.63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万元、卫生健康支出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45.64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万元。</w:t>
      </w:r>
    </w:p>
    <w:p w14:paraId="573069F7">
      <w:pPr>
        <w:spacing w:line="590" w:lineRule="exact"/>
        <w:ind w:firstLine="660" w:firstLineChars="200"/>
        <w:outlineLvl w:val="1"/>
        <w:rPr>
          <w:rFonts w:hint="eastAsia" w:ascii="Times New Roman" w:hAnsi="Times New Roman" w:eastAsia="方正黑体_GBK"/>
          <w:sz w:val="33"/>
          <w:szCs w:val="33"/>
          <w:lang w:val="en-US" w:eastAsia="zh-CN"/>
        </w:rPr>
      </w:pPr>
      <w:bookmarkStart w:id="21" w:name="_Toc20911"/>
      <w:bookmarkStart w:id="22" w:name="_Toc28273"/>
      <w:bookmarkStart w:id="23" w:name="_Toc30480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三</w:t>
      </w:r>
      <w:r>
        <w:rPr>
          <w:rFonts w:ascii="Times New Roman" w:hAnsi="Times New Roman" w:eastAsia="方正黑体_GBK"/>
          <w:sz w:val="33"/>
          <w:szCs w:val="33"/>
        </w:rPr>
        <w:t>、一般公共预算当年财政拨款情况</w:t>
      </w:r>
      <w:bookmarkEnd w:id="21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说明</w:t>
      </w:r>
      <w:bookmarkEnd w:id="22"/>
      <w:bookmarkEnd w:id="23"/>
    </w:p>
    <w:p w14:paraId="23210659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24" w:name="_Toc4915"/>
      <w:bookmarkStart w:id="25" w:name="_Toc20746"/>
      <w:r>
        <w:rPr>
          <w:rFonts w:ascii="Times New Roman" w:hAnsi="Times New Roman" w:eastAsia="方正楷体_GBK"/>
          <w:b/>
          <w:sz w:val="33"/>
          <w:szCs w:val="33"/>
        </w:rPr>
        <w:t>（一）一般公共预算当年财政拨款规模变化情况</w:t>
      </w:r>
      <w:bookmarkEnd w:id="24"/>
      <w:bookmarkEnd w:id="25"/>
    </w:p>
    <w:p w14:paraId="2FBA8A9F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年一般公共预算当年财政拨款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1598.21</w:t>
      </w:r>
      <w:r>
        <w:rPr>
          <w:rFonts w:ascii="Times New Roman" w:hAnsi="Times New Roman" w:eastAsia="方正仿宋_GBK"/>
          <w:sz w:val="33"/>
          <w:szCs w:val="33"/>
        </w:rPr>
        <w:t>万元</w:t>
      </w:r>
      <w:r>
        <w:rPr>
          <w:rFonts w:hint="eastAsia" w:ascii="Times New Roman" w:hAnsi="Times New Roman" w:eastAsia="方正仿宋_GBK"/>
          <w:sz w:val="33"/>
          <w:szCs w:val="33"/>
        </w:rPr>
        <w:t>，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比</w:t>
      </w:r>
      <w:r>
        <w:rPr>
          <w:rFonts w:ascii="Times New Roman" w:hAnsi="Times New Roman" w:eastAsia="方正仿宋_GBK"/>
          <w:color w:val="000000"/>
          <w:sz w:val="33"/>
          <w:szCs w:val="33"/>
        </w:rPr>
        <w:t>202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5</w:t>
      </w:r>
      <w:r>
        <w:rPr>
          <w:rFonts w:ascii="Times New Roman" w:hAnsi="Times New Roman" w:eastAsia="方正仿宋_GBK"/>
          <w:color w:val="000000"/>
          <w:sz w:val="33"/>
          <w:szCs w:val="33"/>
        </w:rPr>
        <w:t>年预算数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增加83.69</w:t>
      </w:r>
      <w:r>
        <w:rPr>
          <w:rFonts w:ascii="Times New Roman" w:hAnsi="Times New Roman" w:eastAsia="方正仿宋_GBK"/>
          <w:color w:val="000000"/>
          <w:sz w:val="33"/>
          <w:szCs w:val="33"/>
          <w:highlight w:val="none"/>
        </w:rPr>
        <w:t>万元</w:t>
      </w:r>
      <w:r>
        <w:rPr>
          <w:rFonts w:ascii="Times New Roman" w:hAnsi="Times New Roman" w:eastAsia="方正仿宋_GBK"/>
          <w:color w:val="000000"/>
          <w:sz w:val="33"/>
          <w:szCs w:val="33"/>
        </w:rPr>
        <w:t>，主要是因为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人员</w:t>
      </w:r>
      <w:r>
        <w:rPr>
          <w:rFonts w:hint="eastAsia" w:ascii="Times New Roman" w:hAnsi="Times New Roman" w:eastAsia="方正仿宋_GBK"/>
          <w:color w:val="000000"/>
          <w:sz w:val="33"/>
          <w:szCs w:val="33"/>
          <w:lang w:val="en-US" w:eastAsia="zh-CN"/>
        </w:rPr>
        <w:t>增加</w:t>
      </w:r>
      <w:r>
        <w:rPr>
          <w:rFonts w:hint="eastAsia" w:ascii="Times New Roman" w:hAnsi="Times New Roman" w:eastAsia="方正仿宋_GBK"/>
          <w:color w:val="000000"/>
          <w:sz w:val="33"/>
          <w:szCs w:val="33"/>
        </w:rPr>
        <w:t>。</w:t>
      </w:r>
    </w:p>
    <w:p w14:paraId="2F9DDF1C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  <w:highlight w:val="none"/>
        </w:rPr>
      </w:pPr>
      <w:bookmarkStart w:id="26" w:name="_Toc1561"/>
      <w:bookmarkStart w:id="27" w:name="_Toc11499"/>
      <w:r>
        <w:rPr>
          <w:rFonts w:ascii="Times New Roman" w:hAnsi="Times New Roman" w:eastAsia="方正楷体_GBK"/>
          <w:b/>
          <w:sz w:val="33"/>
          <w:szCs w:val="33"/>
          <w:highlight w:val="none"/>
        </w:rPr>
        <w:t>（二）一般公共预算当年财政拨款结构情况</w:t>
      </w:r>
      <w:bookmarkEnd w:id="26"/>
      <w:bookmarkEnd w:id="27"/>
    </w:p>
    <w:p w14:paraId="4A78346A">
      <w:pPr>
        <w:spacing w:line="590" w:lineRule="exact"/>
        <w:ind w:firstLine="64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一般公共服务支出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1428.94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</w:t>
      </w:r>
      <w:r>
        <w:rPr>
          <w:rFonts w:ascii="Times New Roman" w:hAnsi="Times New Roman" w:eastAsia="方正仿宋_GBK"/>
          <w:sz w:val="33"/>
          <w:szCs w:val="33"/>
        </w:rPr>
        <w:t>，占</w:t>
      </w:r>
      <w:r>
        <w:rPr>
          <w:rFonts w:hint="eastAsia" w:ascii="Times New Roman" w:hAnsi="Times New Roman" w:eastAsia="方正仿宋_GBK"/>
          <w:sz w:val="33"/>
          <w:szCs w:val="33"/>
        </w:rPr>
        <w:t>89.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41</w:t>
      </w:r>
      <w:r>
        <w:rPr>
          <w:rFonts w:ascii="Times New Roman" w:hAnsi="Times New Roman" w:eastAsia="方正仿宋_GBK"/>
          <w:sz w:val="33"/>
          <w:szCs w:val="33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社会保障和就业支出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123.63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</w:t>
      </w:r>
      <w:r>
        <w:rPr>
          <w:rFonts w:ascii="Times New Roman" w:hAnsi="Times New Roman" w:eastAsia="方正仿宋_GBK"/>
          <w:sz w:val="33"/>
          <w:szCs w:val="33"/>
        </w:rPr>
        <w:t>，占</w:t>
      </w:r>
      <w:r>
        <w:rPr>
          <w:rFonts w:hint="eastAsia" w:ascii="Times New Roman" w:hAnsi="Times New Roman" w:eastAsia="方正仿宋_GBK"/>
          <w:sz w:val="33"/>
          <w:szCs w:val="33"/>
        </w:rPr>
        <w:t>7.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74</w:t>
      </w:r>
      <w:r>
        <w:rPr>
          <w:rFonts w:ascii="Times New Roman" w:hAnsi="Times New Roman" w:eastAsia="方正仿宋_GBK"/>
          <w:sz w:val="33"/>
          <w:szCs w:val="33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卫生健康支出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>45.64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</w:t>
      </w:r>
      <w:r>
        <w:rPr>
          <w:rFonts w:ascii="Times New Roman" w:hAnsi="Times New Roman" w:eastAsia="方正仿宋_GBK"/>
          <w:sz w:val="33"/>
          <w:szCs w:val="33"/>
        </w:rPr>
        <w:t>，占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2.85</w:t>
      </w:r>
      <w:r>
        <w:rPr>
          <w:rFonts w:ascii="Times New Roman" w:hAnsi="Times New Roman" w:eastAsia="方正仿宋_GBK"/>
          <w:sz w:val="33"/>
          <w:szCs w:val="33"/>
        </w:rPr>
        <w:t>%。</w:t>
      </w:r>
    </w:p>
    <w:p w14:paraId="49557CCB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28" w:name="_Toc30538"/>
      <w:bookmarkStart w:id="29" w:name="_Toc787"/>
      <w:r>
        <w:rPr>
          <w:rFonts w:ascii="Times New Roman" w:hAnsi="Times New Roman" w:eastAsia="方正楷体_GBK"/>
          <w:b/>
          <w:sz w:val="33"/>
          <w:szCs w:val="33"/>
        </w:rPr>
        <w:t>（三）一般公共预算当年拨款具体使用情况</w:t>
      </w:r>
      <w:bookmarkEnd w:id="28"/>
      <w:bookmarkEnd w:id="29"/>
    </w:p>
    <w:p w14:paraId="4888BBCF">
      <w:pPr>
        <w:spacing w:line="590" w:lineRule="exact"/>
        <w:ind w:firstLine="660" w:firstLineChars="200"/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</w:pPr>
      <w:r>
        <w:rPr>
          <w:rFonts w:ascii="Times New Roman" w:hAnsi="Times New Roman" w:eastAsia="方正仿宋_GBK" w:cs="Times New Roman"/>
          <w:sz w:val="33"/>
          <w:szCs w:val="33"/>
          <w:highlight w:val="none"/>
        </w:rPr>
        <w:t>1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</w:rPr>
        <w:t>．</w:t>
      </w:r>
      <w:r>
        <w:rPr>
          <w:rFonts w:ascii="Times New Roman" w:hAnsi="Times New Roman" w:eastAsia="方正仿宋_GBK" w:cs="Times New Roman"/>
          <w:sz w:val="33"/>
          <w:szCs w:val="33"/>
          <w:highlight w:val="none"/>
        </w:rPr>
        <w:t>一般公共服务支出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类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组织事务（款）行政运行（项）2026年预算数为924.31万元，主要用于公务员</w:t>
      </w:r>
      <w:r>
        <w:rPr>
          <w:rFonts w:ascii="Times New Roman" w:hAnsi="Times New Roman" w:eastAsia="方正仿宋_GBK" w:cs="Times New Roman"/>
          <w:sz w:val="33"/>
          <w:szCs w:val="33"/>
          <w:highlight w:val="none"/>
        </w:rPr>
        <w:t>基本工资、津贴补贴、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机关运转。</w:t>
      </w:r>
    </w:p>
    <w:p w14:paraId="76E6467F">
      <w:pPr>
        <w:spacing w:line="590" w:lineRule="exact"/>
        <w:ind w:firstLine="660" w:firstLineChars="200"/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．</w:t>
      </w:r>
      <w:r>
        <w:rPr>
          <w:rFonts w:ascii="Times New Roman" w:hAnsi="Times New Roman" w:eastAsia="方正仿宋_GBK" w:cs="Times New Roman"/>
          <w:sz w:val="33"/>
          <w:szCs w:val="33"/>
        </w:rPr>
        <w:t>一般公共服务支出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类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组织事务（款）公务员事务支出（项）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年预算数为100万元，主要用于干部招录、干部慰问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等支出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。</w:t>
      </w:r>
    </w:p>
    <w:p w14:paraId="798E4A57">
      <w:pPr>
        <w:spacing w:line="590" w:lineRule="exact"/>
        <w:ind w:firstLine="660" w:firstLineChars="200"/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</w:rPr>
        <w:t>．</w:t>
      </w:r>
      <w:r>
        <w:rPr>
          <w:rFonts w:ascii="Times New Roman" w:hAnsi="Times New Roman" w:eastAsia="方正仿宋_GBK" w:cs="Times New Roman"/>
          <w:sz w:val="33"/>
          <w:szCs w:val="33"/>
          <w:highlight w:val="none"/>
        </w:rPr>
        <w:t>一般公共服务支出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类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组织事务（款）事业运行（项）2026年预算数为167.62万元，主要用于事业人员</w:t>
      </w:r>
      <w:r>
        <w:rPr>
          <w:rFonts w:ascii="Times New Roman" w:hAnsi="Times New Roman" w:eastAsia="方正仿宋_GBK" w:cs="Times New Roman"/>
          <w:sz w:val="33"/>
          <w:szCs w:val="33"/>
          <w:highlight w:val="none"/>
        </w:rPr>
        <w:t>基本工资、津贴补贴、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事业单位运转。</w:t>
      </w:r>
    </w:p>
    <w:p w14:paraId="4B8167D8">
      <w:pPr>
        <w:spacing w:line="590" w:lineRule="exact"/>
        <w:ind w:firstLine="660" w:firstLineChars="200"/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．</w:t>
      </w:r>
      <w:r>
        <w:rPr>
          <w:rFonts w:ascii="Times New Roman" w:hAnsi="Times New Roman" w:eastAsia="方正仿宋_GBK" w:cs="Times New Roman"/>
          <w:sz w:val="33"/>
          <w:szCs w:val="33"/>
        </w:rPr>
        <w:t>一般公共服务支出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类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组织事务（款）其他组织事务支出（项）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年预算数为232万元，主要用于干部队伍建设、党员教育等相关支出。</w:t>
      </w:r>
    </w:p>
    <w:p w14:paraId="12546207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3"/>
          <w:szCs w:val="33"/>
        </w:rPr>
        <w:t>．</w:t>
      </w:r>
      <w:r>
        <w:rPr>
          <w:rFonts w:ascii="Times New Roman" w:hAnsi="Times New Roman" w:eastAsia="方正仿宋_GBK"/>
          <w:sz w:val="33"/>
          <w:szCs w:val="33"/>
        </w:rPr>
        <w:t>社会保障和就业支出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类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行政事业单位养老支出（款）机关事业单位基本养老保险缴费支出（项）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ascii="Times New Roman" w:hAnsi="Times New Roman" w:eastAsia="方正仿宋_GBK"/>
          <w:sz w:val="33"/>
          <w:szCs w:val="33"/>
        </w:rPr>
        <w:t>年预算数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123.63</w:t>
      </w:r>
      <w:r>
        <w:rPr>
          <w:rFonts w:ascii="Times New Roman" w:hAnsi="Times New Roman" w:eastAsia="方正仿宋_GBK"/>
          <w:sz w:val="33"/>
          <w:szCs w:val="33"/>
        </w:rPr>
        <w:t>万元，主要用于职工基本养老保险缴费支出。</w:t>
      </w:r>
    </w:p>
    <w:p w14:paraId="23821C76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．卫生健康支出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类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行政事业单位医疗（款）行政单位医疗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ascii="Times New Roman" w:hAnsi="Times New Roman" w:eastAsia="方正仿宋_GBK"/>
          <w:sz w:val="33"/>
          <w:szCs w:val="33"/>
        </w:rPr>
        <w:t>年预算数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28.11</w:t>
      </w:r>
      <w:r>
        <w:rPr>
          <w:rFonts w:ascii="Times New Roman" w:hAnsi="Times New Roman" w:eastAsia="方正仿宋_GBK"/>
          <w:sz w:val="33"/>
          <w:szCs w:val="33"/>
        </w:rPr>
        <w:t>万元，主要用于按照规定标准为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公务员</w:t>
      </w:r>
      <w:r>
        <w:rPr>
          <w:rFonts w:ascii="Times New Roman" w:hAnsi="Times New Roman" w:eastAsia="方正仿宋_GBK"/>
          <w:sz w:val="33"/>
          <w:szCs w:val="33"/>
        </w:rPr>
        <w:t>缴纳的基本医疗保险支出。</w:t>
      </w:r>
    </w:p>
    <w:p w14:paraId="657514CA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7</w:t>
      </w:r>
      <w:r>
        <w:rPr>
          <w:rFonts w:ascii="Times New Roman" w:hAnsi="Times New Roman" w:eastAsia="方正仿宋_GBK"/>
          <w:sz w:val="33"/>
          <w:szCs w:val="33"/>
        </w:rPr>
        <w:t>．卫生健康支出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类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行政事业单位医疗（款）事业单位医疗（项）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ascii="Times New Roman" w:hAnsi="Times New Roman" w:eastAsia="方正仿宋_GBK"/>
          <w:sz w:val="33"/>
          <w:szCs w:val="33"/>
        </w:rPr>
        <w:t>年预算数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5.67</w:t>
      </w:r>
      <w:r>
        <w:rPr>
          <w:rFonts w:ascii="Times New Roman" w:hAnsi="Times New Roman" w:eastAsia="方正仿宋_GBK"/>
          <w:sz w:val="33"/>
          <w:szCs w:val="33"/>
        </w:rPr>
        <w:t>万元，主要用于按照规定标准为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事业人员</w:t>
      </w:r>
      <w:r>
        <w:rPr>
          <w:rFonts w:ascii="Times New Roman" w:hAnsi="Times New Roman" w:eastAsia="方正仿宋_GBK"/>
          <w:sz w:val="33"/>
          <w:szCs w:val="33"/>
        </w:rPr>
        <w:t>缴纳的基本医疗保险支出。</w:t>
      </w:r>
    </w:p>
    <w:p w14:paraId="0729C2B8">
      <w:pPr>
        <w:spacing w:line="590" w:lineRule="exact"/>
        <w:ind w:firstLine="660" w:firstLineChars="200"/>
        <w:rPr>
          <w:rFonts w:hint="eastAsia" w:ascii="Times New Roman" w:hAnsi="Times New Roman" w:eastAsia="方正仿宋_GBK"/>
          <w:sz w:val="33"/>
          <w:szCs w:val="33"/>
          <w:lang w:eastAsia="zh-CN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8</w:t>
      </w:r>
      <w:r>
        <w:rPr>
          <w:rFonts w:ascii="Times New Roman" w:hAnsi="Times New Roman" w:eastAsia="方正仿宋_GBK"/>
          <w:sz w:val="33"/>
          <w:szCs w:val="33"/>
        </w:rPr>
        <w:t>．卫生健康支出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类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行政事业单位医疗（款）公务员医疗补助（项）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ascii="Times New Roman" w:hAnsi="Times New Roman" w:eastAsia="方正仿宋_GBK"/>
          <w:sz w:val="33"/>
          <w:szCs w:val="33"/>
        </w:rPr>
        <w:t>年预算数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11.86</w:t>
      </w:r>
      <w:r>
        <w:rPr>
          <w:rFonts w:ascii="Times New Roman" w:hAnsi="Times New Roman" w:eastAsia="方正仿宋_GBK"/>
          <w:sz w:val="33"/>
          <w:szCs w:val="33"/>
        </w:rPr>
        <w:t>万元，主要用于按照规定标准为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公务员</w:t>
      </w:r>
      <w:r>
        <w:rPr>
          <w:rFonts w:ascii="Times New Roman" w:hAnsi="Times New Roman" w:eastAsia="方正仿宋_GBK"/>
          <w:sz w:val="33"/>
          <w:szCs w:val="33"/>
        </w:rPr>
        <w:t>缴纳的医疗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补助</w:t>
      </w:r>
      <w:r>
        <w:rPr>
          <w:rFonts w:ascii="Times New Roman" w:hAnsi="Times New Roman" w:eastAsia="方正仿宋_GBK"/>
          <w:sz w:val="33"/>
          <w:szCs w:val="33"/>
        </w:rPr>
        <w:t>支出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。</w:t>
      </w:r>
    </w:p>
    <w:p w14:paraId="609E6E80">
      <w:pPr>
        <w:spacing w:line="590" w:lineRule="exact"/>
        <w:ind w:firstLine="660" w:firstLineChars="200"/>
        <w:rPr>
          <w:rFonts w:hint="default" w:ascii="Times New Roman" w:hAnsi="Times New Roman" w:eastAsia="方正仿宋_GBK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9</w:t>
      </w:r>
      <w:r>
        <w:rPr>
          <w:rFonts w:ascii="Times New Roman" w:hAnsi="Times New Roman" w:eastAsia="方正仿宋_GBK"/>
          <w:sz w:val="33"/>
          <w:szCs w:val="33"/>
        </w:rPr>
        <w:t>．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一般公共服务支出（类）纪检监察事务（款）其他纪检监察事务支出（项）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年预算数5万元，主要用于驻部纪检监察组工作经费。</w:t>
      </w:r>
    </w:p>
    <w:p w14:paraId="2844DF92">
      <w:p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</w:pPr>
      <w:bookmarkStart w:id="30" w:name="_Toc12669"/>
      <w:bookmarkStart w:id="31" w:name="_Toc24469"/>
      <w:bookmarkStart w:id="32" w:name="_Toc27614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四</w:t>
      </w:r>
      <w:r>
        <w:rPr>
          <w:rFonts w:ascii="Times New Roman" w:hAnsi="Times New Roman" w:eastAsia="方正黑体_GBK"/>
          <w:sz w:val="33"/>
          <w:szCs w:val="33"/>
        </w:rPr>
        <w:t>、一般公共预算基本支出情况说明</w:t>
      </w:r>
      <w:bookmarkEnd w:id="30"/>
      <w:bookmarkEnd w:id="31"/>
      <w:bookmarkEnd w:id="32"/>
    </w:p>
    <w:p w14:paraId="0ED15EB5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  <w:highlight w:val="none"/>
        </w:rPr>
      </w:pPr>
      <w:r>
        <w:rPr>
          <w:rFonts w:hint="eastAsia" w:ascii="Times New Roman" w:hAnsi="Times New Roman" w:eastAsia="方正仿宋_GBK"/>
          <w:sz w:val="33"/>
          <w:szCs w:val="33"/>
          <w:highlight w:val="none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sz w:val="33"/>
          <w:szCs w:val="33"/>
          <w:highlight w:val="none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  <w:highlight w:val="none"/>
        </w:rPr>
        <w:t>年一般公共预算基本支出</w:t>
      </w:r>
      <w:r>
        <w:rPr>
          <w:rFonts w:hint="eastAsia" w:ascii="Times New Roman" w:hAnsi="Times New Roman" w:eastAsia="方正仿宋_GBK"/>
          <w:color w:val="000000"/>
          <w:sz w:val="33"/>
          <w:szCs w:val="33"/>
          <w:highlight w:val="none"/>
          <w:lang w:val="en-US" w:eastAsia="zh-CN"/>
        </w:rPr>
        <w:t>1261.21</w:t>
      </w:r>
      <w:r>
        <w:rPr>
          <w:rFonts w:ascii="Times New Roman" w:hAnsi="Times New Roman" w:eastAsia="方正仿宋_GBK"/>
          <w:sz w:val="33"/>
          <w:szCs w:val="33"/>
          <w:highlight w:val="none"/>
        </w:rPr>
        <w:t>万元，其中：</w:t>
      </w:r>
    </w:p>
    <w:p w14:paraId="298058C0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ascii="Times New Roman" w:hAnsi="Times New Roman" w:eastAsia="方正仿宋_GBK"/>
          <w:sz w:val="33"/>
          <w:szCs w:val="33"/>
        </w:rPr>
        <w:t>人员经费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950.79</w:t>
      </w:r>
      <w:r>
        <w:rPr>
          <w:rFonts w:ascii="Times New Roman" w:hAnsi="Times New Roman" w:eastAsia="方正仿宋_GBK"/>
          <w:sz w:val="33"/>
          <w:szCs w:val="33"/>
        </w:rPr>
        <w:t>万元，主要包括：基本工资、津贴补贴、</w:t>
      </w:r>
      <w:r>
        <w:rPr>
          <w:rFonts w:hint="eastAsia" w:ascii="Times New Roman" w:hAnsi="Times New Roman" w:eastAsia="方正仿宋_GBK"/>
          <w:sz w:val="33"/>
          <w:szCs w:val="33"/>
        </w:rPr>
        <w:t>奖金、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公务员年终一次性奖金、基础绩效奖、绩效工资、机关事业单位基本养老保险缴费、</w:t>
      </w:r>
      <w:r>
        <w:rPr>
          <w:rFonts w:ascii="Times New Roman" w:hAnsi="Times New Roman" w:eastAsia="方正仿宋_GBK"/>
          <w:sz w:val="33"/>
          <w:szCs w:val="33"/>
        </w:rPr>
        <w:t>职工基本医疗保险缴费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、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工伤保险、失业保险</w:t>
      </w:r>
      <w:r>
        <w:rPr>
          <w:rFonts w:ascii="Times New Roman" w:hAnsi="Times New Roman" w:eastAsia="方正仿宋_GBK"/>
          <w:sz w:val="33"/>
          <w:szCs w:val="33"/>
        </w:rPr>
        <w:t>等支出。</w:t>
      </w:r>
    </w:p>
    <w:p w14:paraId="37D3796D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ascii="Times New Roman" w:hAnsi="Times New Roman" w:eastAsia="方正仿宋_GBK"/>
          <w:sz w:val="33"/>
          <w:szCs w:val="33"/>
        </w:rPr>
        <w:t>公用经费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310.41</w:t>
      </w:r>
      <w:r>
        <w:rPr>
          <w:rFonts w:ascii="Times New Roman" w:hAnsi="Times New Roman" w:eastAsia="方正仿宋_GBK"/>
          <w:sz w:val="33"/>
          <w:szCs w:val="33"/>
        </w:rPr>
        <w:t>万元，主要包括：办公费、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印刷费、水费、电费、邮电费、物业管理费、差旅费、维修（护）费、会议费、</w:t>
      </w:r>
      <w:r>
        <w:rPr>
          <w:rFonts w:hint="eastAsia" w:ascii="Times New Roman" w:hAnsi="Times New Roman" w:eastAsia="方正仿宋_GBK"/>
          <w:sz w:val="33"/>
          <w:szCs w:val="33"/>
        </w:rPr>
        <w:t>培训费、公务接待费、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工会经费、福利费、</w:t>
      </w:r>
      <w:r>
        <w:rPr>
          <w:rFonts w:hint="eastAsia" w:ascii="Times New Roman" w:hAnsi="Times New Roman" w:eastAsia="方正仿宋_GBK"/>
          <w:sz w:val="33"/>
          <w:szCs w:val="33"/>
        </w:rPr>
        <w:t>公务用车运行维护费、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其他商品服务支出</w:t>
      </w:r>
      <w:r>
        <w:rPr>
          <w:rFonts w:ascii="Times New Roman" w:hAnsi="Times New Roman" w:eastAsia="方正仿宋_GBK"/>
          <w:sz w:val="33"/>
          <w:szCs w:val="33"/>
        </w:rPr>
        <w:t>等支出。</w:t>
      </w:r>
    </w:p>
    <w:p w14:paraId="235B7244">
      <w:p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</w:pPr>
      <w:bookmarkStart w:id="33" w:name="_Toc4717"/>
      <w:bookmarkStart w:id="34" w:name="_Toc11358"/>
      <w:bookmarkStart w:id="35" w:name="_Toc2558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五</w:t>
      </w:r>
      <w:r>
        <w:rPr>
          <w:rFonts w:ascii="Times New Roman" w:hAnsi="Times New Roman" w:eastAsia="方正黑体_GBK"/>
          <w:sz w:val="33"/>
          <w:szCs w:val="33"/>
        </w:rPr>
        <w:t>、</w:t>
      </w:r>
      <w:r>
        <w:rPr>
          <w:rFonts w:hint="eastAsia" w:ascii="Times New Roman" w:hAnsi="Times New Roman" w:eastAsia="方正黑体_GBK"/>
          <w:sz w:val="33"/>
          <w:szCs w:val="33"/>
        </w:rPr>
        <w:t>“</w:t>
      </w:r>
      <w:r>
        <w:rPr>
          <w:rFonts w:ascii="Times New Roman" w:hAnsi="Times New Roman" w:eastAsia="方正黑体_GBK"/>
          <w:sz w:val="33"/>
          <w:szCs w:val="33"/>
        </w:rPr>
        <w:t>三公</w:t>
      </w:r>
      <w:r>
        <w:rPr>
          <w:rFonts w:hint="eastAsia" w:ascii="Times New Roman" w:hAnsi="Times New Roman" w:eastAsia="方正黑体_GBK"/>
          <w:sz w:val="33"/>
          <w:szCs w:val="33"/>
        </w:rPr>
        <w:t>”</w:t>
      </w:r>
      <w:r>
        <w:rPr>
          <w:rFonts w:ascii="Times New Roman" w:hAnsi="Times New Roman" w:eastAsia="方正黑体_GBK"/>
          <w:sz w:val="33"/>
          <w:szCs w:val="33"/>
        </w:rPr>
        <w:t>经费财政拨款预算安排情况说明</w:t>
      </w:r>
      <w:bookmarkEnd w:id="33"/>
      <w:bookmarkEnd w:id="34"/>
      <w:bookmarkEnd w:id="35"/>
    </w:p>
    <w:p w14:paraId="1D779F80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</w:t>
      </w:r>
      <w:r>
        <w:rPr>
          <w:rFonts w:hint="eastAsia" w:ascii="Times New Roman" w:hAnsi="Times New Roman" w:eastAsia="方正仿宋_GBK"/>
          <w:sz w:val="33"/>
          <w:szCs w:val="33"/>
        </w:rPr>
        <w:t>“</w:t>
      </w:r>
      <w:r>
        <w:rPr>
          <w:rFonts w:ascii="Times New Roman" w:hAnsi="Times New Roman" w:eastAsia="方正仿宋_GBK"/>
          <w:sz w:val="33"/>
          <w:szCs w:val="33"/>
        </w:rPr>
        <w:t>三公</w:t>
      </w:r>
      <w:r>
        <w:rPr>
          <w:rFonts w:hint="eastAsia" w:ascii="Times New Roman" w:hAnsi="Times New Roman" w:eastAsia="方正仿宋_GBK"/>
          <w:sz w:val="33"/>
          <w:szCs w:val="33"/>
        </w:rPr>
        <w:t>”</w:t>
      </w:r>
      <w:r>
        <w:rPr>
          <w:rFonts w:ascii="Times New Roman" w:hAnsi="Times New Roman" w:eastAsia="方正仿宋_GBK"/>
          <w:sz w:val="33"/>
          <w:szCs w:val="33"/>
        </w:rPr>
        <w:t>经费财政拨款预算</w:t>
      </w:r>
      <w:r>
        <w:rPr>
          <w:rFonts w:hint="eastAsia" w:ascii="Times New Roman" w:hAnsi="Times New Roman" w:eastAsia="方正仿宋_GBK"/>
          <w:sz w:val="33"/>
          <w:szCs w:val="33"/>
        </w:rPr>
        <w:t>10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.26</w:t>
      </w:r>
      <w:r>
        <w:rPr>
          <w:rFonts w:hint="eastAsia" w:ascii="Times New Roman" w:hAnsi="Times New Roman" w:eastAsia="方正仿宋_GBK"/>
          <w:sz w:val="33"/>
          <w:szCs w:val="33"/>
        </w:rPr>
        <w:t>万元</w:t>
      </w:r>
      <w:r>
        <w:rPr>
          <w:rFonts w:ascii="Times New Roman" w:hAnsi="Times New Roman" w:eastAsia="方正仿宋_GBK"/>
          <w:sz w:val="33"/>
          <w:szCs w:val="33"/>
        </w:rPr>
        <w:t>，其中：公务接待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费2.85</w:t>
      </w:r>
      <w:r>
        <w:rPr>
          <w:rFonts w:ascii="Times New Roman" w:hAnsi="Times New Roman" w:eastAsia="方正仿宋_GBK"/>
          <w:sz w:val="33"/>
          <w:szCs w:val="33"/>
        </w:rPr>
        <w:t>万元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，</w:t>
      </w:r>
      <w:r>
        <w:rPr>
          <w:rFonts w:ascii="Times New Roman" w:hAnsi="Times New Roman" w:eastAsia="方正仿宋_GBK"/>
          <w:sz w:val="33"/>
          <w:szCs w:val="33"/>
        </w:rPr>
        <w:t>公务用车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购置及</w:t>
      </w:r>
      <w:r>
        <w:rPr>
          <w:rFonts w:ascii="Times New Roman" w:hAnsi="Times New Roman" w:eastAsia="方正仿宋_GBK"/>
          <w:sz w:val="33"/>
          <w:szCs w:val="33"/>
        </w:rPr>
        <w:t>运行维护费</w:t>
      </w:r>
      <w:r>
        <w:rPr>
          <w:rFonts w:hint="eastAsia" w:ascii="Times New Roman" w:hAnsi="Times New Roman" w:eastAsia="方正仿宋_GBK"/>
          <w:sz w:val="33"/>
          <w:szCs w:val="33"/>
        </w:rPr>
        <w:t>7.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41</w:t>
      </w:r>
      <w:r>
        <w:rPr>
          <w:rFonts w:ascii="Times New Roman" w:hAnsi="Times New Roman" w:eastAsia="方正仿宋_GBK"/>
          <w:sz w:val="33"/>
          <w:szCs w:val="33"/>
        </w:rPr>
        <w:t>万元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，</w:t>
      </w:r>
      <w:r>
        <w:rPr>
          <w:rFonts w:ascii="Times New Roman" w:hAnsi="Times New Roman" w:eastAsia="方正仿宋_GBK"/>
          <w:sz w:val="33"/>
          <w:szCs w:val="33"/>
        </w:rPr>
        <w:t>因公出国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（</w:t>
      </w:r>
      <w:r>
        <w:rPr>
          <w:rFonts w:ascii="Times New Roman" w:hAnsi="Times New Roman" w:eastAsia="方正仿宋_GBK"/>
          <w:sz w:val="33"/>
          <w:szCs w:val="33"/>
        </w:rPr>
        <w:t>境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）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经费</w:t>
      </w:r>
      <w:r>
        <w:rPr>
          <w:rFonts w:ascii="Times New Roman" w:hAnsi="Times New Roman" w:eastAsia="方正仿宋_GBK"/>
          <w:sz w:val="33"/>
          <w:szCs w:val="33"/>
        </w:rPr>
        <w:t>0万元。</w:t>
      </w:r>
    </w:p>
    <w:p w14:paraId="09F7D23E">
      <w:pPr>
        <w:spacing w:line="590" w:lineRule="exact"/>
        <w:ind w:firstLine="663" w:firstLineChars="200"/>
        <w:rPr>
          <w:rFonts w:ascii="Times New Roman" w:hAnsi="Times New Roman" w:eastAsia="方正楷体_GBK"/>
          <w:b/>
          <w:sz w:val="33"/>
          <w:szCs w:val="33"/>
        </w:rPr>
      </w:pP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一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）因公出国（境）经费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与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202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5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年预算数持平</w:t>
      </w:r>
    </w:p>
    <w:p w14:paraId="78548973">
      <w:pPr>
        <w:spacing w:line="590" w:lineRule="exact"/>
        <w:ind w:firstLine="663" w:firstLineChars="200"/>
        <w:rPr>
          <w:rFonts w:ascii="Times New Roman" w:hAnsi="Times New Roman" w:eastAsia="方正楷体_GBK"/>
          <w:b/>
          <w:sz w:val="33"/>
          <w:szCs w:val="33"/>
        </w:rPr>
      </w:pP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二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）公务接待费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与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202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5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年预算数持平。</w:t>
      </w:r>
    </w:p>
    <w:p w14:paraId="294CAB4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firstLine="660" w:firstLineChars="200"/>
        <w:textAlignment w:val="auto"/>
        <w:rPr>
          <w:rFonts w:hint="default" w:ascii="Times New Roman" w:hAnsi="Times New Roman" w:eastAsia="方正楷体_GBK"/>
          <w:b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3"/>
          <w:szCs w:val="33"/>
          <w:highlight w:val="none"/>
          <w:lang w:val="en-US" w:eastAsia="zh-CN" w:bidi="ar-SA"/>
        </w:rPr>
        <w:t>2026年公务接待费计划用于党员、干部、人才等方面上级、同级来我部的相关接待。</w:t>
      </w:r>
    </w:p>
    <w:p w14:paraId="6BE8CAB9">
      <w:pPr>
        <w:spacing w:line="590" w:lineRule="exact"/>
        <w:ind w:firstLine="663" w:firstLineChars="200"/>
        <w:rPr>
          <w:rFonts w:hint="default" w:ascii="Times New Roman" w:hAnsi="Times New Roman" w:eastAsia="方正楷体_GBK"/>
          <w:b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（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三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）公务用车购置及运行维护费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与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202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5</w:t>
      </w:r>
      <w:r>
        <w:rPr>
          <w:rFonts w:hint="eastAsia" w:ascii="Times New Roman" w:hAnsi="Times New Roman" w:eastAsia="方正楷体_GBK"/>
          <w:b/>
          <w:sz w:val="33"/>
          <w:szCs w:val="33"/>
          <w:lang w:eastAsia="zh-CN"/>
        </w:rPr>
        <w:t>年预算数持平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。</w:t>
      </w:r>
    </w:p>
    <w:p w14:paraId="0304B28D">
      <w:pPr>
        <w:spacing w:line="590" w:lineRule="exact"/>
        <w:ind w:firstLine="660" w:firstLineChars="200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  <w:r>
        <w:rPr>
          <w:rFonts w:ascii="Times New Roman" w:hAnsi="Times New Roman" w:eastAsia="方正仿宋_GBK"/>
          <w:sz w:val="33"/>
          <w:szCs w:val="33"/>
        </w:rPr>
        <w:t>单位现有公务用车</w:t>
      </w:r>
      <w:r>
        <w:rPr>
          <w:rFonts w:hint="eastAsia" w:ascii="Times New Roman" w:hAnsi="Times New Roman" w:eastAsia="方正仿宋_GBK"/>
          <w:sz w:val="33"/>
          <w:szCs w:val="33"/>
        </w:rPr>
        <w:t>2</w:t>
      </w:r>
      <w:r>
        <w:rPr>
          <w:rFonts w:ascii="Times New Roman" w:hAnsi="Times New Roman" w:eastAsia="方正仿宋_GBK"/>
          <w:sz w:val="33"/>
          <w:szCs w:val="33"/>
        </w:rPr>
        <w:t>辆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，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其中：越野车2辆。</w:t>
      </w:r>
    </w:p>
    <w:p w14:paraId="19A687C7">
      <w:pPr>
        <w:spacing w:line="590" w:lineRule="exact"/>
        <w:ind w:firstLine="660" w:firstLineChars="200"/>
        <w:rPr>
          <w:rFonts w:hint="default" w:ascii="Times New Roman" w:hAnsi="Times New Roman" w:eastAsia="方正仿宋_GBK"/>
          <w:sz w:val="33"/>
          <w:szCs w:val="33"/>
          <w:lang w:val="en-US" w:eastAsia="zh-CN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2026年安排公务用车购置费0万元，拟购置公务用车0辆。</w:t>
      </w:r>
    </w:p>
    <w:p w14:paraId="3DA16FDB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年安排公务用车运行维护费</w:t>
      </w:r>
      <w:r>
        <w:rPr>
          <w:rFonts w:hint="eastAsia" w:ascii="Times New Roman" w:hAnsi="Times New Roman" w:eastAsia="方正仿宋_GBK"/>
          <w:sz w:val="33"/>
          <w:szCs w:val="33"/>
        </w:rPr>
        <w:t>7.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41</w:t>
      </w:r>
      <w:r>
        <w:rPr>
          <w:rFonts w:ascii="Times New Roman" w:hAnsi="Times New Roman" w:eastAsia="方正仿宋_GBK"/>
          <w:sz w:val="33"/>
          <w:szCs w:val="33"/>
        </w:rPr>
        <w:t>万元，用于</w:t>
      </w:r>
      <w:r>
        <w:rPr>
          <w:rFonts w:hint="eastAsia" w:ascii="Times New Roman" w:hAnsi="Times New Roman" w:eastAsia="方正仿宋_GBK"/>
          <w:sz w:val="33"/>
          <w:szCs w:val="33"/>
        </w:rPr>
        <w:t>2</w:t>
      </w:r>
      <w:r>
        <w:rPr>
          <w:rFonts w:ascii="Times New Roman" w:hAnsi="Times New Roman" w:eastAsia="方正仿宋_GBK"/>
          <w:sz w:val="33"/>
          <w:szCs w:val="33"/>
        </w:rPr>
        <w:t>辆公务用车燃油、过路（桥）、维修、保险等方面支出，主要保障开展工作应急用车。</w:t>
      </w:r>
    </w:p>
    <w:p w14:paraId="0259C79D">
      <w:p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</w:pPr>
      <w:bookmarkStart w:id="36" w:name="_Toc5943"/>
      <w:bookmarkStart w:id="37" w:name="_Toc16717"/>
      <w:bookmarkStart w:id="38" w:name="_Toc6332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六</w:t>
      </w:r>
      <w:r>
        <w:rPr>
          <w:rFonts w:ascii="Times New Roman" w:hAnsi="Times New Roman" w:eastAsia="方正黑体_GBK"/>
          <w:sz w:val="33"/>
          <w:szCs w:val="33"/>
        </w:rPr>
        <w:t>、政府性基金预算支出情况说明</w:t>
      </w:r>
      <w:bookmarkEnd w:id="36"/>
      <w:bookmarkEnd w:id="37"/>
      <w:bookmarkEnd w:id="38"/>
    </w:p>
    <w:p w14:paraId="12161902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年没有使用政府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性</w:t>
      </w:r>
      <w:r>
        <w:rPr>
          <w:rFonts w:ascii="Times New Roman" w:hAnsi="Times New Roman" w:eastAsia="方正仿宋_GBK"/>
          <w:sz w:val="33"/>
          <w:szCs w:val="33"/>
        </w:rPr>
        <w:t>基金预算拨款安排的支出。</w:t>
      </w:r>
    </w:p>
    <w:p w14:paraId="5E19C5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textAlignment w:val="auto"/>
        <w:outlineLvl w:val="1"/>
        <w:rPr>
          <w:rFonts w:hint="eastAsia" w:ascii="Times New Roman" w:hAnsi="Times New Roman" w:eastAsia="方正黑体_GBK"/>
          <w:sz w:val="33"/>
          <w:szCs w:val="33"/>
          <w:lang w:val="en-US" w:eastAsia="zh-CN"/>
        </w:rPr>
      </w:pPr>
      <w:bookmarkStart w:id="39" w:name="_Toc26417"/>
      <w:bookmarkStart w:id="40" w:name="_Toc13436"/>
      <w:bookmarkStart w:id="41" w:name="_Toc374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七</w:t>
      </w:r>
      <w:r>
        <w:rPr>
          <w:rFonts w:ascii="Times New Roman" w:hAnsi="Times New Roman" w:eastAsia="方正黑体_GBK"/>
          <w:sz w:val="33"/>
          <w:szCs w:val="33"/>
        </w:rPr>
        <w:t>、</w:t>
      </w:r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国有资产经营预算情况说明</w:t>
      </w:r>
      <w:bookmarkEnd w:id="39"/>
      <w:bookmarkEnd w:id="40"/>
      <w:bookmarkEnd w:id="41"/>
    </w:p>
    <w:p w14:paraId="02C08FE9">
      <w:pPr>
        <w:spacing w:line="590" w:lineRule="exact"/>
        <w:ind w:firstLine="660" w:firstLineChars="200"/>
      </w:pP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年没有使用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国有资本经营预算拨款</w:t>
      </w:r>
      <w:r>
        <w:rPr>
          <w:rFonts w:ascii="Times New Roman" w:hAnsi="Times New Roman" w:eastAsia="方正仿宋_GBK"/>
          <w:sz w:val="33"/>
          <w:szCs w:val="33"/>
        </w:rPr>
        <w:t>安排的支出。</w:t>
      </w:r>
    </w:p>
    <w:p w14:paraId="58CB8C44">
      <w:pPr>
        <w:spacing w:line="590" w:lineRule="exact"/>
        <w:ind w:firstLine="660" w:firstLineChars="200"/>
        <w:outlineLvl w:val="1"/>
        <w:rPr>
          <w:rFonts w:ascii="Times New Roman" w:hAnsi="Times New Roman" w:eastAsia="方正黑体_GBK"/>
          <w:sz w:val="33"/>
          <w:szCs w:val="33"/>
        </w:rPr>
      </w:pPr>
      <w:bookmarkStart w:id="42" w:name="_Toc3012"/>
      <w:bookmarkStart w:id="43" w:name="_Toc15592"/>
      <w:bookmarkStart w:id="44" w:name="_Toc17665"/>
      <w:r>
        <w:rPr>
          <w:rFonts w:hint="eastAsia" w:ascii="Times New Roman" w:hAnsi="Times New Roman" w:eastAsia="方正黑体_GBK"/>
          <w:sz w:val="33"/>
          <w:szCs w:val="33"/>
          <w:lang w:val="en-US" w:eastAsia="zh-CN"/>
        </w:rPr>
        <w:t>八</w:t>
      </w:r>
      <w:r>
        <w:rPr>
          <w:rFonts w:ascii="Times New Roman" w:hAnsi="Times New Roman" w:eastAsia="方正黑体_GBK"/>
          <w:sz w:val="33"/>
          <w:szCs w:val="33"/>
        </w:rPr>
        <w:t>、其他重要事项的情况说明</w:t>
      </w:r>
      <w:bookmarkEnd w:id="42"/>
      <w:bookmarkEnd w:id="43"/>
      <w:bookmarkEnd w:id="44"/>
    </w:p>
    <w:p w14:paraId="1D33F3E2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45" w:name="_Toc25666"/>
      <w:bookmarkStart w:id="46" w:name="_Toc14619"/>
      <w:r>
        <w:rPr>
          <w:rFonts w:ascii="Times New Roman" w:hAnsi="Times New Roman" w:eastAsia="方正楷体_GBK"/>
          <w:b/>
          <w:sz w:val="33"/>
          <w:szCs w:val="33"/>
        </w:rPr>
        <w:t>（一）机关运行经费情况</w:t>
      </w:r>
      <w:bookmarkEnd w:id="45"/>
      <w:bookmarkEnd w:id="46"/>
    </w:p>
    <w:p w14:paraId="022FD683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年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，中共广安市委组织部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下属中共广安市委组织部机关（本级）1家行政单位、市委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党员教育中心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1家参公管理事业单位以及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广安市高端人才服务中心、广安市干部人事档案服务中心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2家事业单位的</w:t>
      </w:r>
      <w:r>
        <w:rPr>
          <w:rFonts w:hint="eastAsia" w:ascii="Times New Roman" w:hAnsi="Times New Roman" w:eastAsia="方正仿宋_GBK" w:cs="Times New Roman"/>
          <w:sz w:val="33"/>
          <w:szCs w:val="33"/>
        </w:rPr>
        <w:t>机关运行经费财政拨款预算为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</w:rPr>
        <w:t>310.41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万元</w:t>
      </w:r>
      <w:r>
        <w:rPr>
          <w:rFonts w:ascii="Times New Roman" w:hAnsi="Times New Roman" w:eastAsia="方正仿宋_GBK"/>
          <w:sz w:val="33"/>
          <w:szCs w:val="33"/>
        </w:rPr>
        <w:t>，较20</w:t>
      </w:r>
      <w:r>
        <w:rPr>
          <w:rFonts w:hint="eastAsia" w:ascii="Times New Roman" w:hAnsi="Times New Roman" w:eastAsia="方正仿宋_GBK"/>
          <w:sz w:val="33"/>
          <w:szCs w:val="33"/>
        </w:rPr>
        <w:t>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5</w:t>
      </w:r>
      <w:r>
        <w:rPr>
          <w:rFonts w:ascii="Times New Roman" w:hAnsi="Times New Roman" w:eastAsia="方正仿宋_GBK"/>
          <w:sz w:val="33"/>
          <w:szCs w:val="33"/>
        </w:rPr>
        <w:t>年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增加7.89</w:t>
      </w:r>
      <w:r>
        <w:rPr>
          <w:rFonts w:ascii="Times New Roman" w:hAnsi="Times New Roman" w:eastAsia="方正仿宋_GBK"/>
          <w:sz w:val="33"/>
          <w:szCs w:val="33"/>
        </w:rPr>
        <w:t>万元，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增长2.54</w:t>
      </w:r>
      <w:r>
        <w:rPr>
          <w:rFonts w:ascii="Times New Roman" w:hAnsi="Times New Roman" w:eastAsia="方正仿宋_GBK"/>
          <w:sz w:val="33"/>
          <w:szCs w:val="33"/>
        </w:rPr>
        <w:t>%，主要</w:t>
      </w:r>
      <w:r>
        <w:rPr>
          <w:rFonts w:hint="eastAsia" w:ascii="Times New Roman" w:hAnsi="Times New Roman" w:eastAsia="方正仿宋_GBK"/>
          <w:sz w:val="33"/>
          <w:szCs w:val="33"/>
        </w:rPr>
        <w:t>原因是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人员增加</w:t>
      </w:r>
      <w:r>
        <w:rPr>
          <w:rFonts w:ascii="Times New Roman" w:hAnsi="Times New Roman" w:eastAsia="方正仿宋_GBK"/>
          <w:sz w:val="33"/>
          <w:szCs w:val="33"/>
        </w:rPr>
        <w:t>。</w:t>
      </w:r>
    </w:p>
    <w:p w14:paraId="48F1A0B4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47" w:name="_Toc16198"/>
      <w:bookmarkStart w:id="48" w:name="_Toc13981"/>
      <w:r>
        <w:rPr>
          <w:rFonts w:ascii="Times New Roman" w:hAnsi="Times New Roman" w:eastAsia="方正楷体_GBK"/>
          <w:b/>
          <w:sz w:val="33"/>
          <w:szCs w:val="33"/>
        </w:rPr>
        <w:t>（二）政府采购情况</w:t>
      </w:r>
      <w:bookmarkEnd w:id="47"/>
      <w:bookmarkEnd w:id="48"/>
    </w:p>
    <w:p w14:paraId="7E6F00FD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中共广安市委组织部202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无政府采购项目，未安排政府采购预算。</w:t>
      </w:r>
    </w:p>
    <w:p w14:paraId="2AA6EE6B">
      <w:pPr>
        <w:spacing w:line="590" w:lineRule="exact"/>
        <w:ind w:firstLine="663" w:firstLineChars="200"/>
        <w:outlineLvl w:val="2"/>
        <w:rPr>
          <w:rFonts w:ascii="Times New Roman" w:hAnsi="Times New Roman" w:eastAsia="方正楷体_GBK"/>
          <w:b/>
          <w:sz w:val="33"/>
          <w:szCs w:val="33"/>
        </w:rPr>
      </w:pPr>
      <w:bookmarkStart w:id="49" w:name="_Toc26979"/>
      <w:bookmarkStart w:id="50" w:name="_Toc24739"/>
      <w:r>
        <w:rPr>
          <w:rFonts w:ascii="Times New Roman" w:hAnsi="Times New Roman" w:eastAsia="方正楷体_GBK"/>
          <w:b/>
          <w:sz w:val="33"/>
          <w:szCs w:val="33"/>
        </w:rPr>
        <w:t>（三）国有资产占有使用情况</w:t>
      </w:r>
      <w:bookmarkEnd w:id="49"/>
      <w:bookmarkEnd w:id="50"/>
    </w:p>
    <w:p w14:paraId="0A50165F">
      <w:pPr>
        <w:spacing w:line="590" w:lineRule="exact"/>
        <w:ind w:firstLine="660" w:firstLineChars="200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  <w:r>
        <w:rPr>
          <w:rFonts w:ascii="Times New Roman" w:hAnsi="Times New Roman" w:eastAsia="方正仿宋_GBK"/>
          <w:sz w:val="33"/>
          <w:szCs w:val="33"/>
        </w:rPr>
        <w:t>截止202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年底，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中共广安市委组织部</w:t>
      </w:r>
      <w:r>
        <w:rPr>
          <w:rFonts w:ascii="Times New Roman" w:hAnsi="Times New Roman" w:eastAsia="方正仿宋_GBK"/>
          <w:sz w:val="33"/>
          <w:szCs w:val="33"/>
        </w:rPr>
        <w:t>共有车辆</w:t>
      </w:r>
      <w:r>
        <w:rPr>
          <w:rFonts w:hint="eastAsia" w:ascii="Times New Roman" w:hAnsi="Times New Roman" w:eastAsia="方正仿宋_GBK"/>
          <w:sz w:val="33"/>
          <w:szCs w:val="33"/>
        </w:rPr>
        <w:t>2</w:t>
      </w:r>
      <w:r>
        <w:rPr>
          <w:rFonts w:ascii="Times New Roman" w:hAnsi="Times New Roman" w:eastAsia="方正仿宋_GBK"/>
          <w:sz w:val="33"/>
          <w:szCs w:val="33"/>
        </w:rPr>
        <w:t>辆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，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其中，定向保障用车0辆、执法执勤用车0辆。单位价值200万元以上大型设备0台。</w:t>
      </w:r>
    </w:p>
    <w:p w14:paraId="4ABDAED7">
      <w:pPr>
        <w:spacing w:line="590" w:lineRule="exact"/>
        <w:ind w:firstLine="660" w:firstLineChars="200"/>
      </w:pP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2026年部门预算未安排购置车辆及单位价值200万元以上大型设备。</w:t>
      </w:r>
    </w:p>
    <w:p w14:paraId="241A8D36">
      <w:pPr>
        <w:spacing w:line="590" w:lineRule="exact"/>
        <w:ind w:firstLine="663" w:firstLineChars="200"/>
        <w:outlineLvl w:val="2"/>
        <w:rPr>
          <w:rFonts w:ascii="Times New Roman" w:hAnsi="Times New Roman"/>
        </w:rPr>
      </w:pPr>
      <w:bookmarkStart w:id="51" w:name="_Toc16284"/>
      <w:bookmarkStart w:id="52" w:name="_Toc11004"/>
      <w:r>
        <w:rPr>
          <w:rFonts w:ascii="Times New Roman" w:hAnsi="Times New Roman" w:eastAsia="方正楷体_GBK"/>
          <w:b/>
          <w:sz w:val="33"/>
          <w:szCs w:val="33"/>
        </w:rPr>
        <w:t>（四）</w:t>
      </w:r>
      <w:r>
        <w:rPr>
          <w:rFonts w:hint="eastAsia" w:ascii="Times New Roman" w:hAnsi="Times New Roman" w:eastAsia="方正楷体_GBK"/>
          <w:b/>
          <w:sz w:val="33"/>
          <w:szCs w:val="33"/>
          <w:lang w:val="en-US" w:eastAsia="zh-CN"/>
        </w:rPr>
        <w:t>预算</w:t>
      </w:r>
      <w:r>
        <w:rPr>
          <w:rFonts w:ascii="Times New Roman" w:hAnsi="Times New Roman" w:eastAsia="方正楷体_GBK"/>
          <w:b/>
          <w:sz w:val="33"/>
          <w:szCs w:val="33"/>
        </w:rPr>
        <w:t>绩效情况</w:t>
      </w:r>
      <w:bookmarkEnd w:id="51"/>
      <w:bookmarkEnd w:id="52"/>
    </w:p>
    <w:p w14:paraId="1C0BA140">
      <w:pPr>
        <w:spacing w:line="590" w:lineRule="exact"/>
        <w:ind w:firstLine="660" w:firstLineChars="200"/>
        <w:rPr>
          <w:rFonts w:hint="eastAsia" w:ascii="Times New Roman" w:hAnsi="Times New Roman" w:eastAsia="方正仿宋_GBK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仿宋_GBK"/>
          <w:sz w:val="33"/>
          <w:szCs w:val="33"/>
          <w:highlight w:val="none"/>
          <w:lang w:eastAsia="zh-CN"/>
        </w:rPr>
        <w:t>202</w:t>
      </w:r>
      <w:r>
        <w:rPr>
          <w:rFonts w:hint="eastAsia" w:ascii="Times New Roman" w:hAnsi="Times New Roman" w:eastAsia="方正仿宋_GBK"/>
          <w:sz w:val="33"/>
          <w:szCs w:val="33"/>
          <w:highlight w:val="none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  <w:highlight w:val="none"/>
        </w:rPr>
        <w:t>年</w:t>
      </w:r>
      <w:r>
        <w:rPr>
          <w:rFonts w:hint="eastAsia" w:ascii="Times New Roman" w:hAnsi="Times New Roman" w:eastAsia="方正仿宋_GBK"/>
          <w:sz w:val="33"/>
          <w:szCs w:val="33"/>
          <w:highlight w:val="none"/>
          <w:lang w:val="en-US" w:eastAsia="zh-CN"/>
        </w:rPr>
        <w:t>中共广安市委组织部开展绩效目标管理的项目25个，涉及预算1598.21万元。其中：人员类项目7个，涉及预算950.79万元；运转类项目16个，涉及预算310.41万元；特定类项目6个，涉及预算337万元。</w:t>
      </w:r>
    </w:p>
    <w:p w14:paraId="45C7DB39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438E758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7CC90C2D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3B2775F9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027CC913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8D2396C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D48222C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738EE57C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05AA1C2E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7559A7A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7E16DDCA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080D9C81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44976D3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3E55FBCB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6F60AC0F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0CF7868E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2F2630A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3267A749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37D0D7C2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F074BF9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F134DDF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3370B756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6270A3D7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67CD296C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514F3865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15B784C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5833855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D6F7EB6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0384379F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51252252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62EACC83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3BA2B0BA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F793489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08B9DAD7">
      <w:pPr>
        <w:pStyle w:val="5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58B4CC32">
      <w:pPr>
        <w:pStyle w:val="7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6EA8CACD">
      <w:pPr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4BAFAE21">
      <w:pPr>
        <w:pStyle w:val="4"/>
        <w:rPr>
          <w:rFonts w:hint="eastAsia" w:ascii="Times New Roman" w:hAnsi="Times New Roman" w:eastAsia="方正仿宋_GBK"/>
          <w:sz w:val="33"/>
          <w:szCs w:val="33"/>
          <w:lang w:val="en-US" w:eastAsia="zh-CN"/>
        </w:rPr>
      </w:pPr>
    </w:p>
    <w:p w14:paraId="270A3035">
      <w:pPr>
        <w:pStyle w:val="5"/>
        <w:rPr>
          <w:rFonts w:hint="eastAsia"/>
          <w:lang w:val="en-US" w:eastAsia="zh-CN"/>
        </w:rPr>
      </w:pPr>
    </w:p>
    <w:p w14:paraId="1A144902">
      <w:pPr>
        <w:numPr>
          <w:ilvl w:val="0"/>
          <w:numId w:val="0"/>
        </w:numPr>
        <w:spacing w:line="700" w:lineRule="exact"/>
        <w:ind w:firstLine="2640" w:firstLineChars="600"/>
        <w:jc w:val="both"/>
        <w:outlineLvl w:val="0"/>
        <w:rPr>
          <w:rFonts w:hint="default" w:ascii="Times New Roman" w:hAnsi="Times New Roman" w:eastAsia="方正小标宋_GBK"/>
          <w:sz w:val="44"/>
          <w:szCs w:val="44"/>
          <w:lang w:val="en-US" w:eastAsia="zh-CN"/>
        </w:rPr>
      </w:pPr>
      <w:bookmarkStart w:id="53" w:name="_Toc24560"/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第三部分  名称解释</w:t>
      </w:r>
      <w:bookmarkEnd w:id="53"/>
    </w:p>
    <w:p w14:paraId="0BD08908">
      <w:pPr>
        <w:rPr>
          <w:rFonts w:hint="eastAsia"/>
          <w:lang w:val="en-US" w:eastAsia="zh-CN"/>
        </w:rPr>
      </w:pPr>
    </w:p>
    <w:p w14:paraId="1FC26553">
      <w:pPr>
        <w:pStyle w:val="7"/>
        <w:rPr>
          <w:rFonts w:hint="eastAsia"/>
          <w:lang w:val="en-US" w:eastAsia="zh-CN"/>
        </w:rPr>
      </w:pPr>
    </w:p>
    <w:p w14:paraId="0372F075">
      <w:pPr>
        <w:rPr>
          <w:rFonts w:hint="eastAsia"/>
          <w:lang w:val="en-US" w:eastAsia="zh-CN"/>
        </w:rPr>
      </w:pPr>
    </w:p>
    <w:p w14:paraId="3FA1CB7E">
      <w:pPr>
        <w:pStyle w:val="4"/>
        <w:rPr>
          <w:rFonts w:hint="eastAsia"/>
          <w:lang w:val="en-US" w:eastAsia="zh-CN"/>
        </w:rPr>
      </w:pPr>
    </w:p>
    <w:p w14:paraId="4E110E4A">
      <w:pPr>
        <w:pStyle w:val="5"/>
        <w:rPr>
          <w:rFonts w:hint="eastAsia"/>
          <w:lang w:val="en-US" w:eastAsia="zh-CN"/>
        </w:rPr>
      </w:pPr>
    </w:p>
    <w:p w14:paraId="714BD37C">
      <w:pPr>
        <w:pStyle w:val="7"/>
        <w:rPr>
          <w:rFonts w:hint="eastAsia"/>
          <w:lang w:val="en-US" w:eastAsia="zh-CN"/>
        </w:rPr>
      </w:pPr>
    </w:p>
    <w:p w14:paraId="1DC8F156">
      <w:pPr>
        <w:rPr>
          <w:rFonts w:hint="eastAsia"/>
          <w:lang w:val="en-US" w:eastAsia="zh-CN"/>
        </w:rPr>
      </w:pPr>
    </w:p>
    <w:p w14:paraId="08D3245B">
      <w:pPr>
        <w:pStyle w:val="4"/>
        <w:rPr>
          <w:rFonts w:hint="eastAsia"/>
          <w:lang w:val="en-US" w:eastAsia="zh-CN"/>
        </w:rPr>
      </w:pPr>
    </w:p>
    <w:p w14:paraId="07759F0B">
      <w:pPr>
        <w:pStyle w:val="5"/>
        <w:rPr>
          <w:rFonts w:hint="eastAsia"/>
          <w:lang w:val="en-US" w:eastAsia="zh-CN"/>
        </w:rPr>
      </w:pPr>
    </w:p>
    <w:p w14:paraId="40AAB922">
      <w:pPr>
        <w:pStyle w:val="7"/>
        <w:rPr>
          <w:rFonts w:hint="eastAsia"/>
          <w:lang w:val="en-US" w:eastAsia="zh-CN"/>
        </w:rPr>
      </w:pPr>
    </w:p>
    <w:p w14:paraId="3D3092ED">
      <w:pPr>
        <w:rPr>
          <w:rFonts w:hint="eastAsia"/>
          <w:lang w:val="en-US" w:eastAsia="zh-CN"/>
        </w:rPr>
      </w:pPr>
    </w:p>
    <w:p w14:paraId="0318E624">
      <w:pPr>
        <w:pStyle w:val="4"/>
        <w:rPr>
          <w:rFonts w:hint="eastAsia"/>
          <w:lang w:val="en-US" w:eastAsia="zh-CN"/>
        </w:rPr>
      </w:pPr>
    </w:p>
    <w:p w14:paraId="54974C4A">
      <w:pPr>
        <w:pStyle w:val="5"/>
        <w:rPr>
          <w:rFonts w:hint="eastAsia"/>
          <w:lang w:val="en-US" w:eastAsia="zh-CN"/>
        </w:rPr>
      </w:pPr>
    </w:p>
    <w:p w14:paraId="5A7D5646">
      <w:pPr>
        <w:pStyle w:val="7"/>
        <w:rPr>
          <w:rFonts w:hint="eastAsia"/>
          <w:lang w:val="en-US" w:eastAsia="zh-CN"/>
        </w:rPr>
      </w:pPr>
    </w:p>
    <w:p w14:paraId="07562A1A">
      <w:pPr>
        <w:rPr>
          <w:rFonts w:hint="eastAsia"/>
          <w:lang w:val="en-US" w:eastAsia="zh-CN"/>
        </w:rPr>
      </w:pPr>
    </w:p>
    <w:p w14:paraId="762F6068">
      <w:pPr>
        <w:pStyle w:val="2"/>
        <w:rPr>
          <w:rFonts w:hint="eastAsia"/>
          <w:lang w:val="en-US" w:eastAsia="zh-CN"/>
        </w:rPr>
      </w:pPr>
    </w:p>
    <w:p w14:paraId="5B08FAB5">
      <w:pPr>
        <w:pStyle w:val="7"/>
        <w:rPr>
          <w:rFonts w:hint="eastAsia"/>
          <w:lang w:val="en-US" w:eastAsia="zh-CN"/>
        </w:rPr>
      </w:pPr>
    </w:p>
    <w:p w14:paraId="3A507488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ascii="Times New Roman" w:hAnsi="Times New Roman" w:eastAsia="方正仿宋_GBK"/>
          <w:sz w:val="33"/>
          <w:szCs w:val="33"/>
        </w:rPr>
        <w:t>1</w:t>
      </w:r>
      <w:r>
        <w:rPr>
          <w:rFonts w:hint="eastAsia" w:ascii="Times New Roman" w:hAnsi="Times New Roman" w:eastAsia="方正仿宋_GBK"/>
          <w:sz w:val="33"/>
          <w:szCs w:val="33"/>
        </w:rPr>
        <w:t>．</w:t>
      </w:r>
      <w:r>
        <w:rPr>
          <w:rFonts w:ascii="Times New Roman" w:hAnsi="Times New Roman" w:eastAsia="方正仿宋_GBK"/>
          <w:sz w:val="33"/>
          <w:szCs w:val="33"/>
        </w:rPr>
        <w:t>一般公共预算拨款收入：指市级财政当年拨付的资金。</w:t>
      </w:r>
    </w:p>
    <w:p w14:paraId="255A7BED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ascii="Times New Roman" w:hAnsi="Times New Roman" w:eastAsia="方正仿宋_GBK"/>
          <w:sz w:val="33"/>
          <w:szCs w:val="33"/>
        </w:rPr>
        <w:t>2．上年结转：指以前年度尚未完成，结转到本年仍按原规定用途继续使用的资金。</w:t>
      </w:r>
    </w:p>
    <w:p w14:paraId="18C539D7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ascii="Times New Roman" w:hAnsi="Times New Roman" w:eastAsia="方正仿宋_GBK"/>
          <w:sz w:val="33"/>
          <w:szCs w:val="33"/>
        </w:rPr>
        <w:t>3．一般公共服务（类）</w:t>
      </w:r>
      <w:r>
        <w:rPr>
          <w:rFonts w:hint="eastAsia" w:ascii="Times New Roman" w:hAnsi="Times New Roman" w:eastAsia="方正仿宋_GBK"/>
          <w:sz w:val="33"/>
          <w:szCs w:val="33"/>
        </w:rPr>
        <w:t>纪检监察事务</w:t>
      </w:r>
      <w:r>
        <w:rPr>
          <w:rFonts w:ascii="Times New Roman" w:hAnsi="Times New Roman" w:eastAsia="方正仿宋_GBK"/>
          <w:sz w:val="33"/>
          <w:szCs w:val="33"/>
        </w:rPr>
        <w:t>（款）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其他纪检监察事务支出</w:t>
      </w:r>
      <w:r>
        <w:rPr>
          <w:rFonts w:ascii="Times New Roman" w:hAnsi="Times New Roman" w:eastAsia="方正仿宋_GBK"/>
          <w:sz w:val="33"/>
          <w:szCs w:val="33"/>
        </w:rPr>
        <w:t>（项）：</w:t>
      </w:r>
      <w:r>
        <w:rPr>
          <w:rFonts w:hint="eastAsia" w:ascii="Times New Roman" w:hAnsi="Times New Roman" w:eastAsia="方正仿宋_GBK"/>
          <w:sz w:val="33"/>
          <w:szCs w:val="33"/>
        </w:rPr>
        <w:t>反映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除上述项目以外其他纪检监察事务方面的支出</w:t>
      </w:r>
      <w:r>
        <w:rPr>
          <w:rFonts w:ascii="Times New Roman" w:hAnsi="Times New Roman" w:eastAsia="方正仿宋_GBK"/>
          <w:sz w:val="33"/>
          <w:szCs w:val="33"/>
        </w:rPr>
        <w:t>。</w:t>
      </w:r>
    </w:p>
    <w:p w14:paraId="64B51702">
      <w:pPr>
        <w:spacing w:line="590" w:lineRule="exact"/>
        <w:ind w:firstLine="660" w:firstLineChars="200"/>
        <w:rPr>
          <w:rFonts w:ascii="Times New Roman" w:hAnsi="Times New Roman" w:eastAsia="方正仿宋_GBK"/>
          <w:spacing w:val="-4"/>
          <w:sz w:val="33"/>
          <w:szCs w:val="33"/>
        </w:rPr>
      </w:pPr>
      <w:r>
        <w:rPr>
          <w:rFonts w:ascii="Times New Roman" w:hAnsi="Times New Roman" w:eastAsia="方正仿宋_GBK"/>
          <w:sz w:val="33"/>
          <w:szCs w:val="33"/>
        </w:rPr>
        <w:t>4．一般</w:t>
      </w:r>
      <w:r>
        <w:rPr>
          <w:rFonts w:ascii="Times New Roman" w:hAnsi="Times New Roman" w:eastAsia="方正仿宋_GBK"/>
          <w:spacing w:val="-4"/>
          <w:sz w:val="33"/>
          <w:szCs w:val="33"/>
        </w:rPr>
        <w:t>公共服务（类）</w:t>
      </w:r>
      <w:r>
        <w:rPr>
          <w:rFonts w:hint="eastAsia" w:ascii="Times New Roman" w:hAnsi="Times New Roman" w:eastAsia="方正仿宋_GBK"/>
          <w:spacing w:val="-4"/>
          <w:sz w:val="33"/>
          <w:szCs w:val="33"/>
        </w:rPr>
        <w:t>组织事务</w:t>
      </w:r>
      <w:r>
        <w:rPr>
          <w:rFonts w:ascii="Times New Roman" w:hAnsi="Times New Roman" w:eastAsia="方正仿宋_GBK"/>
          <w:spacing w:val="-4"/>
          <w:sz w:val="33"/>
          <w:szCs w:val="33"/>
        </w:rPr>
        <w:t>（款）</w:t>
      </w:r>
      <w:r>
        <w:rPr>
          <w:rFonts w:hint="eastAsia" w:ascii="Times New Roman" w:hAnsi="Times New Roman" w:eastAsia="方正仿宋_GBK"/>
          <w:spacing w:val="-4"/>
          <w:sz w:val="33"/>
          <w:szCs w:val="33"/>
        </w:rPr>
        <w:t>行政运行</w:t>
      </w:r>
      <w:r>
        <w:rPr>
          <w:rFonts w:ascii="Times New Roman" w:hAnsi="Times New Roman" w:eastAsia="方正仿宋_GBK"/>
          <w:spacing w:val="-4"/>
          <w:sz w:val="33"/>
          <w:szCs w:val="33"/>
        </w:rPr>
        <w:t>（项）：</w:t>
      </w:r>
      <w:r>
        <w:rPr>
          <w:rFonts w:hint="eastAsia" w:ascii="Times New Roman" w:hAnsi="Times New Roman" w:eastAsia="方正仿宋_GBK"/>
          <w:spacing w:val="-4"/>
          <w:sz w:val="33"/>
          <w:szCs w:val="33"/>
        </w:rPr>
        <w:t>反映行政单位（包括实行公务员管理的事业单位）的基本支出</w:t>
      </w:r>
      <w:r>
        <w:rPr>
          <w:rFonts w:ascii="Times New Roman" w:hAnsi="Times New Roman" w:eastAsia="方正仿宋_GBK"/>
          <w:spacing w:val="-4"/>
          <w:sz w:val="33"/>
          <w:szCs w:val="33"/>
        </w:rPr>
        <w:t>。</w:t>
      </w:r>
    </w:p>
    <w:p w14:paraId="239F2F6C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</w:rPr>
        <w:t>5</w:t>
      </w:r>
      <w:r>
        <w:rPr>
          <w:rFonts w:ascii="Times New Roman" w:hAnsi="Times New Roman" w:eastAsia="方正仿宋_GBK"/>
          <w:sz w:val="33"/>
          <w:szCs w:val="33"/>
        </w:rPr>
        <w:t>．一般公共服务（类）</w:t>
      </w:r>
      <w:r>
        <w:rPr>
          <w:rFonts w:hint="eastAsia" w:ascii="Times New Roman" w:hAnsi="Times New Roman" w:eastAsia="方正仿宋_GBK"/>
          <w:sz w:val="33"/>
          <w:szCs w:val="33"/>
        </w:rPr>
        <w:t>组织事务</w:t>
      </w:r>
      <w:r>
        <w:rPr>
          <w:rFonts w:ascii="Times New Roman" w:hAnsi="Times New Roman" w:eastAsia="方正仿宋_GBK"/>
          <w:sz w:val="33"/>
          <w:szCs w:val="33"/>
        </w:rPr>
        <w:t>（款）</w:t>
      </w:r>
      <w:r>
        <w:rPr>
          <w:rFonts w:hint="eastAsia" w:ascii="Times New Roman" w:hAnsi="Times New Roman" w:eastAsia="方正仿宋_GBK"/>
          <w:sz w:val="33"/>
          <w:szCs w:val="33"/>
        </w:rPr>
        <w:t>事业运行</w:t>
      </w:r>
      <w:r>
        <w:rPr>
          <w:rFonts w:ascii="Times New Roman" w:hAnsi="Times New Roman" w:eastAsia="方正仿宋_GBK"/>
          <w:sz w:val="33"/>
          <w:szCs w:val="33"/>
        </w:rPr>
        <w:t>（项）：</w:t>
      </w:r>
      <w:r>
        <w:rPr>
          <w:rFonts w:hint="eastAsia" w:ascii="Times New Roman" w:hAnsi="Times New Roman" w:eastAsia="方正仿宋_GBK"/>
          <w:sz w:val="33"/>
          <w:szCs w:val="33"/>
        </w:rPr>
        <w:t>反映事业单位的基本支出，不包括行政单位（包括实行公务员管理的事业单位）后勤服务中心、医务室等附属事业单位</w:t>
      </w:r>
      <w:r>
        <w:rPr>
          <w:rFonts w:ascii="Times New Roman" w:hAnsi="Times New Roman" w:eastAsia="方正仿宋_GBK"/>
          <w:sz w:val="33"/>
          <w:szCs w:val="33"/>
        </w:rPr>
        <w:t>。</w:t>
      </w:r>
    </w:p>
    <w:p w14:paraId="2479C616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6</w:t>
      </w:r>
      <w:r>
        <w:rPr>
          <w:rFonts w:ascii="Times New Roman" w:hAnsi="Times New Roman" w:eastAsia="方正仿宋_GBK"/>
          <w:sz w:val="33"/>
          <w:szCs w:val="33"/>
        </w:rPr>
        <w:t>．一般公共服务（类）</w:t>
      </w:r>
      <w:r>
        <w:rPr>
          <w:rFonts w:hint="eastAsia" w:ascii="Times New Roman" w:hAnsi="Times New Roman" w:eastAsia="方正仿宋_GBK"/>
          <w:sz w:val="33"/>
          <w:szCs w:val="33"/>
        </w:rPr>
        <w:t>组织事务</w:t>
      </w:r>
      <w:r>
        <w:rPr>
          <w:rFonts w:ascii="Times New Roman" w:hAnsi="Times New Roman" w:eastAsia="方正仿宋_GBK"/>
          <w:sz w:val="33"/>
          <w:szCs w:val="33"/>
        </w:rPr>
        <w:t>（款）</w:t>
      </w:r>
      <w:r>
        <w:rPr>
          <w:rFonts w:hint="eastAsia" w:ascii="Times New Roman" w:hAnsi="Times New Roman" w:eastAsia="方正仿宋_GBK"/>
          <w:sz w:val="33"/>
          <w:szCs w:val="33"/>
        </w:rPr>
        <w:t>公务员事务</w:t>
      </w:r>
      <w:r>
        <w:rPr>
          <w:rFonts w:ascii="Times New Roman" w:hAnsi="Times New Roman" w:eastAsia="方正仿宋_GBK"/>
          <w:sz w:val="33"/>
          <w:szCs w:val="33"/>
        </w:rPr>
        <w:t>（项）：</w:t>
      </w:r>
      <w:r>
        <w:rPr>
          <w:rFonts w:hint="eastAsia" w:ascii="Times New Roman" w:hAnsi="Times New Roman" w:eastAsia="方正仿宋_GBK"/>
          <w:sz w:val="33"/>
          <w:szCs w:val="33"/>
        </w:rPr>
        <w:t>反映公务员考核、公务员招考、公务员管理、公务员履职能力提升等方面的支出</w:t>
      </w:r>
      <w:r>
        <w:rPr>
          <w:rFonts w:ascii="Times New Roman" w:hAnsi="Times New Roman" w:eastAsia="方正仿宋_GBK"/>
          <w:sz w:val="33"/>
          <w:szCs w:val="33"/>
        </w:rPr>
        <w:t>。</w:t>
      </w:r>
    </w:p>
    <w:p w14:paraId="79BA3198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7</w:t>
      </w:r>
      <w:r>
        <w:rPr>
          <w:rFonts w:ascii="Times New Roman" w:hAnsi="Times New Roman" w:eastAsia="方正仿宋_GBK"/>
          <w:sz w:val="33"/>
          <w:szCs w:val="33"/>
        </w:rPr>
        <w:t>．一般公共服务（类）</w:t>
      </w:r>
      <w:r>
        <w:rPr>
          <w:rFonts w:hint="eastAsia" w:ascii="Times New Roman" w:hAnsi="Times New Roman" w:eastAsia="方正仿宋_GBK"/>
          <w:sz w:val="33"/>
          <w:szCs w:val="33"/>
        </w:rPr>
        <w:t>组织事务</w:t>
      </w:r>
      <w:r>
        <w:rPr>
          <w:rFonts w:ascii="Times New Roman" w:hAnsi="Times New Roman" w:eastAsia="方正仿宋_GBK"/>
          <w:sz w:val="33"/>
          <w:szCs w:val="33"/>
        </w:rPr>
        <w:t>（款）</w:t>
      </w:r>
      <w:r>
        <w:rPr>
          <w:rFonts w:hint="eastAsia" w:ascii="Times New Roman" w:hAnsi="Times New Roman" w:eastAsia="方正仿宋_GBK"/>
          <w:sz w:val="33"/>
          <w:szCs w:val="33"/>
        </w:rPr>
        <w:t>其他组织事务支出</w:t>
      </w:r>
      <w:r>
        <w:rPr>
          <w:rFonts w:ascii="Times New Roman" w:hAnsi="Times New Roman" w:eastAsia="方正仿宋_GBK"/>
          <w:sz w:val="33"/>
          <w:szCs w:val="33"/>
        </w:rPr>
        <w:t>（项）：</w:t>
      </w:r>
      <w:r>
        <w:rPr>
          <w:rFonts w:hint="eastAsia" w:ascii="Times New Roman" w:hAnsi="Times New Roman" w:eastAsia="方正仿宋_GBK"/>
          <w:sz w:val="33"/>
          <w:szCs w:val="33"/>
        </w:rPr>
        <w:t>反映除上述项目以外其他用于中国共产党组织部门的事务支出</w:t>
      </w:r>
      <w:r>
        <w:rPr>
          <w:rFonts w:ascii="Times New Roman" w:hAnsi="Times New Roman" w:eastAsia="方正仿宋_GBK"/>
          <w:sz w:val="33"/>
          <w:szCs w:val="33"/>
        </w:rPr>
        <w:t>。</w:t>
      </w:r>
    </w:p>
    <w:p w14:paraId="4582CE03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8</w:t>
      </w:r>
      <w:r>
        <w:rPr>
          <w:rFonts w:ascii="Times New Roman" w:hAnsi="Times New Roman" w:eastAsia="方正仿宋_GBK"/>
          <w:sz w:val="33"/>
          <w:szCs w:val="33"/>
        </w:rPr>
        <w:t>．</w:t>
      </w:r>
      <w:r>
        <w:rPr>
          <w:rFonts w:hint="eastAsia" w:ascii="Times New Roman" w:hAnsi="Times New Roman" w:eastAsia="方正仿宋_GBK"/>
          <w:sz w:val="33"/>
          <w:szCs w:val="33"/>
        </w:rPr>
        <w:t>社会保障和就业支出</w:t>
      </w:r>
      <w:r>
        <w:rPr>
          <w:rFonts w:ascii="Times New Roman" w:hAnsi="Times New Roman" w:eastAsia="方正仿宋_GBK"/>
          <w:sz w:val="33"/>
          <w:szCs w:val="33"/>
        </w:rPr>
        <w:t>（类）</w:t>
      </w:r>
      <w:r>
        <w:rPr>
          <w:rFonts w:hint="eastAsia" w:ascii="Times New Roman" w:hAnsi="Times New Roman" w:eastAsia="方正仿宋_GBK"/>
          <w:sz w:val="33"/>
          <w:szCs w:val="33"/>
        </w:rPr>
        <w:t>行政事业单位养老支出</w:t>
      </w:r>
      <w:r>
        <w:rPr>
          <w:rFonts w:ascii="Times New Roman" w:hAnsi="Times New Roman" w:eastAsia="方正仿宋_GBK"/>
          <w:sz w:val="33"/>
          <w:szCs w:val="33"/>
        </w:rPr>
        <w:t>（款）</w:t>
      </w:r>
      <w:r>
        <w:rPr>
          <w:rFonts w:hint="eastAsia" w:ascii="Times New Roman" w:hAnsi="Times New Roman" w:eastAsia="方正仿宋_GBK"/>
          <w:sz w:val="33"/>
          <w:szCs w:val="33"/>
        </w:rPr>
        <w:t>机关事业单位基本养老保险缴费支出</w:t>
      </w:r>
      <w:r>
        <w:rPr>
          <w:rFonts w:ascii="Times New Roman" w:hAnsi="Times New Roman" w:eastAsia="方正仿宋_GBK"/>
          <w:sz w:val="33"/>
          <w:szCs w:val="33"/>
        </w:rPr>
        <w:t>（项）</w:t>
      </w:r>
      <w:r>
        <w:rPr>
          <w:rFonts w:hint="eastAsia" w:ascii="Times New Roman" w:hAnsi="Times New Roman" w:eastAsia="方正仿宋_GBK"/>
          <w:sz w:val="33"/>
          <w:szCs w:val="33"/>
        </w:rPr>
        <w:t>：反映用于行政事业单位养老方面的支出</w:t>
      </w:r>
      <w:r>
        <w:rPr>
          <w:rFonts w:ascii="Times New Roman" w:hAnsi="Times New Roman" w:eastAsia="方正仿宋_GBK"/>
          <w:sz w:val="33"/>
          <w:szCs w:val="33"/>
        </w:rPr>
        <w:t>。</w:t>
      </w:r>
    </w:p>
    <w:p w14:paraId="26BB7187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9</w:t>
      </w:r>
      <w:r>
        <w:rPr>
          <w:rFonts w:ascii="Times New Roman" w:hAnsi="Times New Roman" w:eastAsia="方正仿宋_GBK"/>
          <w:sz w:val="33"/>
          <w:szCs w:val="33"/>
        </w:rPr>
        <w:t>．</w:t>
      </w:r>
      <w:r>
        <w:rPr>
          <w:rFonts w:hint="eastAsia" w:ascii="Times New Roman" w:hAnsi="Times New Roman" w:eastAsia="方正仿宋_GBK"/>
          <w:sz w:val="33"/>
          <w:szCs w:val="33"/>
        </w:rPr>
        <w:t>卫生健康支出（类）行政事业单位医疗（款）行政单位医疗（项）：反映财政部门安排的行政单位（包括实行公务员管理的事业单位）基本医疗保险经费，未参加医疗保险的行政单位的公费医疗经费，按国家规定享受离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退</w:t>
      </w:r>
      <w:r>
        <w:rPr>
          <w:rFonts w:hint="eastAsia" w:ascii="Times New Roman" w:hAnsi="Times New Roman" w:eastAsia="方正仿宋_GBK"/>
          <w:sz w:val="33"/>
          <w:szCs w:val="33"/>
        </w:rPr>
        <w:t>休人员、红军老战士待遇人员的医疗经费。</w:t>
      </w:r>
    </w:p>
    <w:p w14:paraId="6FB96705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</w:rPr>
        <w:t>1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0</w:t>
      </w:r>
      <w:r>
        <w:rPr>
          <w:rFonts w:ascii="Times New Roman" w:hAnsi="Times New Roman" w:eastAsia="方正仿宋_GBK"/>
          <w:sz w:val="33"/>
          <w:szCs w:val="33"/>
        </w:rPr>
        <w:t>．</w:t>
      </w:r>
      <w:r>
        <w:rPr>
          <w:rFonts w:hint="eastAsia" w:ascii="Times New Roman" w:hAnsi="Times New Roman" w:eastAsia="方正仿宋_GBK"/>
          <w:sz w:val="33"/>
          <w:szCs w:val="33"/>
        </w:rPr>
        <w:t>卫生健康支出（类）行政事业单位医疗（款）事业单位医疗（项）：反映财政部门安排的事业单位基本医疗保险缴费经费，未参加医疗保险的事业单位的公费医疗经费，按国家规定享受离</w:t>
      </w:r>
      <w:r>
        <w:rPr>
          <w:rFonts w:hint="eastAsia" w:ascii="Times New Roman" w:hAnsi="Times New Roman" w:eastAsia="方正仿宋_GBK"/>
          <w:sz w:val="33"/>
          <w:szCs w:val="33"/>
          <w:lang w:eastAsia="zh-CN"/>
        </w:rPr>
        <w:t>退</w:t>
      </w:r>
      <w:r>
        <w:rPr>
          <w:rFonts w:hint="eastAsia" w:ascii="Times New Roman" w:hAnsi="Times New Roman" w:eastAsia="方正仿宋_GBK"/>
          <w:sz w:val="33"/>
          <w:szCs w:val="33"/>
        </w:rPr>
        <w:t>休人员待遇的医疗经费。</w:t>
      </w:r>
    </w:p>
    <w:p w14:paraId="23E5748B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</w:rPr>
        <w:t>1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</w:t>
      </w:r>
      <w:r>
        <w:rPr>
          <w:rFonts w:ascii="Times New Roman" w:hAnsi="Times New Roman" w:eastAsia="方正仿宋_GBK"/>
          <w:sz w:val="33"/>
          <w:szCs w:val="33"/>
        </w:rPr>
        <w:t>．</w:t>
      </w:r>
      <w:r>
        <w:rPr>
          <w:rFonts w:hint="eastAsia" w:ascii="Times New Roman" w:hAnsi="Times New Roman" w:eastAsia="方正仿宋_GBK"/>
          <w:sz w:val="33"/>
          <w:szCs w:val="33"/>
        </w:rPr>
        <w:t>卫生健康支出（类）行政事业单位医疗（款）公务员医疗补助（项）：反映财政部门安排的公务员医疗补助经费。</w:t>
      </w:r>
    </w:p>
    <w:p w14:paraId="74E67C92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12</w:t>
      </w:r>
      <w:r>
        <w:rPr>
          <w:rFonts w:ascii="Times New Roman" w:hAnsi="Times New Roman" w:eastAsia="方正仿宋_GBK"/>
          <w:sz w:val="33"/>
          <w:szCs w:val="33"/>
        </w:rPr>
        <w:t>．基本支出：指为保证机构正常运转，完成日常工作任务而发生的人员支出和公用支出。</w:t>
      </w:r>
    </w:p>
    <w:p w14:paraId="2DAC37DA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13</w:t>
      </w:r>
      <w:r>
        <w:rPr>
          <w:rFonts w:ascii="Times New Roman" w:hAnsi="Times New Roman" w:eastAsia="方正仿宋_GBK"/>
          <w:sz w:val="33"/>
          <w:szCs w:val="33"/>
        </w:rPr>
        <w:t>．项目支出：指在基本支出之外为</w:t>
      </w:r>
      <w:bookmarkStart w:id="70" w:name="_GoBack"/>
      <w:bookmarkEnd w:id="70"/>
      <w:r>
        <w:rPr>
          <w:rFonts w:ascii="Times New Roman" w:hAnsi="Times New Roman" w:eastAsia="方正仿宋_GBK"/>
          <w:sz w:val="33"/>
          <w:szCs w:val="33"/>
        </w:rPr>
        <w:t>完成特定行政任务和事业发展目标所发生的支出。</w:t>
      </w:r>
    </w:p>
    <w:p w14:paraId="798D57E4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14</w:t>
      </w:r>
      <w:r>
        <w:rPr>
          <w:rFonts w:ascii="Times New Roman" w:hAnsi="Times New Roman" w:eastAsia="方正仿宋_GBK"/>
          <w:sz w:val="33"/>
          <w:szCs w:val="33"/>
        </w:rPr>
        <w:t>．</w:t>
      </w:r>
      <w:r>
        <w:rPr>
          <w:rFonts w:hint="eastAsia" w:ascii="Times New Roman" w:hAnsi="Times New Roman" w:eastAsia="方正仿宋_GBK"/>
          <w:sz w:val="33"/>
          <w:szCs w:val="33"/>
        </w:rPr>
        <w:t>“</w:t>
      </w:r>
      <w:r>
        <w:rPr>
          <w:rFonts w:ascii="Times New Roman" w:hAnsi="Times New Roman" w:eastAsia="方正仿宋_GBK"/>
          <w:sz w:val="33"/>
          <w:szCs w:val="33"/>
        </w:rPr>
        <w:t>三公</w:t>
      </w:r>
      <w:r>
        <w:rPr>
          <w:rFonts w:hint="eastAsia" w:ascii="Times New Roman" w:hAnsi="Times New Roman" w:eastAsia="方正仿宋_GBK"/>
          <w:sz w:val="33"/>
          <w:szCs w:val="33"/>
        </w:rPr>
        <w:t>”</w:t>
      </w:r>
      <w:r>
        <w:rPr>
          <w:rFonts w:ascii="Times New Roman" w:hAnsi="Times New Roman" w:eastAsia="方正仿宋_GBK"/>
          <w:sz w:val="33"/>
          <w:szCs w:val="33"/>
        </w:rPr>
        <w:t>经费：纳入部门预决算管理的</w:t>
      </w:r>
      <w:r>
        <w:rPr>
          <w:rFonts w:hint="eastAsia" w:ascii="Times New Roman" w:hAnsi="Times New Roman" w:eastAsia="方正仿宋_GBK"/>
          <w:sz w:val="33"/>
          <w:szCs w:val="33"/>
        </w:rPr>
        <w:t>“</w:t>
      </w:r>
      <w:r>
        <w:rPr>
          <w:rFonts w:ascii="Times New Roman" w:hAnsi="Times New Roman" w:eastAsia="方正仿宋_GBK"/>
          <w:sz w:val="33"/>
          <w:szCs w:val="33"/>
        </w:rPr>
        <w:t>三公</w:t>
      </w:r>
      <w:r>
        <w:rPr>
          <w:rFonts w:hint="eastAsia" w:ascii="Times New Roman" w:hAnsi="Times New Roman" w:eastAsia="方正仿宋_GBK"/>
          <w:sz w:val="33"/>
          <w:szCs w:val="33"/>
        </w:rPr>
        <w:t>”</w:t>
      </w:r>
      <w:r>
        <w:rPr>
          <w:rFonts w:ascii="Times New Roman" w:hAnsi="Times New Roman" w:eastAsia="方正仿宋_GBK"/>
          <w:sz w:val="33"/>
          <w:szCs w:val="33"/>
        </w:rPr>
        <w:t>经费，是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 w14:paraId="2E235C70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15</w:t>
      </w:r>
      <w:r>
        <w:rPr>
          <w:rFonts w:ascii="Times New Roman" w:hAnsi="Times New Roman" w:eastAsia="方正仿宋_GBK"/>
          <w:sz w:val="33"/>
          <w:szCs w:val="33"/>
        </w:rPr>
        <w:t>．机关运行经费：为保障行政单位（包含参照公务员法管理的事业单位）运行用于购买货物和服务的各项资金。包括办公及印刷费、邮电费、差旅费、会议费、一般设备购置费等费用开支。</w:t>
      </w:r>
    </w:p>
    <w:p w14:paraId="635691E0">
      <w:pPr>
        <w:spacing w:line="590" w:lineRule="exact"/>
        <w:ind w:firstLine="660" w:firstLineChars="200"/>
        <w:rPr>
          <w:rFonts w:ascii="Times New Roman" w:hAnsi="Times New Roman" w:eastAsia="方正仿宋_GBK"/>
          <w:sz w:val="33"/>
          <w:szCs w:val="33"/>
        </w:rPr>
      </w:pPr>
    </w:p>
    <w:p w14:paraId="13CB5335">
      <w:pPr>
        <w:pStyle w:val="4"/>
        <w:rPr>
          <w:rFonts w:ascii="Times New Roman" w:hAnsi="Times New Roman" w:eastAsia="方正仿宋_GBK"/>
          <w:sz w:val="33"/>
          <w:szCs w:val="33"/>
        </w:rPr>
      </w:pPr>
    </w:p>
    <w:p w14:paraId="13969F1D">
      <w:pPr>
        <w:pStyle w:val="5"/>
        <w:rPr>
          <w:rFonts w:ascii="Times New Roman" w:hAnsi="Times New Roman" w:eastAsia="方正仿宋_GBK"/>
          <w:sz w:val="33"/>
          <w:szCs w:val="33"/>
        </w:rPr>
      </w:pPr>
    </w:p>
    <w:p w14:paraId="25DAA482">
      <w:pPr>
        <w:pStyle w:val="7"/>
        <w:rPr>
          <w:rFonts w:ascii="Times New Roman" w:hAnsi="Times New Roman" w:eastAsia="方正仿宋_GBK"/>
          <w:sz w:val="33"/>
          <w:szCs w:val="33"/>
        </w:rPr>
      </w:pPr>
    </w:p>
    <w:p w14:paraId="793AF24E">
      <w:pPr>
        <w:rPr>
          <w:rFonts w:ascii="Times New Roman" w:hAnsi="Times New Roman" w:eastAsia="方正仿宋_GBK"/>
          <w:sz w:val="33"/>
          <w:szCs w:val="33"/>
        </w:rPr>
      </w:pPr>
    </w:p>
    <w:p w14:paraId="5C39A9F3">
      <w:pPr>
        <w:pStyle w:val="4"/>
        <w:rPr>
          <w:rFonts w:ascii="Times New Roman" w:hAnsi="Times New Roman" w:eastAsia="方正仿宋_GBK"/>
          <w:sz w:val="33"/>
          <w:szCs w:val="33"/>
        </w:rPr>
      </w:pPr>
    </w:p>
    <w:p w14:paraId="54785A67">
      <w:pPr>
        <w:pStyle w:val="5"/>
        <w:rPr>
          <w:rFonts w:ascii="Times New Roman" w:hAnsi="Times New Roman" w:eastAsia="方正仿宋_GBK"/>
          <w:sz w:val="33"/>
          <w:szCs w:val="33"/>
        </w:rPr>
      </w:pPr>
    </w:p>
    <w:p w14:paraId="4E7E4D01">
      <w:pPr>
        <w:pStyle w:val="7"/>
        <w:rPr>
          <w:rFonts w:ascii="Times New Roman" w:hAnsi="Times New Roman" w:eastAsia="方正仿宋_GBK"/>
          <w:sz w:val="33"/>
          <w:szCs w:val="33"/>
        </w:rPr>
      </w:pPr>
    </w:p>
    <w:p w14:paraId="1111555D">
      <w:pPr>
        <w:rPr>
          <w:rFonts w:ascii="Times New Roman" w:hAnsi="Times New Roman" w:eastAsia="方正仿宋_GBK"/>
          <w:sz w:val="33"/>
          <w:szCs w:val="33"/>
        </w:rPr>
      </w:pPr>
    </w:p>
    <w:p w14:paraId="0B418284">
      <w:pPr>
        <w:pStyle w:val="4"/>
        <w:rPr>
          <w:rFonts w:ascii="Times New Roman" w:hAnsi="Times New Roman" w:eastAsia="方正仿宋_GBK"/>
          <w:sz w:val="33"/>
          <w:szCs w:val="33"/>
        </w:rPr>
      </w:pPr>
    </w:p>
    <w:p w14:paraId="19BB9BA0">
      <w:pPr>
        <w:pStyle w:val="5"/>
        <w:rPr>
          <w:rFonts w:ascii="Times New Roman" w:hAnsi="Times New Roman" w:eastAsia="方正仿宋_GBK"/>
          <w:sz w:val="33"/>
          <w:szCs w:val="33"/>
        </w:rPr>
      </w:pPr>
    </w:p>
    <w:p w14:paraId="4AF3BFCF">
      <w:pPr>
        <w:pStyle w:val="7"/>
        <w:rPr>
          <w:rFonts w:ascii="Times New Roman" w:hAnsi="Times New Roman" w:eastAsia="方正仿宋_GBK"/>
          <w:sz w:val="33"/>
          <w:szCs w:val="33"/>
        </w:rPr>
      </w:pPr>
    </w:p>
    <w:p w14:paraId="450D0193">
      <w:pPr>
        <w:rPr>
          <w:rFonts w:ascii="Times New Roman" w:hAnsi="Times New Roman" w:eastAsia="方正仿宋_GBK"/>
          <w:sz w:val="33"/>
          <w:szCs w:val="33"/>
        </w:rPr>
      </w:pPr>
    </w:p>
    <w:p w14:paraId="2F0F9139">
      <w:pPr>
        <w:pStyle w:val="4"/>
        <w:rPr>
          <w:rFonts w:ascii="Times New Roman" w:hAnsi="Times New Roman" w:eastAsia="方正仿宋_GBK"/>
          <w:sz w:val="33"/>
          <w:szCs w:val="33"/>
        </w:rPr>
      </w:pPr>
    </w:p>
    <w:p w14:paraId="42C691BE">
      <w:pPr>
        <w:pStyle w:val="5"/>
        <w:rPr>
          <w:rFonts w:ascii="Times New Roman" w:hAnsi="Times New Roman" w:eastAsia="方正仿宋_GBK"/>
          <w:sz w:val="33"/>
          <w:szCs w:val="33"/>
        </w:rPr>
      </w:pPr>
    </w:p>
    <w:p w14:paraId="1DD2162D">
      <w:pPr>
        <w:pStyle w:val="7"/>
        <w:rPr>
          <w:rFonts w:ascii="Times New Roman" w:hAnsi="Times New Roman" w:eastAsia="方正仿宋_GBK"/>
          <w:sz w:val="33"/>
          <w:szCs w:val="33"/>
        </w:rPr>
      </w:pPr>
    </w:p>
    <w:p w14:paraId="090F53DC">
      <w:pPr>
        <w:rPr>
          <w:rFonts w:ascii="Times New Roman" w:hAnsi="Times New Roman" w:eastAsia="方正仿宋_GBK"/>
          <w:sz w:val="33"/>
          <w:szCs w:val="33"/>
        </w:rPr>
      </w:pPr>
    </w:p>
    <w:p w14:paraId="38D8BA92">
      <w:pPr>
        <w:pStyle w:val="4"/>
        <w:rPr>
          <w:rFonts w:ascii="Times New Roman" w:hAnsi="Times New Roman" w:eastAsia="方正仿宋_GBK"/>
          <w:sz w:val="33"/>
          <w:szCs w:val="33"/>
        </w:rPr>
      </w:pPr>
    </w:p>
    <w:p w14:paraId="74AC48EA">
      <w:pPr>
        <w:pStyle w:val="5"/>
        <w:rPr>
          <w:rFonts w:ascii="Times New Roman" w:hAnsi="Times New Roman" w:eastAsia="方正仿宋_GBK"/>
          <w:sz w:val="33"/>
          <w:szCs w:val="33"/>
        </w:rPr>
      </w:pPr>
    </w:p>
    <w:p w14:paraId="1F3DCB7E">
      <w:pPr>
        <w:pStyle w:val="7"/>
        <w:rPr>
          <w:rFonts w:ascii="Times New Roman" w:hAnsi="Times New Roman" w:eastAsia="方正仿宋_GBK"/>
          <w:sz w:val="33"/>
          <w:szCs w:val="33"/>
        </w:rPr>
      </w:pPr>
    </w:p>
    <w:p w14:paraId="4666DC64">
      <w:pPr>
        <w:rPr>
          <w:rFonts w:ascii="Times New Roman" w:hAnsi="Times New Roman" w:eastAsia="方正仿宋_GBK"/>
          <w:sz w:val="33"/>
          <w:szCs w:val="33"/>
        </w:rPr>
      </w:pPr>
    </w:p>
    <w:p w14:paraId="2D10A68C">
      <w:pPr>
        <w:pStyle w:val="4"/>
        <w:rPr>
          <w:rFonts w:ascii="Times New Roman" w:hAnsi="Times New Roman" w:eastAsia="方正仿宋_GBK"/>
          <w:sz w:val="33"/>
          <w:szCs w:val="33"/>
        </w:rPr>
      </w:pPr>
    </w:p>
    <w:p w14:paraId="63BA0587">
      <w:pPr>
        <w:pStyle w:val="5"/>
        <w:rPr>
          <w:rFonts w:ascii="Times New Roman" w:hAnsi="Times New Roman" w:eastAsia="方正仿宋_GBK"/>
          <w:sz w:val="33"/>
          <w:szCs w:val="33"/>
        </w:rPr>
      </w:pPr>
    </w:p>
    <w:p w14:paraId="5AC11647">
      <w:pPr>
        <w:pStyle w:val="7"/>
        <w:rPr>
          <w:rFonts w:ascii="Times New Roman" w:hAnsi="Times New Roman" w:eastAsia="方正仿宋_GBK"/>
          <w:sz w:val="33"/>
          <w:szCs w:val="33"/>
        </w:rPr>
      </w:pPr>
    </w:p>
    <w:p w14:paraId="270F10D1">
      <w:pPr>
        <w:rPr>
          <w:rFonts w:ascii="Times New Roman" w:hAnsi="Times New Roman" w:eastAsia="方正仿宋_GBK"/>
          <w:sz w:val="33"/>
          <w:szCs w:val="33"/>
        </w:rPr>
      </w:pPr>
    </w:p>
    <w:p w14:paraId="1038B8C0">
      <w:pPr>
        <w:numPr>
          <w:ilvl w:val="0"/>
          <w:numId w:val="0"/>
        </w:numPr>
        <w:spacing w:line="700" w:lineRule="exact"/>
        <w:ind w:firstLine="1320" w:firstLineChars="300"/>
        <w:jc w:val="both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</w:p>
    <w:p w14:paraId="127D414F">
      <w:pPr>
        <w:numPr>
          <w:ilvl w:val="0"/>
          <w:numId w:val="0"/>
        </w:numPr>
        <w:spacing w:line="700" w:lineRule="exact"/>
        <w:ind w:firstLine="1320" w:firstLineChars="300"/>
        <w:jc w:val="both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</w:p>
    <w:p w14:paraId="31BF982E">
      <w:pPr>
        <w:numPr>
          <w:ilvl w:val="0"/>
          <w:numId w:val="0"/>
        </w:numPr>
        <w:spacing w:line="700" w:lineRule="exact"/>
        <w:ind w:firstLine="1320" w:firstLineChars="300"/>
        <w:jc w:val="both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</w:p>
    <w:p w14:paraId="51F05E30">
      <w:pPr>
        <w:numPr>
          <w:ilvl w:val="0"/>
          <w:numId w:val="0"/>
        </w:numPr>
        <w:spacing w:line="700" w:lineRule="exact"/>
        <w:ind w:firstLine="1320" w:firstLineChars="300"/>
        <w:jc w:val="both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</w:p>
    <w:p w14:paraId="60D4609E">
      <w:pPr>
        <w:numPr>
          <w:ilvl w:val="0"/>
          <w:numId w:val="0"/>
        </w:numPr>
        <w:spacing w:line="700" w:lineRule="exact"/>
        <w:ind w:firstLine="1320" w:firstLineChars="300"/>
        <w:jc w:val="both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</w:p>
    <w:p w14:paraId="7BEC8D0F">
      <w:pPr>
        <w:numPr>
          <w:ilvl w:val="0"/>
          <w:numId w:val="0"/>
        </w:numPr>
        <w:spacing w:line="700" w:lineRule="exact"/>
        <w:ind w:firstLine="1320" w:firstLineChars="300"/>
        <w:jc w:val="both"/>
        <w:rPr>
          <w:rFonts w:hint="eastAsia" w:ascii="Times New Roman" w:hAnsi="Times New Roman" w:eastAsia="方正小标宋_GBK"/>
          <w:sz w:val="44"/>
          <w:szCs w:val="44"/>
          <w:lang w:val="en-US" w:eastAsia="zh-CN"/>
        </w:rPr>
      </w:pPr>
    </w:p>
    <w:p w14:paraId="73DD537A">
      <w:pPr>
        <w:pStyle w:val="4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255A2F4B">
      <w:pPr>
        <w:numPr>
          <w:ilvl w:val="0"/>
          <w:numId w:val="0"/>
        </w:numPr>
        <w:spacing w:line="700" w:lineRule="exact"/>
        <w:ind w:firstLine="1320" w:firstLineChars="300"/>
        <w:jc w:val="both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54" w:name="_Toc29672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第四部分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中共广安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市委组织部</w:t>
      </w:r>
      <w:bookmarkEnd w:id="54"/>
    </w:p>
    <w:p w14:paraId="30AFBFFD">
      <w:pPr>
        <w:numPr>
          <w:ilvl w:val="0"/>
          <w:numId w:val="0"/>
        </w:numPr>
        <w:spacing w:line="700" w:lineRule="exact"/>
        <w:ind w:firstLine="3520" w:firstLineChars="800"/>
        <w:jc w:val="both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55" w:name="_Toc32599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2026年部门预算表</w:t>
      </w:r>
      <w:bookmarkEnd w:id="55"/>
    </w:p>
    <w:p w14:paraId="6A835E63">
      <w:pPr>
        <w:pStyle w:val="5"/>
      </w:pPr>
    </w:p>
    <w:p w14:paraId="19CA4360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5B2D3D98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64888914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4366DAD2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60F38E88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76157D01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752F13D8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151FA051">
      <w:pPr>
        <w:pStyle w:val="2"/>
        <w:rPr>
          <w:rFonts w:ascii="Times New Roman" w:hAnsi="Times New Roman" w:eastAsia="方正仿宋_GBK"/>
          <w:sz w:val="33"/>
          <w:szCs w:val="33"/>
        </w:rPr>
      </w:pPr>
    </w:p>
    <w:p w14:paraId="4DD2897E"/>
    <w:p w14:paraId="2D3C9113">
      <w:pPr>
        <w:spacing w:line="590" w:lineRule="exact"/>
        <w:ind w:firstLine="990" w:firstLineChars="300"/>
        <w:rPr>
          <w:rFonts w:ascii="Times New Roman" w:hAnsi="Times New Roman" w:eastAsia="方正仿宋_GBK"/>
          <w:sz w:val="33"/>
          <w:szCs w:val="33"/>
        </w:rPr>
      </w:pPr>
    </w:p>
    <w:p w14:paraId="2A0278E8">
      <w:pPr>
        <w:spacing w:line="590" w:lineRule="exact"/>
        <w:ind w:firstLine="990" w:firstLineChars="300"/>
        <w:outlineLvl w:val="1"/>
        <w:rPr>
          <w:rFonts w:ascii="Times New Roman" w:hAnsi="Times New Roman" w:eastAsia="方正仿宋_GBK"/>
          <w:sz w:val="33"/>
          <w:szCs w:val="33"/>
        </w:rPr>
      </w:pPr>
      <w:bookmarkStart w:id="56" w:name="_Toc21628"/>
      <w:r>
        <w:rPr>
          <w:rFonts w:ascii="Times New Roman" w:hAnsi="Times New Roman" w:eastAsia="方正仿宋_GBK"/>
          <w:sz w:val="33"/>
          <w:szCs w:val="33"/>
        </w:rPr>
        <w:t>附件：表1 部门收支总表</w:t>
      </w:r>
      <w:bookmarkEnd w:id="56"/>
    </w:p>
    <w:p w14:paraId="0452B61D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57" w:name="_Toc18022"/>
      <w:r>
        <w:rPr>
          <w:rFonts w:ascii="Times New Roman" w:hAnsi="Times New Roman" w:eastAsia="方正仿宋_GBK"/>
          <w:sz w:val="33"/>
          <w:szCs w:val="33"/>
        </w:rPr>
        <w:t>表1-1 部门收入总表</w:t>
      </w:r>
      <w:bookmarkEnd w:id="57"/>
    </w:p>
    <w:p w14:paraId="2881FB12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58" w:name="_Toc21899"/>
      <w:r>
        <w:rPr>
          <w:rFonts w:ascii="Times New Roman" w:hAnsi="Times New Roman" w:eastAsia="方正仿宋_GBK"/>
          <w:sz w:val="33"/>
          <w:szCs w:val="33"/>
        </w:rPr>
        <w:t xml:space="preserve">表1-2 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部门</w:t>
      </w:r>
      <w:r>
        <w:rPr>
          <w:rFonts w:ascii="Times New Roman" w:hAnsi="Times New Roman" w:eastAsia="方正仿宋_GBK"/>
          <w:sz w:val="33"/>
          <w:szCs w:val="33"/>
        </w:rPr>
        <w:t>支出总表</w:t>
      </w:r>
      <w:bookmarkEnd w:id="58"/>
    </w:p>
    <w:p w14:paraId="24F11475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59" w:name="_Toc3743"/>
      <w:r>
        <w:rPr>
          <w:rFonts w:ascii="Times New Roman" w:hAnsi="Times New Roman" w:eastAsia="方正仿宋_GBK"/>
          <w:sz w:val="33"/>
          <w:szCs w:val="33"/>
        </w:rPr>
        <w:t>表2 财政拨款收支</w:t>
      </w:r>
      <w:r>
        <w:rPr>
          <w:rFonts w:hint="eastAsia" w:ascii="Times New Roman" w:hAnsi="Times New Roman" w:eastAsia="方正仿宋_GBK"/>
          <w:sz w:val="33"/>
          <w:szCs w:val="33"/>
        </w:rPr>
        <w:t>预算</w:t>
      </w:r>
      <w:r>
        <w:rPr>
          <w:rFonts w:ascii="Times New Roman" w:hAnsi="Times New Roman" w:eastAsia="方正仿宋_GBK"/>
          <w:sz w:val="33"/>
          <w:szCs w:val="33"/>
        </w:rPr>
        <w:t>总表</w:t>
      </w:r>
      <w:bookmarkEnd w:id="59"/>
    </w:p>
    <w:p w14:paraId="5AC00C24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w w:val="90"/>
          <w:sz w:val="33"/>
          <w:szCs w:val="33"/>
        </w:rPr>
      </w:pPr>
      <w:bookmarkStart w:id="60" w:name="_Toc12355"/>
      <w:r>
        <w:rPr>
          <w:rFonts w:ascii="Times New Roman" w:hAnsi="Times New Roman" w:eastAsia="方正仿宋_GBK"/>
          <w:sz w:val="33"/>
          <w:szCs w:val="33"/>
        </w:rPr>
        <w:t>表2-1</w:t>
      </w:r>
      <w:r>
        <w:rPr>
          <w:rFonts w:ascii="Times New Roman" w:hAnsi="Times New Roman" w:eastAsia="方正仿宋_GBK"/>
          <w:w w:val="90"/>
          <w:sz w:val="33"/>
          <w:szCs w:val="33"/>
        </w:rPr>
        <w:t>财政拨款支出预算表（</w:t>
      </w:r>
      <w:r>
        <w:rPr>
          <w:rFonts w:hint="eastAsia" w:ascii="Times New Roman" w:hAnsi="Times New Roman" w:eastAsia="方正仿宋_GBK"/>
          <w:w w:val="90"/>
          <w:sz w:val="33"/>
          <w:szCs w:val="33"/>
          <w:lang w:val="en-US" w:eastAsia="zh-CN"/>
        </w:rPr>
        <w:t>部门</w:t>
      </w:r>
      <w:r>
        <w:rPr>
          <w:rFonts w:ascii="Times New Roman" w:hAnsi="Times New Roman" w:eastAsia="方正仿宋_GBK"/>
          <w:w w:val="90"/>
          <w:sz w:val="33"/>
          <w:szCs w:val="33"/>
        </w:rPr>
        <w:t>经济分类科目）</w:t>
      </w:r>
      <w:bookmarkEnd w:id="60"/>
    </w:p>
    <w:p w14:paraId="0859D944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1" w:name="_Toc9064"/>
      <w:r>
        <w:rPr>
          <w:rFonts w:ascii="Times New Roman" w:hAnsi="Times New Roman" w:eastAsia="方正仿宋_GBK"/>
          <w:sz w:val="33"/>
          <w:szCs w:val="33"/>
        </w:rPr>
        <w:t>表3一般公共预算支出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预算</w:t>
      </w:r>
      <w:r>
        <w:rPr>
          <w:rFonts w:ascii="Times New Roman" w:hAnsi="Times New Roman" w:eastAsia="方正仿宋_GBK"/>
          <w:sz w:val="33"/>
          <w:szCs w:val="33"/>
        </w:rPr>
        <w:t>表</w:t>
      </w:r>
      <w:bookmarkEnd w:id="61"/>
    </w:p>
    <w:p w14:paraId="79FF0A9F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2" w:name="_Toc17850"/>
      <w:r>
        <w:rPr>
          <w:rFonts w:ascii="Times New Roman" w:hAnsi="Times New Roman" w:eastAsia="方正仿宋_GBK"/>
          <w:sz w:val="33"/>
          <w:szCs w:val="33"/>
        </w:rPr>
        <w:t>表3-1一般公共预算基本支出预算表</w:t>
      </w:r>
      <w:bookmarkEnd w:id="62"/>
    </w:p>
    <w:p w14:paraId="57B3060D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3" w:name="_Toc8118"/>
      <w:r>
        <w:rPr>
          <w:rFonts w:ascii="Times New Roman" w:hAnsi="Times New Roman" w:eastAsia="方正仿宋_GBK"/>
          <w:sz w:val="33"/>
          <w:szCs w:val="33"/>
        </w:rPr>
        <w:t>表3-2一般公共预算项目支出预算表</w:t>
      </w:r>
      <w:bookmarkEnd w:id="63"/>
    </w:p>
    <w:p w14:paraId="096CE7E0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4" w:name="_Toc29275"/>
      <w:r>
        <w:rPr>
          <w:rFonts w:ascii="Times New Roman" w:hAnsi="Times New Roman" w:eastAsia="方正仿宋_GBK"/>
          <w:sz w:val="33"/>
          <w:szCs w:val="33"/>
        </w:rPr>
        <w:t>表3-3一般公共预算</w:t>
      </w:r>
      <w:r>
        <w:rPr>
          <w:rFonts w:hint="eastAsia" w:ascii="Times New Roman" w:hAnsi="Times New Roman" w:eastAsia="方正仿宋_GBK"/>
          <w:sz w:val="33"/>
          <w:szCs w:val="33"/>
        </w:rPr>
        <w:t>“</w:t>
      </w:r>
      <w:r>
        <w:rPr>
          <w:rFonts w:ascii="Times New Roman" w:hAnsi="Times New Roman" w:eastAsia="方正仿宋_GBK"/>
          <w:sz w:val="33"/>
          <w:szCs w:val="33"/>
        </w:rPr>
        <w:t>三公</w:t>
      </w:r>
      <w:r>
        <w:rPr>
          <w:rFonts w:hint="eastAsia" w:ascii="Times New Roman" w:hAnsi="Times New Roman" w:eastAsia="方正仿宋_GBK"/>
          <w:sz w:val="33"/>
          <w:szCs w:val="33"/>
        </w:rPr>
        <w:t>”</w:t>
      </w:r>
      <w:r>
        <w:rPr>
          <w:rFonts w:ascii="Times New Roman" w:hAnsi="Times New Roman" w:eastAsia="方正仿宋_GBK"/>
          <w:sz w:val="33"/>
          <w:szCs w:val="33"/>
        </w:rPr>
        <w:t>经费支出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预算</w:t>
      </w:r>
      <w:r>
        <w:rPr>
          <w:rFonts w:ascii="Times New Roman" w:hAnsi="Times New Roman" w:eastAsia="方正仿宋_GBK"/>
          <w:sz w:val="33"/>
          <w:szCs w:val="33"/>
        </w:rPr>
        <w:t>表</w:t>
      </w:r>
      <w:bookmarkEnd w:id="64"/>
    </w:p>
    <w:p w14:paraId="4DBA25A2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5" w:name="_Toc11854"/>
      <w:r>
        <w:rPr>
          <w:rFonts w:ascii="Times New Roman" w:hAnsi="Times New Roman" w:eastAsia="方正仿宋_GBK"/>
          <w:sz w:val="33"/>
          <w:szCs w:val="33"/>
        </w:rPr>
        <w:t>表4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 xml:space="preserve"> </w:t>
      </w:r>
      <w:r>
        <w:rPr>
          <w:rFonts w:ascii="Times New Roman" w:hAnsi="Times New Roman" w:eastAsia="方正仿宋_GBK"/>
          <w:sz w:val="33"/>
          <w:szCs w:val="33"/>
        </w:rPr>
        <w:t>政府性基金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预算</w:t>
      </w:r>
      <w:r>
        <w:rPr>
          <w:rFonts w:ascii="Times New Roman" w:hAnsi="Times New Roman" w:eastAsia="方正仿宋_GBK"/>
          <w:sz w:val="33"/>
          <w:szCs w:val="33"/>
        </w:rPr>
        <w:t>支出预算表</w:t>
      </w:r>
      <w:bookmarkEnd w:id="65"/>
    </w:p>
    <w:p w14:paraId="2235411F">
      <w:pPr>
        <w:spacing w:line="600" w:lineRule="exact"/>
        <w:ind w:firstLine="1920" w:firstLineChars="600"/>
        <w:outlineLvl w:val="1"/>
      </w:pPr>
      <w:bookmarkStart w:id="66" w:name="_Toc7612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表4-1 政府性基金预算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三公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经费支出预算表</w:t>
      </w:r>
      <w:bookmarkEnd w:id="66"/>
    </w:p>
    <w:p w14:paraId="520FF891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7" w:name="_Toc26830"/>
      <w:r>
        <w:rPr>
          <w:rFonts w:ascii="Times New Roman" w:hAnsi="Times New Roman" w:eastAsia="方正仿宋_GBK"/>
          <w:sz w:val="33"/>
          <w:szCs w:val="33"/>
        </w:rPr>
        <w:t>表5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 xml:space="preserve"> </w:t>
      </w:r>
      <w:r>
        <w:rPr>
          <w:rFonts w:ascii="Times New Roman" w:hAnsi="Times New Roman" w:eastAsia="方正仿宋_GBK"/>
          <w:sz w:val="33"/>
          <w:szCs w:val="33"/>
        </w:rPr>
        <w:t>国有资本经营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预算</w:t>
      </w:r>
      <w:r>
        <w:rPr>
          <w:rFonts w:ascii="Times New Roman" w:hAnsi="Times New Roman" w:eastAsia="方正仿宋_GBK"/>
          <w:sz w:val="33"/>
          <w:szCs w:val="33"/>
        </w:rPr>
        <w:t>支出预算表</w:t>
      </w:r>
      <w:bookmarkEnd w:id="67"/>
    </w:p>
    <w:p w14:paraId="4E386B8C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8" w:name="_Toc29175"/>
      <w:r>
        <w:rPr>
          <w:rFonts w:hint="eastAsia" w:ascii="Times New Roman" w:hAnsi="Times New Roman" w:eastAsia="方正仿宋_GBK"/>
          <w:sz w:val="33"/>
          <w:szCs w:val="33"/>
        </w:rPr>
        <w:t>表6 部门预算项目</w:t>
      </w:r>
      <w:r>
        <w:rPr>
          <w:rFonts w:hint="eastAsia" w:ascii="Times New Roman" w:hAnsi="Times New Roman" w:eastAsia="方正仿宋_GBK"/>
          <w:sz w:val="33"/>
          <w:szCs w:val="33"/>
          <w:lang w:val="en-US" w:eastAsia="zh-CN"/>
        </w:rPr>
        <w:t>支出</w:t>
      </w:r>
      <w:r>
        <w:rPr>
          <w:rFonts w:hint="eastAsia" w:ascii="Times New Roman" w:hAnsi="Times New Roman" w:eastAsia="方正仿宋_GBK"/>
          <w:sz w:val="33"/>
          <w:szCs w:val="33"/>
        </w:rPr>
        <w:t>绩效目标表</w:t>
      </w:r>
      <w:bookmarkEnd w:id="68"/>
    </w:p>
    <w:p w14:paraId="1566A9CC">
      <w:pPr>
        <w:spacing w:line="590" w:lineRule="exact"/>
        <w:ind w:firstLine="1980" w:firstLineChars="600"/>
        <w:outlineLvl w:val="0"/>
        <w:rPr>
          <w:rFonts w:ascii="Times New Roman" w:hAnsi="Times New Roman" w:eastAsia="方正仿宋_GBK"/>
          <w:sz w:val="33"/>
          <w:szCs w:val="33"/>
        </w:rPr>
      </w:pPr>
      <w:bookmarkStart w:id="69" w:name="_Toc13327"/>
      <w:r>
        <w:rPr>
          <w:rFonts w:hint="eastAsia" w:ascii="Times New Roman" w:hAnsi="Times New Roman" w:eastAsia="方正仿宋_GBK"/>
          <w:sz w:val="33"/>
          <w:szCs w:val="33"/>
        </w:rPr>
        <w:t>表7 部门整体支出绩效目标表</w:t>
      </w:r>
      <w:bookmarkEnd w:id="69"/>
    </w:p>
    <w:p w14:paraId="5A709A8F">
      <w:pPr>
        <w:spacing w:line="590" w:lineRule="exact"/>
        <w:ind w:firstLine="1650" w:firstLineChars="500"/>
        <w:rPr>
          <w:rFonts w:ascii="Times New Roman" w:hAnsi="Times New Roman" w:eastAsia="方正仿宋_GBK"/>
          <w:sz w:val="33"/>
          <w:szCs w:val="33"/>
        </w:rPr>
      </w:pPr>
    </w:p>
    <w:p w14:paraId="4A3EBE05">
      <w:pPr>
        <w:pStyle w:val="5"/>
        <w:ind w:firstLine="0" w:firstLineChars="0"/>
        <w:rPr>
          <w:rFonts w:ascii="Times New Roman" w:hAnsi="Times New Roman"/>
        </w:rPr>
      </w:pPr>
    </w:p>
    <w:p w14:paraId="16226D4F">
      <w:pPr>
        <w:pStyle w:val="5"/>
        <w:ind w:firstLine="0" w:firstLineChars="0"/>
        <w:rPr>
          <w:rFonts w:ascii="Times New Roman" w:hAnsi="Times New Roman"/>
        </w:rPr>
      </w:pPr>
    </w:p>
    <w:p w14:paraId="467F501B">
      <w:pPr>
        <w:spacing w:line="590" w:lineRule="exact"/>
        <w:ind w:firstLine="3045" w:firstLineChars="1450"/>
        <w:rPr>
          <w:szCs w:val="33"/>
        </w:rPr>
      </w:pPr>
    </w:p>
    <w:sectPr>
      <w:footerReference r:id="rId7" w:type="default"/>
      <w:pgSz w:w="11906" w:h="16838"/>
      <w:pgMar w:top="2041" w:right="1531" w:bottom="1701" w:left="1531" w:header="851" w:footer="1474" w:gutter="0"/>
      <w:pgNumType w:fmt="decimal" w:start="1"/>
      <w:cols w:space="425" w:num="1"/>
      <w:docGrid w:linePitch="590" w:charSpace="266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ED473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40B77">
    <w:pPr>
      <w:pStyle w:val="7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2AB786AB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B6366">
    <w:pPr>
      <w:pStyle w:val="7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7C3F4">
    <w:pPr>
      <w:pStyle w:val="7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037A5">
    <w:pPr>
      <w:pStyle w:val="7"/>
      <w:ind w:right="360" w:firstLine="360"/>
    </w:pPr>
    <w:r>
      <w:rPr>
        <w:sz w:val="18"/>
      </w:rPr>
      <w:pict>
        <v:shape id="_x0000_s4099" o:spid="_x0000_s4099" o:spt="202" type="#_x0000_t202" style="position:absolute;left:0pt;margin-top:2.05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AE594CD">
                <w:pPr>
                  <w:pStyle w:val="7"/>
                  <w:ind w:left="273" w:leftChars="130" w:right="273" w:rightChars="130"/>
                  <w:rPr>
                    <w:rStyle w:val="14"/>
                    <w:rFonts w:ascii="宋体" w:hAnsi="宋体"/>
                    <w:sz w:val="28"/>
                    <w:szCs w:val="28"/>
                  </w:rPr>
                </w:pPr>
                <w:r>
                  <w:rPr>
                    <w:rStyle w:val="14"/>
                    <w:rFonts w:hint="eastAsia" w:ascii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Style w:val="14"/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Style w:val="14"/>
                    <w:rFonts w:ascii="Times New Roman" w:hAnsi="Times New Roman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14"/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>
                  <w:rPr>
                    <w:rStyle w:val="14"/>
                    <w:rFonts w:ascii="Times New Roman" w:hAnsi="Times New Roman"/>
                    <w:sz w:val="28"/>
                    <w:szCs w:val="28"/>
                  </w:rPr>
                  <w:t>10</w:t>
                </w:r>
                <w:r>
                  <w:rPr>
                    <w:rStyle w:val="14"/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Style w:val="14"/>
                    <w:rFonts w:hint="eastAsia" w:ascii="宋体" w:hAnsi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2CA745"/>
    <w:multiLevelType w:val="singleLevel"/>
    <w:tmpl w:val="832CA7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CA5CBF"/>
    <w:multiLevelType w:val="singleLevel"/>
    <w:tmpl w:val="37CA5CB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70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3D37"/>
    <w:rsid w:val="000D47B9"/>
    <w:rsid w:val="001F3A56"/>
    <w:rsid w:val="00200738"/>
    <w:rsid w:val="00250E3F"/>
    <w:rsid w:val="00344F80"/>
    <w:rsid w:val="003C6B2F"/>
    <w:rsid w:val="004A0DFA"/>
    <w:rsid w:val="00501FE6"/>
    <w:rsid w:val="00574274"/>
    <w:rsid w:val="00720B06"/>
    <w:rsid w:val="00723A39"/>
    <w:rsid w:val="007F1792"/>
    <w:rsid w:val="00A30C62"/>
    <w:rsid w:val="00A90CF7"/>
    <w:rsid w:val="00A945F9"/>
    <w:rsid w:val="00B25E7C"/>
    <w:rsid w:val="00B6150F"/>
    <w:rsid w:val="00B63D37"/>
    <w:rsid w:val="00BB2E13"/>
    <w:rsid w:val="00BC412C"/>
    <w:rsid w:val="00BD20CD"/>
    <w:rsid w:val="00CC3F25"/>
    <w:rsid w:val="00E33B7A"/>
    <w:rsid w:val="00E64FC6"/>
    <w:rsid w:val="00FC0BD5"/>
    <w:rsid w:val="01367F86"/>
    <w:rsid w:val="01791D16"/>
    <w:rsid w:val="0239586D"/>
    <w:rsid w:val="03064355"/>
    <w:rsid w:val="04650C3B"/>
    <w:rsid w:val="05020672"/>
    <w:rsid w:val="05205B7A"/>
    <w:rsid w:val="05C540BA"/>
    <w:rsid w:val="05E76E48"/>
    <w:rsid w:val="0607794C"/>
    <w:rsid w:val="07020BE1"/>
    <w:rsid w:val="070324C7"/>
    <w:rsid w:val="07D76D31"/>
    <w:rsid w:val="08312A27"/>
    <w:rsid w:val="0972200C"/>
    <w:rsid w:val="09F946E2"/>
    <w:rsid w:val="0A6F0E8F"/>
    <w:rsid w:val="0B0A553F"/>
    <w:rsid w:val="0B613934"/>
    <w:rsid w:val="0BE31BE3"/>
    <w:rsid w:val="0C385FCC"/>
    <w:rsid w:val="0D6214AA"/>
    <w:rsid w:val="0DD86791"/>
    <w:rsid w:val="0E1B3D54"/>
    <w:rsid w:val="0E3A7A18"/>
    <w:rsid w:val="0EF30FFC"/>
    <w:rsid w:val="109A1386"/>
    <w:rsid w:val="12421478"/>
    <w:rsid w:val="131F7802"/>
    <w:rsid w:val="16222E1D"/>
    <w:rsid w:val="162E4CF5"/>
    <w:rsid w:val="163828DA"/>
    <w:rsid w:val="16512D34"/>
    <w:rsid w:val="1771240C"/>
    <w:rsid w:val="178856F2"/>
    <w:rsid w:val="18CB1B4F"/>
    <w:rsid w:val="19110E01"/>
    <w:rsid w:val="1A2E17C1"/>
    <w:rsid w:val="1A435447"/>
    <w:rsid w:val="1AF43FAA"/>
    <w:rsid w:val="1C453777"/>
    <w:rsid w:val="1F8D7B0C"/>
    <w:rsid w:val="207C6834"/>
    <w:rsid w:val="21031E89"/>
    <w:rsid w:val="217E200C"/>
    <w:rsid w:val="21851F4D"/>
    <w:rsid w:val="24B7791E"/>
    <w:rsid w:val="26547C76"/>
    <w:rsid w:val="27980515"/>
    <w:rsid w:val="27C25867"/>
    <w:rsid w:val="29240209"/>
    <w:rsid w:val="2ACB0C38"/>
    <w:rsid w:val="2B376191"/>
    <w:rsid w:val="2B571C80"/>
    <w:rsid w:val="2C5A3352"/>
    <w:rsid w:val="2E2E12F5"/>
    <w:rsid w:val="2E6D672F"/>
    <w:rsid w:val="2EB87CD8"/>
    <w:rsid w:val="2F0B7EF5"/>
    <w:rsid w:val="2F92198E"/>
    <w:rsid w:val="2FF45F8B"/>
    <w:rsid w:val="300C6EB9"/>
    <w:rsid w:val="3070645D"/>
    <w:rsid w:val="30CB1CB2"/>
    <w:rsid w:val="31DF607C"/>
    <w:rsid w:val="32406E28"/>
    <w:rsid w:val="32C54D71"/>
    <w:rsid w:val="335B3220"/>
    <w:rsid w:val="34C021E0"/>
    <w:rsid w:val="355A7425"/>
    <w:rsid w:val="36737340"/>
    <w:rsid w:val="36EC0267"/>
    <w:rsid w:val="36F44201"/>
    <w:rsid w:val="37370339"/>
    <w:rsid w:val="38D3755E"/>
    <w:rsid w:val="3C067C80"/>
    <w:rsid w:val="3E56238F"/>
    <w:rsid w:val="3EF74FDF"/>
    <w:rsid w:val="3F3360CA"/>
    <w:rsid w:val="40046FAF"/>
    <w:rsid w:val="40153BD4"/>
    <w:rsid w:val="420A0A72"/>
    <w:rsid w:val="42A626D6"/>
    <w:rsid w:val="42B26E0B"/>
    <w:rsid w:val="43177F55"/>
    <w:rsid w:val="43B537F0"/>
    <w:rsid w:val="441365E8"/>
    <w:rsid w:val="46FA2EF9"/>
    <w:rsid w:val="47AE39B3"/>
    <w:rsid w:val="48E84E8D"/>
    <w:rsid w:val="49547AB2"/>
    <w:rsid w:val="499441BE"/>
    <w:rsid w:val="4B662A6D"/>
    <w:rsid w:val="4C925DBC"/>
    <w:rsid w:val="4D50351F"/>
    <w:rsid w:val="4DCD718C"/>
    <w:rsid w:val="4F365D17"/>
    <w:rsid w:val="513806AC"/>
    <w:rsid w:val="51A86B46"/>
    <w:rsid w:val="524E4924"/>
    <w:rsid w:val="52DF374E"/>
    <w:rsid w:val="53880C37"/>
    <w:rsid w:val="53E80990"/>
    <w:rsid w:val="547D55B6"/>
    <w:rsid w:val="579D58D7"/>
    <w:rsid w:val="57FE583A"/>
    <w:rsid w:val="58450D45"/>
    <w:rsid w:val="58FE6BDB"/>
    <w:rsid w:val="5948424B"/>
    <w:rsid w:val="5A0F39C0"/>
    <w:rsid w:val="5A1504D1"/>
    <w:rsid w:val="5A7941C6"/>
    <w:rsid w:val="5D2378DB"/>
    <w:rsid w:val="5D3C516B"/>
    <w:rsid w:val="5D6857C6"/>
    <w:rsid w:val="5D730CB3"/>
    <w:rsid w:val="5EB76BE2"/>
    <w:rsid w:val="6335342B"/>
    <w:rsid w:val="63605094"/>
    <w:rsid w:val="660C7DA7"/>
    <w:rsid w:val="6650344D"/>
    <w:rsid w:val="671E4133"/>
    <w:rsid w:val="672707A3"/>
    <w:rsid w:val="67A150DB"/>
    <w:rsid w:val="67E30F0F"/>
    <w:rsid w:val="6A3B213A"/>
    <w:rsid w:val="6A8E58D2"/>
    <w:rsid w:val="6B4C1AB2"/>
    <w:rsid w:val="6BDD4E14"/>
    <w:rsid w:val="6CBE10B2"/>
    <w:rsid w:val="6EE85910"/>
    <w:rsid w:val="6F2E5C41"/>
    <w:rsid w:val="70425E20"/>
    <w:rsid w:val="70ED10CF"/>
    <w:rsid w:val="71AE5826"/>
    <w:rsid w:val="72717B29"/>
    <w:rsid w:val="7279455D"/>
    <w:rsid w:val="72DB2EF8"/>
    <w:rsid w:val="74205A4F"/>
    <w:rsid w:val="765B18A1"/>
    <w:rsid w:val="77974CF6"/>
    <w:rsid w:val="77A37B05"/>
    <w:rsid w:val="78D445D2"/>
    <w:rsid w:val="78F40C9E"/>
    <w:rsid w:val="78F4497B"/>
    <w:rsid w:val="79C6491C"/>
    <w:rsid w:val="7C8E4FCF"/>
    <w:rsid w:val="7D8F278A"/>
    <w:rsid w:val="7DEF2432"/>
    <w:rsid w:val="7E234989"/>
    <w:rsid w:val="7EB25646"/>
    <w:rsid w:val="7EB810C1"/>
    <w:rsid w:val="7FD283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200"/>
    </w:pPr>
    <w:rPr>
      <w:rFonts w:eastAsia="楷体_GB2312"/>
    </w:rPr>
  </w:style>
  <w:style w:type="paragraph" w:styleId="5">
    <w:name w:val="Body Text First Indent 2"/>
    <w:basedOn w:val="6"/>
    <w:next w:val="7"/>
    <w:link w:val="16"/>
    <w:qFormat/>
    <w:uiPriority w:val="0"/>
    <w:pPr>
      <w:tabs>
        <w:tab w:val="left" w:pos="960"/>
      </w:tabs>
      <w:spacing w:after="0" w:line="540" w:lineRule="exact"/>
      <w:ind w:left="0" w:leftChars="0" w:firstLine="420" w:firstLineChars="200"/>
    </w:pPr>
    <w:rPr>
      <w:sz w:val="32"/>
      <w:szCs w:val="32"/>
    </w:rPr>
  </w:style>
  <w:style w:type="paragraph" w:styleId="6">
    <w:name w:val="Body Text Indent"/>
    <w:basedOn w:val="1"/>
    <w:next w:val="4"/>
    <w:link w:val="15"/>
    <w:qFormat/>
    <w:uiPriority w:val="0"/>
    <w:pPr>
      <w:spacing w:after="120"/>
      <w:ind w:left="420" w:leftChars="200"/>
    </w:pPr>
  </w:style>
  <w:style w:type="paragraph" w:styleId="7">
    <w:name w:val="footer"/>
    <w:basedOn w:val="1"/>
    <w:next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"/>
    <w:basedOn w:val="1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character" w:styleId="14">
    <w:name w:val="page number"/>
    <w:basedOn w:val="13"/>
    <w:qFormat/>
    <w:uiPriority w:val="0"/>
  </w:style>
  <w:style w:type="character" w:customStyle="1" w:styleId="15">
    <w:name w:val="正文文本缩进 Char"/>
    <w:basedOn w:val="13"/>
    <w:link w:val="6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6">
    <w:name w:val="正文首行缩进 2 Char"/>
    <w:basedOn w:val="15"/>
    <w:link w:val="5"/>
    <w:qFormat/>
    <w:uiPriority w:val="0"/>
    <w:rPr>
      <w:sz w:val="32"/>
      <w:szCs w:val="32"/>
    </w:rPr>
  </w:style>
  <w:style w:type="character" w:customStyle="1" w:styleId="17">
    <w:name w:val="页脚 Char"/>
    <w:basedOn w:val="13"/>
    <w:link w:val="7"/>
    <w:qFormat/>
    <w:locked/>
    <w:uiPriority w:val="99"/>
    <w:rPr>
      <w:kern w:val="2"/>
      <w:sz w:val="18"/>
      <w:szCs w:val="18"/>
    </w:rPr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XLX-100/C:\Users\lenovo\Desktop\&#26368;&#26032;&#20844;&#25991;&#27169;&#26495;888888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最新公文模板888888</Template>
  <Company>xp</Company>
  <Pages>21</Pages>
  <Words>4719</Words>
  <Characters>5125</Characters>
  <Lines>3</Lines>
  <Paragraphs>9</Paragraphs>
  <TotalTime>307</TotalTime>
  <ScaleCrop>false</ScaleCrop>
  <LinksUpToDate>false</LinksUpToDate>
  <CharactersWithSpaces>5230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2022-02-09T16:29:00Z</dcterms:created>
  <dc:creator>lenovo</dc:creator>
  <cp:lastModifiedBy>XLX-100</cp:lastModifiedBy>
  <cp:lastPrinted>2022-02-09T16:29:00Z</cp:lastPrinted>
  <dcterms:modified xsi:type="dcterms:W3CDTF">2026-03-05T17:04:14Z</dcterms:modified>
  <dc:title>标题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eyJoZGlkIjoiOTFhMTJmNmRiNjVjNDA5MTQzZmVjNmNkOTkxNDA5MmMiLCJ1c2VySWQiOiI2Mjc2MTk0MjAifQ==</vt:lpwstr>
  </property>
  <property fmtid="{D5CDD505-2E9C-101B-9397-08002B2CF9AE}" pid="4" name="ICV">
    <vt:lpwstr>96E31DB8170C4F0FA836372D31CD9241_12</vt:lpwstr>
  </property>
</Properties>
</file>