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after="0" w:line="240" w:lineRule="auto"/>
        <w:ind w:left="0" w:leftChars="0" w:firstLine="0" w:firstLineChars="0"/>
        <w:jc w:val="both"/>
        <w:rPr>
          <w:rFonts w:ascii="Times New Roman" w:hAnsi="Times New Roman" w:eastAsia="方正小标宋简体" w:cs="方正小标宋简体"/>
          <w:kern w:val="0"/>
          <w:sz w:val="44"/>
          <w:szCs w:val="44"/>
        </w:rPr>
      </w:pPr>
      <w:r>
        <w:rPr>
          <w:rFonts w:ascii="Times New Roman" w:hAnsi="Times New Roman" w:eastAsia="小标宋"/>
          <w:b/>
          <w:sz w:val="36"/>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-273050</wp:posOffset>
                </wp:positionV>
                <wp:extent cx="1974215" cy="665480"/>
                <wp:effectExtent l="0" t="0" r="6985" b="1270"/>
                <wp:wrapNone/>
                <wp:docPr id="2" name="文本框 2"/>
                <wp:cNvGraphicFramePr/>
                <a:graphic xmlns:a="http://schemas.openxmlformats.org/drawingml/2006/main">
                  <a:graphicData uri="http://schemas.microsoft.com/office/word/2010/wordprocessingShape">
                    <wps:wsp>
                      <wps:cNvSpPr txBox="1"/>
                      <wps:spPr>
                        <a:xfrm>
                          <a:off x="0" y="0"/>
                          <a:ext cx="1974215" cy="665480"/>
                        </a:xfrm>
                        <a:prstGeom prst="rect">
                          <a:avLst/>
                        </a:prstGeom>
                        <a:solidFill>
                          <a:srgbClr val="FFFFFF"/>
                        </a:solid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黑体" w:hAnsi="黑体" w:eastAsia="黑体"/>
                                <w:sz w:val="28"/>
                                <w:szCs w:val="28"/>
                              </w:rPr>
                            </w:pPr>
                            <w:r>
                              <w:rPr>
                                <w:rFonts w:hint="eastAsia" w:ascii="黑体" w:hAnsi="黑体" w:eastAsia="黑体"/>
                                <w:spacing w:val="30"/>
                                <w:kern w:val="0"/>
                                <w:sz w:val="28"/>
                                <w:szCs w:val="28"/>
                                <w:fitText w:val="2660" w:id="1018587026"/>
                              </w:rPr>
                              <w:t>江安县十七届人</w:t>
                            </w:r>
                            <w:r>
                              <w:rPr>
                                <w:rFonts w:hint="eastAsia" w:ascii="黑体" w:hAnsi="黑体" w:eastAsia="黑体"/>
                                <w:spacing w:val="0"/>
                                <w:kern w:val="0"/>
                                <w:sz w:val="28"/>
                                <w:szCs w:val="28"/>
                                <w:fitText w:val="2660" w:id="1018587026"/>
                              </w:rPr>
                              <w:t>大</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黑体" w:hAnsi="黑体" w:eastAsia="黑体"/>
                                <w:spacing w:val="17"/>
                                <w:kern w:val="0"/>
                                <w:sz w:val="28"/>
                                <w:szCs w:val="28"/>
                              </w:rPr>
                            </w:pPr>
                            <w:r>
                              <w:rPr>
                                <w:rFonts w:hint="eastAsia" w:ascii="黑体" w:hAnsi="黑体" w:eastAsia="黑体"/>
                                <w:spacing w:val="19"/>
                                <w:kern w:val="0"/>
                                <w:sz w:val="28"/>
                                <w:szCs w:val="28"/>
                                <w:fitText w:val="2835" w:id="539974387"/>
                                <w:lang w:val="en-US" w:eastAsia="zh-CN"/>
                              </w:rPr>
                              <w:t>五</w:t>
                            </w:r>
                            <w:r>
                              <w:rPr>
                                <w:rFonts w:hint="eastAsia" w:ascii="黑体" w:hAnsi="黑体" w:eastAsia="黑体"/>
                                <w:spacing w:val="19"/>
                                <w:kern w:val="0"/>
                                <w:sz w:val="28"/>
                                <w:szCs w:val="28"/>
                                <w:fitText w:val="2835" w:id="539974387"/>
                              </w:rPr>
                              <w:t>次会议文件（七</w:t>
                            </w:r>
                            <w:r>
                              <w:rPr>
                                <w:rFonts w:hint="eastAsia" w:ascii="黑体" w:hAnsi="黑体" w:eastAsia="黑体"/>
                                <w:spacing w:val="5"/>
                                <w:kern w:val="0"/>
                                <w:sz w:val="28"/>
                                <w:szCs w:val="28"/>
                                <w:fitText w:val="2835" w:id="539974387"/>
                              </w:rPr>
                              <w:t>）</w:t>
                            </w:r>
                          </w:p>
                          <w:p>
                            <w:pPr>
                              <w:jc w:val="distribute"/>
                              <w:rPr>
                                <w:rFonts w:ascii="仿宋_GB2312" w:hAnsi="仿宋_GB2312" w:eastAsia="仿宋_GB2312" w:cs="仿宋_GB2312"/>
                                <w:sz w:val="28"/>
                                <w:szCs w:val="28"/>
                              </w:rPr>
                            </w:pPr>
                          </w:p>
                        </w:txbxContent>
                      </wps:txbx>
                      <wps:bodyPr lIns="91439" tIns="45720" rIns="91439" bIns="45720" upright="1"/>
                    </wps:wsp>
                  </a:graphicData>
                </a:graphic>
              </wp:anchor>
            </w:drawing>
          </mc:Choice>
          <mc:Fallback>
            <w:pict>
              <v:shape id="_x0000_s1026" o:spid="_x0000_s1026" o:spt="202" type="#_x0000_t202" style="position:absolute;left:0pt;margin-left:-4.95pt;margin-top:-21.5pt;height:52.4pt;width:155.45pt;z-index:251659264;mso-width-relative:page;mso-height-relative:page;" fillcolor="#FFFFFF" filled="t" stroked="f" coordsize="21600,21600" o:gfxdata="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l9pJDXAAAACQEAAA8A&#10;AAAAAAAAAQAgAAAAIgAAAGRycy9kb3ducmV2LnhtbFBLAQIUABQAAAAIAIdO4kAr7zBq3wEAALkD&#10;AAAOAAAAAAAAAAEAIAAAACYBAABkcnMvZTJvRG9jLnhtbFBLBQYAAAAABgAGAFkBAAB3BQAAAAA=&#10;">
                <v:fill on="t" focussize="0,0"/>
                <v:stroke on="f"/>
                <v:imagedata o:title=""/>
                <o:lock v:ext="edit" aspectratio="f"/>
                <v:textbox inset="7.19992125984252pt,1.27mm,7.19992125984252pt,1.27mm">
                  <w:txbxContent>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黑体" w:hAnsi="黑体" w:eastAsia="黑体"/>
                          <w:sz w:val="28"/>
                          <w:szCs w:val="28"/>
                        </w:rPr>
                      </w:pPr>
                      <w:r>
                        <w:rPr>
                          <w:rFonts w:hint="eastAsia" w:ascii="黑体" w:hAnsi="黑体" w:eastAsia="黑体"/>
                          <w:spacing w:val="30"/>
                          <w:kern w:val="0"/>
                          <w:sz w:val="28"/>
                          <w:szCs w:val="28"/>
                          <w:fitText w:val="2660" w:id="1018587026"/>
                        </w:rPr>
                        <w:t>江安县十七届人</w:t>
                      </w:r>
                      <w:r>
                        <w:rPr>
                          <w:rFonts w:hint="eastAsia" w:ascii="黑体" w:hAnsi="黑体" w:eastAsia="黑体"/>
                          <w:spacing w:val="0"/>
                          <w:kern w:val="0"/>
                          <w:sz w:val="28"/>
                          <w:szCs w:val="28"/>
                          <w:fitText w:val="2660" w:id="1018587026"/>
                        </w:rPr>
                        <w:t>大</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黑体" w:hAnsi="黑体" w:eastAsia="黑体"/>
                          <w:spacing w:val="17"/>
                          <w:kern w:val="0"/>
                          <w:sz w:val="28"/>
                          <w:szCs w:val="28"/>
                        </w:rPr>
                      </w:pPr>
                      <w:r>
                        <w:rPr>
                          <w:rFonts w:hint="eastAsia" w:ascii="黑体" w:hAnsi="黑体" w:eastAsia="黑体"/>
                          <w:spacing w:val="19"/>
                          <w:kern w:val="0"/>
                          <w:sz w:val="28"/>
                          <w:szCs w:val="28"/>
                          <w:fitText w:val="2835" w:id="539974387"/>
                          <w:lang w:val="en-US" w:eastAsia="zh-CN"/>
                        </w:rPr>
                        <w:t>五</w:t>
                      </w:r>
                      <w:r>
                        <w:rPr>
                          <w:rFonts w:hint="eastAsia" w:ascii="黑体" w:hAnsi="黑体" w:eastAsia="黑体"/>
                          <w:spacing w:val="19"/>
                          <w:kern w:val="0"/>
                          <w:sz w:val="28"/>
                          <w:szCs w:val="28"/>
                          <w:fitText w:val="2835" w:id="539974387"/>
                        </w:rPr>
                        <w:t>次会议文件（七</w:t>
                      </w:r>
                      <w:r>
                        <w:rPr>
                          <w:rFonts w:hint="eastAsia" w:ascii="黑体" w:hAnsi="黑体" w:eastAsia="黑体"/>
                          <w:spacing w:val="5"/>
                          <w:kern w:val="0"/>
                          <w:sz w:val="28"/>
                          <w:szCs w:val="28"/>
                          <w:fitText w:val="2835" w:id="539974387"/>
                        </w:rPr>
                        <w:t>）</w:t>
                      </w:r>
                    </w:p>
                    <w:p>
                      <w:pPr>
                        <w:jc w:val="distribute"/>
                        <w:rPr>
                          <w:rFonts w:ascii="仿宋_GB2312" w:hAnsi="仿宋_GB2312" w:eastAsia="仿宋_GB2312" w:cs="仿宋_GB2312"/>
                          <w:sz w:val="28"/>
                          <w:szCs w:val="28"/>
                        </w:rPr>
                      </w:pPr>
                    </w:p>
                  </w:txbxContent>
                </v:textbox>
              </v:shape>
            </w:pict>
          </mc:Fallback>
        </mc:AlternateContent>
      </w:r>
    </w:p>
    <w:p>
      <w:pPr>
        <w:pStyle w:val="11"/>
        <w:spacing w:line="560" w:lineRule="exact"/>
        <w:ind w:left="0" w:leftChars="0" w:firstLine="0" w:firstLineChars="0"/>
        <w:jc w:val="center"/>
        <w:rPr>
          <w:rFonts w:ascii="Times New Roman" w:hAnsi="Times New Roman" w:eastAsia="方正小标宋简体" w:cs="方正小标宋简体"/>
          <w:kern w:val="0"/>
          <w:sz w:val="44"/>
          <w:szCs w:val="44"/>
        </w:rPr>
      </w:pPr>
    </w:p>
    <w:p>
      <w:pPr>
        <w:pStyle w:val="11"/>
        <w:keepNext w:val="0"/>
        <w:keepLines w:val="0"/>
        <w:pageBreakBefore w:val="0"/>
        <w:widowControl w:val="0"/>
        <w:kinsoku/>
        <w:wordWrap/>
        <w:overflowPunct/>
        <w:topLinePunct w:val="0"/>
        <w:autoSpaceDE/>
        <w:autoSpaceDN/>
        <w:bidi w:val="0"/>
        <w:adjustRightInd/>
        <w:snapToGrid/>
        <w:spacing w:after="120" w:line="560" w:lineRule="exact"/>
        <w:ind w:left="0" w:leftChars="0" w:firstLine="0" w:firstLineChars="0"/>
        <w:jc w:val="center"/>
        <w:textAlignment w:val="auto"/>
        <w:rPr>
          <w:rFonts w:hint="eastAsia" w:ascii="Times New Roman" w:hAnsi="Times New Roman" w:eastAsia="方正小标宋简体" w:cs="方正小标宋简体"/>
          <w:kern w:val="0"/>
          <w:sz w:val="44"/>
          <w:szCs w:val="44"/>
        </w:rPr>
      </w:pPr>
      <w:r>
        <w:rPr>
          <w:rFonts w:hint="eastAsia" w:ascii="Times New Roman" w:hAnsi="Times New Roman" w:eastAsia="方正小标宋简体" w:cs="方正小标宋简体"/>
          <w:kern w:val="0"/>
          <w:sz w:val="44"/>
          <w:szCs w:val="44"/>
          <w:lang w:val="en-US" w:eastAsia="zh-CN"/>
        </w:rPr>
        <w:t>江安县</w:t>
      </w:r>
      <w:r>
        <w:rPr>
          <w:rFonts w:hint="eastAsia" w:ascii="Times New Roman" w:hAnsi="Times New Roman" w:eastAsia="方正小标宋简体" w:cs="方正小标宋简体"/>
          <w:kern w:val="0"/>
          <w:sz w:val="44"/>
          <w:szCs w:val="44"/>
        </w:rPr>
        <w:t>202</w:t>
      </w:r>
      <w:r>
        <w:rPr>
          <w:rFonts w:hint="eastAsia" w:ascii="Times New Roman" w:hAnsi="Times New Roman" w:eastAsia="方正小标宋简体" w:cs="方正小标宋简体"/>
          <w:kern w:val="0"/>
          <w:sz w:val="44"/>
          <w:szCs w:val="44"/>
          <w:lang w:val="en-US" w:eastAsia="zh-CN"/>
        </w:rPr>
        <w:t>5</w:t>
      </w:r>
      <w:r>
        <w:rPr>
          <w:rFonts w:hint="eastAsia" w:ascii="Times New Roman" w:hAnsi="Times New Roman" w:eastAsia="方正小标宋简体" w:cs="方正小标宋简体"/>
          <w:kern w:val="0"/>
          <w:sz w:val="44"/>
          <w:szCs w:val="44"/>
        </w:rPr>
        <w:t>年财政预算</w:t>
      </w:r>
      <w:r>
        <w:rPr>
          <w:rFonts w:hint="eastAsia" w:ascii="Times New Roman" w:hAnsi="Times New Roman" w:eastAsia="方正小标宋简体" w:cs="方正小标宋简体"/>
          <w:kern w:val="0"/>
          <w:sz w:val="44"/>
          <w:szCs w:val="44"/>
          <w:lang w:val="en-US" w:eastAsia="zh-CN"/>
        </w:rPr>
        <w:t>预计</w:t>
      </w:r>
      <w:r>
        <w:rPr>
          <w:rFonts w:hint="eastAsia" w:ascii="Times New Roman" w:hAnsi="Times New Roman" w:eastAsia="方正小标宋简体" w:cs="方正小标宋简体"/>
          <w:kern w:val="0"/>
          <w:sz w:val="44"/>
          <w:szCs w:val="44"/>
        </w:rPr>
        <w:t>执行情况和</w:t>
      </w:r>
    </w:p>
    <w:p>
      <w:pPr>
        <w:pStyle w:val="11"/>
        <w:keepNext w:val="0"/>
        <w:keepLines w:val="0"/>
        <w:pageBreakBefore w:val="0"/>
        <w:widowControl w:val="0"/>
        <w:kinsoku/>
        <w:wordWrap/>
        <w:overflowPunct/>
        <w:topLinePunct w:val="0"/>
        <w:autoSpaceDE/>
        <w:autoSpaceDN/>
        <w:bidi w:val="0"/>
        <w:adjustRightInd/>
        <w:snapToGrid/>
        <w:spacing w:after="120" w:line="560" w:lineRule="exact"/>
        <w:ind w:left="0" w:leftChars="0" w:firstLine="0" w:firstLineChars="0"/>
        <w:jc w:val="center"/>
        <w:textAlignment w:val="auto"/>
        <w:rPr>
          <w:rFonts w:hint="eastAsia" w:ascii="Times New Roman" w:hAnsi="Times New Roman" w:eastAsia="方正小标宋简体" w:cs="方正小标宋简体"/>
          <w:kern w:val="0"/>
          <w:sz w:val="44"/>
          <w:szCs w:val="44"/>
        </w:rPr>
      </w:pPr>
      <w:r>
        <w:rPr>
          <w:rFonts w:hint="eastAsia" w:ascii="Times New Roman" w:hAnsi="Times New Roman" w:eastAsia="方正小标宋简体" w:cs="方正小标宋简体"/>
          <w:kern w:val="0"/>
          <w:sz w:val="44"/>
          <w:szCs w:val="44"/>
        </w:rPr>
        <w:t>202</w:t>
      </w:r>
      <w:r>
        <w:rPr>
          <w:rFonts w:hint="eastAsia" w:ascii="Times New Roman" w:hAnsi="Times New Roman" w:eastAsia="方正小标宋简体" w:cs="方正小标宋简体"/>
          <w:kern w:val="0"/>
          <w:sz w:val="44"/>
          <w:szCs w:val="44"/>
          <w:lang w:val="en-US" w:eastAsia="zh-CN"/>
        </w:rPr>
        <w:t>6</w:t>
      </w:r>
      <w:r>
        <w:rPr>
          <w:rFonts w:hint="eastAsia" w:ascii="Times New Roman" w:hAnsi="Times New Roman" w:eastAsia="方正小标宋简体" w:cs="方正小标宋简体"/>
          <w:kern w:val="0"/>
          <w:sz w:val="44"/>
          <w:szCs w:val="44"/>
        </w:rPr>
        <w:t>年财政预算草案的报告</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eastAsia" w:ascii="Times New Roman" w:hAnsi="Times New Roman" w:eastAsia="楷体" w:cs="楷体"/>
          <w:b w:val="0"/>
          <w:spacing w:val="-6"/>
          <w:sz w:val="32"/>
          <w:szCs w:val="32"/>
        </w:rPr>
      </w:pPr>
      <w:r>
        <w:rPr>
          <w:rFonts w:hint="eastAsia" w:ascii="Times New Roman" w:hAnsi="Times New Roman" w:eastAsia="楷体" w:cs="楷体"/>
          <w:b w:val="0"/>
          <w:spacing w:val="-6"/>
          <w:sz w:val="32"/>
          <w:szCs w:val="32"/>
        </w:rPr>
        <w:t>202</w:t>
      </w:r>
      <w:r>
        <w:rPr>
          <w:rFonts w:hint="eastAsia" w:ascii="Times New Roman" w:hAnsi="Times New Roman" w:eastAsia="楷体" w:cs="楷体"/>
          <w:b w:val="0"/>
          <w:spacing w:val="-6"/>
          <w:sz w:val="32"/>
          <w:szCs w:val="32"/>
          <w:lang w:val="en-US" w:eastAsia="zh-CN"/>
        </w:rPr>
        <w:t>5</w:t>
      </w:r>
      <w:r>
        <w:rPr>
          <w:rFonts w:hint="eastAsia" w:ascii="Times New Roman" w:hAnsi="Times New Roman" w:eastAsia="楷体" w:cs="楷体"/>
          <w:b w:val="0"/>
          <w:spacing w:val="-6"/>
          <w:sz w:val="32"/>
          <w:szCs w:val="32"/>
        </w:rPr>
        <w:t>年</w:t>
      </w:r>
      <w:r>
        <w:rPr>
          <w:rFonts w:hint="eastAsia" w:ascii="Times New Roman" w:hAnsi="Times New Roman" w:eastAsia="楷体" w:cs="楷体"/>
          <w:b w:val="0"/>
          <w:spacing w:val="-6"/>
          <w:sz w:val="32"/>
          <w:szCs w:val="32"/>
          <w:lang w:val="en-US" w:eastAsia="zh-CN"/>
        </w:rPr>
        <w:t>12</w:t>
      </w:r>
      <w:r>
        <w:rPr>
          <w:rFonts w:hint="eastAsia" w:ascii="Times New Roman" w:hAnsi="Times New Roman" w:eastAsia="楷体" w:cs="楷体"/>
          <w:b w:val="0"/>
          <w:spacing w:val="-6"/>
          <w:sz w:val="32"/>
          <w:szCs w:val="32"/>
        </w:rPr>
        <w:t>月</w:t>
      </w:r>
      <w:r>
        <w:rPr>
          <w:rFonts w:hint="eastAsia" w:ascii="Times New Roman" w:hAnsi="Times New Roman" w:eastAsia="楷体" w:cs="楷体"/>
          <w:b w:val="0"/>
          <w:spacing w:val="-6"/>
          <w:sz w:val="32"/>
          <w:szCs w:val="32"/>
          <w:lang w:val="en-US" w:eastAsia="zh-CN"/>
        </w:rPr>
        <w:t>25</w:t>
      </w:r>
      <w:r>
        <w:rPr>
          <w:rFonts w:hint="eastAsia" w:ascii="Times New Roman" w:hAnsi="Times New Roman" w:eastAsia="楷体" w:cs="楷体"/>
          <w:b w:val="0"/>
          <w:spacing w:val="-6"/>
          <w:sz w:val="32"/>
          <w:szCs w:val="32"/>
        </w:rPr>
        <w:t>日在江安县第十七届人民代表大会</w:t>
      </w:r>
      <w:r>
        <w:rPr>
          <w:rFonts w:hint="eastAsia" w:ascii="Times New Roman" w:hAnsi="Times New Roman" w:eastAsia="楷体" w:cs="楷体"/>
          <w:b w:val="0"/>
          <w:spacing w:val="-6"/>
          <w:sz w:val="32"/>
          <w:szCs w:val="32"/>
          <w:lang w:val="en-US" w:eastAsia="zh-CN"/>
        </w:rPr>
        <w:t>第五次会</w:t>
      </w:r>
      <w:r>
        <w:rPr>
          <w:rFonts w:hint="eastAsia" w:ascii="Times New Roman" w:hAnsi="Times New Roman" w:eastAsia="楷体" w:cs="楷体"/>
          <w:b w:val="0"/>
          <w:spacing w:val="-6"/>
          <w:sz w:val="32"/>
          <w:szCs w:val="32"/>
        </w:rPr>
        <w:t>议上</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楷体" w:cs="楷体"/>
          <w:spacing w:val="-6"/>
          <w:kern w:val="0"/>
          <w:sz w:val="32"/>
          <w:szCs w:val="32"/>
        </w:rPr>
      </w:pPr>
      <w:r>
        <w:rPr>
          <w:rFonts w:hint="eastAsia" w:ascii="Times New Roman" w:hAnsi="Times New Roman" w:eastAsia="楷体" w:cs="楷体"/>
          <w:spacing w:val="-6"/>
          <w:kern w:val="0"/>
          <w:sz w:val="32"/>
          <w:szCs w:val="32"/>
        </w:rPr>
        <w:t>江安县财政局局长  罗强</w:t>
      </w:r>
    </w:p>
    <w:p>
      <w:pPr>
        <w:spacing w:line="560" w:lineRule="exact"/>
        <w:ind w:firstLine="640" w:firstLineChars="200"/>
        <w:jc w:val="center"/>
        <w:rPr>
          <w:rFonts w:hint="eastAsia" w:ascii="Times New Roman" w:hAnsi="Times New Roman" w:eastAsia="楷体" w:cs="楷体"/>
          <w:sz w:val="32"/>
          <w:szCs w:val="32"/>
        </w:rPr>
      </w:pPr>
    </w:p>
    <w:p>
      <w:pPr>
        <w:spacing w:line="56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各位代表：</w:t>
      </w:r>
    </w:p>
    <w:p>
      <w:pPr>
        <w:spacing w:line="560" w:lineRule="exact"/>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受县人民政府委托，现将江安县202</w:t>
      </w:r>
      <w:r>
        <w:rPr>
          <w:rFonts w:hint="default"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rPr>
        <w:t>年财政预算</w:t>
      </w:r>
      <w:r>
        <w:rPr>
          <w:rFonts w:hint="eastAsia" w:ascii="Times New Roman" w:hAnsi="Times New Roman" w:eastAsia="仿宋" w:cs="Times New Roman"/>
          <w:color w:val="auto"/>
          <w:sz w:val="32"/>
          <w:szCs w:val="32"/>
          <w:lang w:val="en-US" w:eastAsia="zh-CN"/>
        </w:rPr>
        <w:t>预计</w:t>
      </w:r>
      <w:r>
        <w:rPr>
          <w:rFonts w:hint="default" w:ascii="Times New Roman" w:hAnsi="Times New Roman" w:eastAsia="仿宋" w:cs="Times New Roman"/>
          <w:color w:val="auto"/>
          <w:sz w:val="32"/>
          <w:szCs w:val="32"/>
        </w:rPr>
        <w:t>执行情况和202</w:t>
      </w:r>
      <w:r>
        <w:rPr>
          <w:rFonts w:hint="default"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年财政预算草案提请</w:t>
      </w:r>
      <w:r>
        <w:rPr>
          <w:rFonts w:hint="default" w:ascii="Times New Roman" w:hAnsi="Times New Roman" w:eastAsia="仿宋" w:cs="Times New Roman"/>
          <w:color w:val="auto"/>
          <w:sz w:val="32"/>
          <w:szCs w:val="32"/>
          <w:lang w:val="en-US" w:eastAsia="zh-CN"/>
        </w:rPr>
        <w:t>县第十七届人民代表大会第</w:t>
      </w:r>
      <w:r>
        <w:rPr>
          <w:rFonts w:hint="eastAsia" w:ascii="Times New Roman" w:hAnsi="Times New Roman" w:eastAsia="仿宋" w:cs="Times New Roman"/>
          <w:color w:val="auto"/>
          <w:sz w:val="32"/>
          <w:szCs w:val="32"/>
          <w:lang w:val="en-US" w:eastAsia="zh-CN"/>
        </w:rPr>
        <w:t>五</w:t>
      </w:r>
      <w:r>
        <w:rPr>
          <w:rFonts w:hint="default" w:ascii="Times New Roman" w:hAnsi="Times New Roman" w:eastAsia="仿宋" w:cs="Times New Roman"/>
          <w:color w:val="auto"/>
          <w:sz w:val="32"/>
          <w:szCs w:val="32"/>
          <w:lang w:val="en-US" w:eastAsia="zh-CN"/>
        </w:rPr>
        <w:t>次会议审议</w:t>
      </w:r>
      <w:r>
        <w:rPr>
          <w:rFonts w:hint="default" w:ascii="Times New Roman" w:hAnsi="Times New Roman" w:eastAsia="仿宋" w:cs="Times New Roman"/>
          <w:color w:val="auto"/>
          <w:sz w:val="32"/>
          <w:szCs w:val="32"/>
        </w:rPr>
        <w:t>，并请县政协委员提出意见。</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一、202</w:t>
      </w:r>
      <w:r>
        <w:rPr>
          <w:rFonts w:hint="eastAsia" w:ascii="Times New Roman" w:hAnsi="Times New Roman" w:eastAsia="黑体"/>
          <w:sz w:val="32"/>
          <w:szCs w:val="32"/>
          <w:lang w:val="en-US" w:eastAsia="zh-CN"/>
        </w:rPr>
        <w:t>5</w:t>
      </w:r>
      <w:r>
        <w:rPr>
          <w:rFonts w:hint="eastAsia" w:ascii="Times New Roman" w:hAnsi="Times New Roman" w:eastAsia="黑体"/>
          <w:sz w:val="32"/>
          <w:szCs w:val="32"/>
        </w:rPr>
        <w:t>年财政预算预计执行情况</w:t>
      </w:r>
    </w:p>
    <w:p>
      <w:pPr>
        <w:spacing w:line="560" w:lineRule="exact"/>
        <w:ind w:firstLine="640" w:firstLineChars="200"/>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sz w:val="32"/>
          <w:szCs w:val="32"/>
        </w:rPr>
        <w:t>202</w:t>
      </w:r>
      <w:r>
        <w:rPr>
          <w:rFonts w:hint="default"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rPr>
        <w:t>年是</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十四五</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规划</w:t>
      </w:r>
      <w:r>
        <w:rPr>
          <w:rFonts w:hint="default" w:ascii="Times New Roman" w:hAnsi="Times New Roman" w:eastAsia="仿宋" w:cs="Times New Roman"/>
          <w:color w:val="auto"/>
          <w:sz w:val="32"/>
          <w:szCs w:val="32"/>
          <w:lang w:val="en-US" w:eastAsia="zh-CN"/>
        </w:rPr>
        <w:t>收官之</w:t>
      </w:r>
      <w:r>
        <w:rPr>
          <w:rFonts w:hint="default" w:ascii="Times New Roman" w:hAnsi="Times New Roman" w:eastAsia="仿宋" w:cs="Times New Roman"/>
          <w:color w:val="auto"/>
          <w:sz w:val="32"/>
          <w:szCs w:val="32"/>
        </w:rPr>
        <w:t>年</w:t>
      </w:r>
      <w:r>
        <w:rPr>
          <w:rFonts w:hint="default"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我县经济运行总体平稳</w:t>
      </w:r>
      <w:r>
        <w:rPr>
          <w:rFonts w:hint="default"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val="en-US" w:eastAsia="zh-CN"/>
        </w:rPr>
        <w:t>稳中有进，</w:t>
      </w:r>
      <w:r>
        <w:rPr>
          <w:rFonts w:hint="default" w:ascii="Times New Roman" w:hAnsi="Times New Roman" w:eastAsia="仿宋" w:cs="Times New Roman"/>
          <w:color w:val="auto"/>
          <w:sz w:val="32"/>
          <w:szCs w:val="32"/>
        </w:rPr>
        <w:t>全县财政工作坚持以习近平新时代中国特色社会主义思想为指导，全面贯彻落实党的二十</w:t>
      </w:r>
      <w:r>
        <w:rPr>
          <w:rFonts w:hint="eastAsia" w:ascii="Times New Roman" w:hAnsi="Times New Roman" w:eastAsia="仿宋" w:cs="Times New Roman"/>
          <w:color w:val="auto"/>
          <w:sz w:val="32"/>
          <w:szCs w:val="32"/>
          <w:lang w:val="en-US" w:eastAsia="zh-CN"/>
        </w:rPr>
        <w:t>大及二十届历次全会精神</w:t>
      </w:r>
      <w:r>
        <w:rPr>
          <w:rFonts w:hint="default" w:ascii="Times New Roman" w:hAnsi="Times New Roman" w:eastAsia="仿宋" w:cs="Times New Roman"/>
          <w:color w:val="auto"/>
          <w:sz w:val="32"/>
          <w:szCs w:val="32"/>
        </w:rPr>
        <w:t>。在县委坚强领导下，在县人大依法监督和县政协民主监督下，</w:t>
      </w:r>
      <w:r>
        <w:rPr>
          <w:rFonts w:hint="eastAsia" w:ascii="Times New Roman" w:hAnsi="Times New Roman" w:eastAsia="仿宋" w:cs="Times New Roman"/>
          <w:color w:val="auto"/>
          <w:sz w:val="32"/>
          <w:szCs w:val="32"/>
          <w:lang w:val="en-US" w:eastAsia="zh-CN"/>
        </w:rPr>
        <w:t>坚持</w:t>
      </w:r>
      <w:r>
        <w:rPr>
          <w:rFonts w:hint="default" w:ascii="Times New Roman" w:hAnsi="Times New Roman" w:eastAsia="仿宋" w:cs="Times New Roman"/>
          <w:color w:val="auto"/>
          <w:sz w:val="32"/>
          <w:szCs w:val="32"/>
          <w:lang w:val="en-US" w:eastAsia="zh-CN"/>
        </w:rPr>
        <w:t>稳中求进工作总基调</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实施更加积极的财政政策</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统筹发展</w:t>
      </w:r>
      <w:r>
        <w:rPr>
          <w:rFonts w:hint="eastAsia" w:ascii="Times New Roman" w:hAnsi="Times New Roman" w:eastAsia="仿宋" w:cs="Times New Roman"/>
          <w:color w:val="auto"/>
          <w:sz w:val="32"/>
          <w:szCs w:val="32"/>
          <w:lang w:val="en-US" w:eastAsia="zh-CN"/>
        </w:rPr>
        <w:t>与</w:t>
      </w:r>
      <w:r>
        <w:rPr>
          <w:rFonts w:hint="default" w:ascii="Times New Roman" w:hAnsi="Times New Roman" w:eastAsia="仿宋" w:cs="Times New Roman"/>
          <w:color w:val="auto"/>
          <w:sz w:val="32"/>
          <w:szCs w:val="32"/>
          <w:lang w:val="en-US" w:eastAsia="zh-CN"/>
        </w:rPr>
        <w:t>安全</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强化风险防控</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聚焦民生保障</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兜牢</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三保</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底线，</w:t>
      </w:r>
      <w:r>
        <w:rPr>
          <w:rFonts w:hint="default" w:ascii="Times New Roman" w:hAnsi="Times New Roman" w:eastAsia="仿宋" w:cs="Times New Roman"/>
          <w:color w:val="auto"/>
          <w:sz w:val="32"/>
          <w:szCs w:val="32"/>
        </w:rPr>
        <w:t>推动</w:t>
      </w:r>
      <w:r>
        <w:rPr>
          <w:rFonts w:hint="default" w:ascii="Times New Roman" w:hAnsi="Times New Roman" w:eastAsia="仿宋" w:cs="Times New Roman"/>
          <w:color w:val="auto"/>
          <w:sz w:val="32"/>
          <w:szCs w:val="32"/>
          <w:lang w:val="en-US" w:eastAsia="zh-CN"/>
        </w:rPr>
        <w:t>财政</w:t>
      </w:r>
      <w:r>
        <w:rPr>
          <w:rFonts w:hint="default" w:ascii="Times New Roman" w:hAnsi="Times New Roman" w:eastAsia="仿宋" w:cs="Times New Roman"/>
          <w:color w:val="auto"/>
          <w:sz w:val="32"/>
          <w:szCs w:val="32"/>
        </w:rPr>
        <w:t>高质量发展。</w:t>
      </w:r>
      <w:r>
        <w:rPr>
          <w:rFonts w:hint="default" w:ascii="Times New Roman" w:hAnsi="Times New Roman" w:eastAsia="仿宋" w:cs="Times New Roman"/>
          <w:color w:val="auto"/>
          <w:kern w:val="0"/>
          <w:sz w:val="32"/>
          <w:szCs w:val="32"/>
        </w:rPr>
        <w:t>严格执行县第十七届人大第</w:t>
      </w:r>
      <w:r>
        <w:rPr>
          <w:rFonts w:hint="default" w:ascii="Times New Roman" w:hAnsi="Times New Roman" w:eastAsia="仿宋" w:cs="Times New Roman"/>
          <w:color w:val="auto"/>
          <w:kern w:val="0"/>
          <w:sz w:val="32"/>
          <w:szCs w:val="32"/>
          <w:lang w:val="en-US" w:eastAsia="zh-CN"/>
        </w:rPr>
        <w:t>四</w:t>
      </w:r>
      <w:r>
        <w:rPr>
          <w:rFonts w:hint="default" w:ascii="Times New Roman" w:hAnsi="Times New Roman" w:eastAsia="仿宋" w:cs="Times New Roman"/>
          <w:color w:val="auto"/>
          <w:kern w:val="0"/>
          <w:sz w:val="32"/>
          <w:szCs w:val="32"/>
        </w:rPr>
        <w:t>次会议批准的财政预算，财政运行总体平稳。</w:t>
      </w:r>
    </w:p>
    <w:p>
      <w:pPr>
        <w:spacing w:line="560" w:lineRule="exact"/>
        <w:ind w:firstLine="640" w:firstLineChars="200"/>
        <w:rPr>
          <w:rFonts w:hint="default" w:ascii="Times New Roman" w:hAnsi="Times New Roman"/>
        </w:rPr>
      </w:pPr>
      <w:r>
        <w:rPr>
          <w:rFonts w:hint="eastAsia" w:ascii="Times New Roman" w:hAnsi="Times New Roman" w:eastAsia="楷体" w:cs="楷体"/>
          <w:sz w:val="32"/>
          <w:szCs w:val="32"/>
        </w:rPr>
        <w:t>（一）一般公共预算预计执行情况</w:t>
      </w:r>
    </w:p>
    <w:p>
      <w:pPr>
        <w:adjustRightInd w:val="0"/>
        <w:snapToGrid w:val="0"/>
        <w:spacing w:line="560" w:lineRule="exact"/>
        <w:ind w:firstLine="640" w:firstLineChars="200"/>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全县一般公共预算收入</w:t>
      </w:r>
      <w:r>
        <w:rPr>
          <w:rFonts w:hint="default" w:ascii="Times New Roman" w:hAnsi="Times New Roman" w:eastAsia="仿宋" w:cs="Times New Roman"/>
          <w:color w:val="auto"/>
          <w:sz w:val="32"/>
          <w:szCs w:val="32"/>
          <w:highlight w:val="none"/>
          <w:vertAlign w:val="superscript"/>
        </w:rPr>
        <w:t>注1</w:t>
      </w:r>
      <w:r>
        <w:rPr>
          <w:rFonts w:hint="default" w:ascii="Times New Roman" w:hAnsi="Times New Roman" w:eastAsia="仿宋" w:cs="Times New Roman"/>
          <w:color w:val="auto"/>
          <w:kern w:val="0"/>
          <w:sz w:val="32"/>
          <w:szCs w:val="32"/>
          <w:highlight w:val="none"/>
        </w:rPr>
        <w:t>预计完成</w:t>
      </w:r>
      <w:r>
        <w:rPr>
          <w:rFonts w:hint="default" w:ascii="Times New Roman" w:hAnsi="Times New Roman" w:eastAsia="仿宋" w:cs="Times New Roman"/>
          <w:color w:val="auto"/>
          <w:kern w:val="0"/>
          <w:sz w:val="32"/>
          <w:szCs w:val="32"/>
          <w:highlight w:val="none"/>
          <w:lang w:val="en-US" w:eastAsia="zh-CN"/>
        </w:rPr>
        <w:t>15</w:t>
      </w:r>
      <w:r>
        <w:rPr>
          <w:rFonts w:hint="eastAsia" w:ascii="Times New Roman" w:hAnsi="Times New Roman" w:eastAsia="仿宋" w:cs="Times New Roman"/>
          <w:color w:val="auto"/>
          <w:kern w:val="0"/>
          <w:sz w:val="32"/>
          <w:szCs w:val="32"/>
          <w:highlight w:val="none"/>
          <w:lang w:val="en-US" w:eastAsia="zh-CN"/>
        </w:rPr>
        <w:t>3812</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val="en-US" w:eastAsia="zh-CN"/>
        </w:rPr>
        <w:t>同比</w:t>
      </w:r>
      <w:r>
        <w:rPr>
          <w:rFonts w:hint="default" w:ascii="Times New Roman" w:hAnsi="Times New Roman" w:eastAsia="仿宋" w:cs="Times New Roman"/>
          <w:color w:val="auto"/>
          <w:kern w:val="0"/>
          <w:sz w:val="32"/>
          <w:szCs w:val="32"/>
          <w:highlight w:val="none"/>
        </w:rPr>
        <w:t>增长</w:t>
      </w:r>
      <w:r>
        <w:rPr>
          <w:rFonts w:hint="eastAsia" w:ascii="Times New Roman" w:hAnsi="Times New Roman" w:eastAsia="仿宋" w:cs="Times New Roman"/>
          <w:color w:val="auto"/>
          <w:kern w:val="0"/>
          <w:sz w:val="32"/>
          <w:szCs w:val="32"/>
          <w:highlight w:val="none"/>
          <w:lang w:val="en-US" w:eastAsia="zh-CN"/>
        </w:rPr>
        <w:t>1.05</w:t>
      </w:r>
      <w:r>
        <w:rPr>
          <w:rFonts w:hint="default" w:ascii="Times New Roman" w:hAnsi="Times New Roman" w:eastAsia="仿宋" w:cs="Times New Roman"/>
          <w:color w:val="auto"/>
          <w:kern w:val="0"/>
          <w:sz w:val="32"/>
          <w:szCs w:val="32"/>
          <w:highlight w:val="none"/>
        </w:rPr>
        <w:t>%。其中：税收收入完成</w:t>
      </w:r>
      <w:r>
        <w:rPr>
          <w:rFonts w:hint="default" w:ascii="Times New Roman" w:hAnsi="Times New Roman" w:eastAsia="仿宋" w:cs="Times New Roman"/>
          <w:color w:val="auto"/>
          <w:kern w:val="0"/>
          <w:sz w:val="32"/>
          <w:szCs w:val="32"/>
          <w:highlight w:val="none"/>
          <w:lang w:val="en-US" w:eastAsia="zh-CN"/>
        </w:rPr>
        <w:t>61748</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val="en-US" w:eastAsia="zh-CN"/>
        </w:rPr>
        <w:t>同比</w:t>
      </w:r>
      <w:r>
        <w:rPr>
          <w:rFonts w:hint="default" w:ascii="Times New Roman" w:hAnsi="Times New Roman" w:eastAsia="仿宋" w:cs="Times New Roman"/>
          <w:color w:val="auto"/>
          <w:kern w:val="0"/>
          <w:sz w:val="32"/>
          <w:szCs w:val="32"/>
          <w:highlight w:val="none"/>
        </w:rPr>
        <w:t>增长</w:t>
      </w:r>
      <w:r>
        <w:rPr>
          <w:rFonts w:hint="default" w:ascii="Times New Roman" w:hAnsi="Times New Roman" w:eastAsia="仿宋" w:cs="Times New Roman"/>
          <w:color w:val="auto"/>
          <w:kern w:val="0"/>
          <w:sz w:val="32"/>
          <w:szCs w:val="32"/>
          <w:highlight w:val="none"/>
          <w:lang w:val="en-US" w:eastAsia="zh-CN"/>
        </w:rPr>
        <w:t>0.88</w:t>
      </w:r>
      <w:r>
        <w:rPr>
          <w:rFonts w:hint="default" w:ascii="Times New Roman" w:hAnsi="Times New Roman" w:eastAsia="仿宋" w:cs="Times New Roman"/>
          <w:color w:val="auto"/>
          <w:kern w:val="0"/>
          <w:sz w:val="32"/>
          <w:szCs w:val="32"/>
          <w:highlight w:val="none"/>
        </w:rPr>
        <w:t>%；非税</w:t>
      </w:r>
      <w:r>
        <w:rPr>
          <w:rFonts w:hint="default" w:ascii="Times New Roman" w:hAnsi="Times New Roman" w:eastAsia="仿宋" w:cs="Times New Roman"/>
          <w:color w:val="auto"/>
          <w:sz w:val="32"/>
          <w:szCs w:val="32"/>
          <w:highlight w:val="none"/>
        </w:rPr>
        <w:t>收入</w:t>
      </w:r>
      <w:r>
        <w:rPr>
          <w:rStyle w:val="14"/>
          <w:rFonts w:hint="default" w:ascii="Times New Roman" w:hAnsi="Times New Roman" w:eastAsia="仿宋" w:cs="Times New Roman"/>
          <w:color w:val="auto"/>
          <w:sz w:val="32"/>
          <w:szCs w:val="32"/>
          <w:highlight w:val="none"/>
        </w:rPr>
        <w:endnoteReference w:id="0" w:customMarkFollows="1"/>
        <w:t>注2</w:t>
      </w:r>
      <w:r>
        <w:rPr>
          <w:rFonts w:hint="default" w:ascii="Times New Roman" w:hAnsi="Times New Roman" w:eastAsia="仿宋" w:cs="Times New Roman"/>
          <w:color w:val="auto"/>
          <w:sz w:val="32"/>
          <w:szCs w:val="32"/>
          <w:highlight w:val="none"/>
        </w:rPr>
        <w:t>完</w:t>
      </w:r>
      <w:r>
        <w:rPr>
          <w:rFonts w:hint="default" w:ascii="Times New Roman" w:hAnsi="Times New Roman" w:eastAsia="仿宋" w:cs="Times New Roman"/>
          <w:color w:val="auto"/>
          <w:kern w:val="0"/>
          <w:sz w:val="32"/>
          <w:szCs w:val="32"/>
          <w:highlight w:val="none"/>
        </w:rPr>
        <w:t>成</w:t>
      </w:r>
      <w:r>
        <w:rPr>
          <w:rFonts w:hint="eastAsia" w:ascii="Times New Roman" w:hAnsi="Times New Roman" w:eastAsia="仿宋" w:cs="Times New Roman"/>
          <w:color w:val="auto"/>
          <w:kern w:val="0"/>
          <w:sz w:val="32"/>
          <w:szCs w:val="32"/>
          <w:highlight w:val="none"/>
          <w:lang w:val="en-US" w:eastAsia="zh-CN"/>
        </w:rPr>
        <w:t>92064</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val="en-US" w:eastAsia="zh-CN"/>
        </w:rPr>
        <w:t>同比</w:t>
      </w:r>
      <w:r>
        <w:rPr>
          <w:rFonts w:hint="default" w:ascii="Times New Roman" w:hAnsi="Times New Roman" w:eastAsia="仿宋" w:cs="Times New Roman"/>
          <w:color w:val="auto"/>
          <w:kern w:val="0"/>
          <w:sz w:val="32"/>
          <w:szCs w:val="32"/>
          <w:highlight w:val="none"/>
        </w:rPr>
        <w:t>增长</w:t>
      </w:r>
      <w:r>
        <w:rPr>
          <w:rFonts w:hint="eastAsia" w:ascii="Times New Roman" w:hAnsi="Times New Roman" w:eastAsia="仿宋" w:cs="Times New Roman"/>
          <w:color w:val="auto"/>
          <w:kern w:val="0"/>
          <w:sz w:val="32"/>
          <w:szCs w:val="32"/>
          <w:highlight w:val="none"/>
          <w:lang w:val="en-US" w:eastAsia="zh-CN"/>
        </w:rPr>
        <w:t>1.17</w:t>
      </w:r>
      <w:r>
        <w:rPr>
          <w:rFonts w:hint="default" w:ascii="Times New Roman" w:hAnsi="Times New Roman" w:eastAsia="仿宋" w:cs="Times New Roman"/>
          <w:color w:val="auto"/>
          <w:kern w:val="0"/>
          <w:sz w:val="32"/>
          <w:szCs w:val="32"/>
          <w:highlight w:val="none"/>
        </w:rPr>
        <w:t>%。</w:t>
      </w:r>
    </w:p>
    <w:p>
      <w:pPr>
        <w:adjustRightInd w:val="0"/>
        <w:snapToGrid w:val="0"/>
        <w:spacing w:line="560" w:lineRule="exact"/>
        <w:ind w:firstLine="640" w:firstLineChars="200"/>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一般公共预算总收入预计完成</w:t>
      </w:r>
      <w:r>
        <w:rPr>
          <w:rFonts w:hint="default" w:ascii="Times New Roman" w:hAnsi="Times New Roman" w:eastAsia="仿宋" w:cs="Times New Roman"/>
          <w:color w:val="auto"/>
          <w:kern w:val="0"/>
          <w:sz w:val="32"/>
          <w:szCs w:val="32"/>
          <w:highlight w:val="none"/>
          <w:lang w:val="en-US" w:eastAsia="zh-CN"/>
        </w:rPr>
        <w:t>4</w:t>
      </w:r>
      <w:r>
        <w:rPr>
          <w:rFonts w:hint="eastAsia" w:ascii="Times New Roman" w:hAnsi="Times New Roman" w:eastAsia="仿宋" w:cs="Times New Roman"/>
          <w:color w:val="auto"/>
          <w:kern w:val="0"/>
          <w:sz w:val="32"/>
          <w:szCs w:val="32"/>
          <w:highlight w:val="none"/>
          <w:lang w:val="en-US" w:eastAsia="zh-CN"/>
        </w:rPr>
        <w:t>69206</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其中：</w:t>
      </w:r>
      <w:r>
        <w:rPr>
          <w:rFonts w:hint="default" w:ascii="Times New Roman" w:hAnsi="Times New Roman" w:eastAsia="仿宋" w:cs="Times New Roman"/>
          <w:color w:val="auto"/>
          <w:kern w:val="0"/>
          <w:sz w:val="32"/>
          <w:szCs w:val="32"/>
          <w:highlight w:val="none"/>
        </w:rPr>
        <w:t>全县一般公共预算收入预计完成15</w:t>
      </w:r>
      <w:r>
        <w:rPr>
          <w:rFonts w:hint="eastAsia" w:ascii="Times New Roman" w:hAnsi="Times New Roman" w:eastAsia="仿宋" w:cs="Times New Roman"/>
          <w:color w:val="auto"/>
          <w:kern w:val="0"/>
          <w:sz w:val="32"/>
          <w:szCs w:val="32"/>
          <w:highlight w:val="none"/>
          <w:lang w:val="en-US" w:eastAsia="zh-CN"/>
        </w:rPr>
        <w:t>3812</w:t>
      </w:r>
      <w:r>
        <w:rPr>
          <w:rFonts w:hint="default" w:ascii="Times New Roman" w:hAnsi="Times New Roman" w:eastAsia="仿宋" w:cs="Times New Roman"/>
          <w:color w:val="auto"/>
          <w:kern w:val="0"/>
          <w:sz w:val="32"/>
          <w:szCs w:val="32"/>
          <w:highlight w:val="none"/>
        </w:rPr>
        <w:t>万元（其中：</w:t>
      </w:r>
      <w:r>
        <w:rPr>
          <w:rFonts w:hint="default" w:ascii="Times New Roman" w:hAnsi="Times New Roman" w:eastAsia="仿宋" w:cs="Times New Roman"/>
          <w:color w:val="auto"/>
          <w:sz w:val="32"/>
          <w:szCs w:val="32"/>
          <w:highlight w:val="none"/>
        </w:rPr>
        <w:t>增值税</w:t>
      </w:r>
      <w:r>
        <w:rPr>
          <w:rFonts w:hint="default" w:ascii="Times New Roman" w:hAnsi="Times New Roman" w:eastAsia="仿宋" w:cs="Times New Roman"/>
          <w:color w:val="auto"/>
          <w:sz w:val="32"/>
          <w:szCs w:val="32"/>
          <w:highlight w:val="none"/>
          <w:lang w:val="en-US" w:eastAsia="zh-CN"/>
        </w:rPr>
        <w:t>14963</w:t>
      </w:r>
      <w:r>
        <w:rPr>
          <w:rFonts w:hint="default" w:ascii="Times New Roman" w:hAnsi="Times New Roman" w:eastAsia="仿宋" w:cs="Times New Roman"/>
          <w:color w:val="auto"/>
          <w:sz w:val="32"/>
          <w:szCs w:val="32"/>
          <w:highlight w:val="none"/>
        </w:rPr>
        <w:t>万元，为预算的</w:t>
      </w:r>
      <w:r>
        <w:rPr>
          <w:rFonts w:hint="default" w:ascii="Times New Roman" w:hAnsi="Times New Roman" w:eastAsia="仿宋" w:cs="Times New Roman"/>
          <w:color w:val="auto"/>
          <w:sz w:val="32"/>
          <w:szCs w:val="32"/>
          <w:highlight w:val="none"/>
          <w:lang w:val="en-US" w:eastAsia="zh-CN"/>
        </w:rPr>
        <w:t>80.88</w:t>
      </w:r>
      <w:r>
        <w:rPr>
          <w:rFonts w:hint="default" w:ascii="Times New Roman" w:hAnsi="Times New Roman" w:eastAsia="仿宋" w:cs="Times New Roman"/>
          <w:color w:val="auto"/>
          <w:sz w:val="32"/>
          <w:szCs w:val="32"/>
          <w:highlight w:val="none"/>
        </w:rPr>
        <w:t>%；企业所得税</w:t>
      </w:r>
      <w:r>
        <w:rPr>
          <w:rFonts w:hint="default" w:ascii="Times New Roman" w:hAnsi="Times New Roman" w:eastAsia="仿宋" w:cs="Times New Roman"/>
          <w:color w:val="auto"/>
          <w:sz w:val="32"/>
          <w:szCs w:val="32"/>
          <w:highlight w:val="none"/>
          <w:lang w:val="en-US" w:eastAsia="zh-CN"/>
        </w:rPr>
        <w:t>9520</w:t>
      </w:r>
      <w:r>
        <w:rPr>
          <w:rFonts w:hint="default" w:ascii="Times New Roman" w:hAnsi="Times New Roman" w:eastAsia="仿宋" w:cs="Times New Roman"/>
          <w:color w:val="auto"/>
          <w:sz w:val="32"/>
          <w:szCs w:val="32"/>
          <w:highlight w:val="none"/>
        </w:rPr>
        <w:t>万元，为预算的</w:t>
      </w:r>
      <w:r>
        <w:rPr>
          <w:rFonts w:hint="default" w:ascii="Times New Roman" w:hAnsi="Times New Roman" w:eastAsia="仿宋" w:cs="Times New Roman"/>
          <w:color w:val="auto"/>
          <w:sz w:val="32"/>
          <w:szCs w:val="32"/>
          <w:highlight w:val="none"/>
          <w:lang w:val="en-US" w:eastAsia="zh-CN"/>
        </w:rPr>
        <w:t>53.85</w:t>
      </w:r>
      <w:r>
        <w:rPr>
          <w:rFonts w:hint="default" w:ascii="Times New Roman" w:hAnsi="Times New Roman" w:eastAsia="仿宋" w:cs="Times New Roman"/>
          <w:color w:val="auto"/>
          <w:sz w:val="32"/>
          <w:szCs w:val="32"/>
          <w:highlight w:val="none"/>
        </w:rPr>
        <w:t>%；城市维护建设税</w:t>
      </w:r>
      <w:r>
        <w:rPr>
          <w:rFonts w:hint="eastAsia" w:ascii="Times New Roman" w:hAnsi="Times New Roman" w:eastAsia="仿宋" w:cs="Times New Roman"/>
          <w:color w:val="auto"/>
          <w:sz w:val="32"/>
          <w:szCs w:val="32"/>
          <w:highlight w:val="none"/>
          <w:lang w:val="en-US" w:eastAsia="zh-CN"/>
        </w:rPr>
        <w:t>2670</w:t>
      </w:r>
      <w:r>
        <w:rPr>
          <w:rFonts w:hint="default" w:ascii="Times New Roman" w:hAnsi="Times New Roman" w:eastAsia="仿宋" w:cs="Times New Roman"/>
          <w:color w:val="auto"/>
          <w:sz w:val="32"/>
          <w:szCs w:val="32"/>
          <w:highlight w:val="none"/>
        </w:rPr>
        <w:t>万元，为预算的</w:t>
      </w:r>
      <w:r>
        <w:rPr>
          <w:rFonts w:hint="eastAsia" w:ascii="Times New Roman" w:hAnsi="Times New Roman" w:eastAsia="仿宋" w:cs="Times New Roman"/>
          <w:color w:val="auto"/>
          <w:sz w:val="32"/>
          <w:szCs w:val="32"/>
          <w:highlight w:val="none"/>
          <w:lang w:val="en-US" w:eastAsia="zh-CN"/>
        </w:rPr>
        <w:t>63.39</w:t>
      </w:r>
      <w:r>
        <w:rPr>
          <w:rFonts w:hint="default" w:ascii="Times New Roman" w:hAnsi="Times New Roman" w:eastAsia="仿宋" w:cs="Times New Roman"/>
          <w:color w:val="auto"/>
          <w:sz w:val="32"/>
          <w:szCs w:val="32"/>
          <w:highlight w:val="none"/>
        </w:rPr>
        <w:t>%；土地增值税</w:t>
      </w:r>
      <w:r>
        <w:rPr>
          <w:rFonts w:hint="default" w:ascii="Times New Roman" w:hAnsi="Times New Roman" w:eastAsia="仿宋" w:cs="Times New Roman"/>
          <w:color w:val="auto"/>
          <w:sz w:val="32"/>
          <w:szCs w:val="32"/>
          <w:highlight w:val="none"/>
          <w:lang w:val="en-US" w:eastAsia="zh-CN"/>
        </w:rPr>
        <w:t>3900</w:t>
      </w:r>
      <w:r>
        <w:rPr>
          <w:rFonts w:hint="default" w:ascii="Times New Roman" w:hAnsi="Times New Roman" w:eastAsia="仿宋" w:cs="Times New Roman"/>
          <w:color w:val="auto"/>
          <w:sz w:val="32"/>
          <w:szCs w:val="32"/>
          <w:highlight w:val="none"/>
        </w:rPr>
        <w:t>万元，为预算的</w:t>
      </w:r>
      <w:r>
        <w:rPr>
          <w:rFonts w:hint="default" w:ascii="Times New Roman" w:hAnsi="Times New Roman" w:eastAsia="仿宋" w:cs="Times New Roman"/>
          <w:color w:val="auto"/>
          <w:sz w:val="32"/>
          <w:szCs w:val="32"/>
          <w:highlight w:val="none"/>
          <w:lang w:val="en-US" w:eastAsia="zh-CN"/>
        </w:rPr>
        <w:t>195.00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房产税</w:t>
      </w:r>
      <w:r>
        <w:rPr>
          <w:rFonts w:hint="default" w:ascii="Times New Roman" w:hAnsi="Times New Roman" w:eastAsia="仿宋" w:cs="Times New Roman"/>
          <w:color w:val="auto"/>
          <w:sz w:val="32"/>
          <w:szCs w:val="32"/>
          <w:highlight w:val="none"/>
          <w:lang w:val="en-US" w:eastAsia="zh-CN"/>
        </w:rPr>
        <w:t>3750</w:t>
      </w:r>
      <w:r>
        <w:rPr>
          <w:rFonts w:hint="default" w:ascii="Times New Roman" w:hAnsi="Times New Roman" w:eastAsia="仿宋" w:cs="Times New Roman"/>
          <w:color w:val="auto"/>
          <w:sz w:val="32"/>
          <w:szCs w:val="32"/>
          <w:highlight w:val="none"/>
        </w:rPr>
        <w:t>万元，为预算的</w:t>
      </w:r>
      <w:r>
        <w:rPr>
          <w:rFonts w:hint="default" w:ascii="Times New Roman" w:hAnsi="Times New Roman" w:eastAsia="仿宋" w:cs="Times New Roman"/>
          <w:color w:val="auto"/>
          <w:sz w:val="32"/>
          <w:szCs w:val="32"/>
          <w:highlight w:val="none"/>
          <w:lang w:val="en-US" w:eastAsia="zh-CN"/>
        </w:rPr>
        <w:t>109.49</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契税12236万元，</w:t>
      </w:r>
      <w:r>
        <w:rPr>
          <w:rFonts w:hint="default" w:ascii="Times New Roman" w:hAnsi="Times New Roman" w:eastAsia="仿宋" w:cs="Times New Roman"/>
          <w:color w:val="auto"/>
          <w:sz w:val="32"/>
          <w:szCs w:val="32"/>
          <w:highlight w:val="none"/>
        </w:rPr>
        <w:t>为预算的</w:t>
      </w:r>
      <w:r>
        <w:rPr>
          <w:rFonts w:hint="default" w:ascii="Times New Roman" w:hAnsi="Times New Roman" w:eastAsia="仿宋" w:cs="Times New Roman"/>
          <w:color w:val="auto"/>
          <w:sz w:val="32"/>
          <w:szCs w:val="32"/>
          <w:highlight w:val="none"/>
          <w:lang w:val="en-US" w:eastAsia="zh-CN"/>
        </w:rPr>
        <w:t>222.47</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非税收入</w:t>
      </w:r>
      <w:r>
        <w:rPr>
          <w:rFonts w:hint="eastAsia" w:ascii="Times New Roman" w:hAnsi="Times New Roman" w:eastAsia="仿宋" w:cs="Times New Roman"/>
          <w:color w:val="auto"/>
          <w:sz w:val="32"/>
          <w:szCs w:val="32"/>
          <w:highlight w:val="none"/>
          <w:lang w:val="en-US" w:eastAsia="zh-CN"/>
        </w:rPr>
        <w:t>92064</w:t>
      </w:r>
      <w:r>
        <w:rPr>
          <w:rFonts w:hint="default" w:ascii="Times New Roman" w:hAnsi="Times New Roman" w:eastAsia="仿宋" w:cs="Times New Roman"/>
          <w:color w:val="auto"/>
          <w:sz w:val="32"/>
          <w:szCs w:val="32"/>
          <w:highlight w:val="none"/>
        </w:rPr>
        <w:t>万元，为预算的</w:t>
      </w:r>
      <w:r>
        <w:rPr>
          <w:rFonts w:hint="default" w:ascii="Times New Roman" w:hAnsi="Times New Roman" w:eastAsia="仿宋" w:cs="Times New Roman"/>
          <w:color w:val="auto"/>
          <w:sz w:val="32"/>
          <w:szCs w:val="32"/>
          <w:highlight w:val="none"/>
          <w:lang w:val="en-US" w:eastAsia="zh-CN"/>
        </w:rPr>
        <w:t>10</w:t>
      </w:r>
      <w:r>
        <w:rPr>
          <w:rFonts w:hint="eastAsia" w:ascii="Times New Roman" w:hAnsi="Times New Roman" w:eastAsia="仿宋" w:cs="Times New Roman"/>
          <w:color w:val="auto"/>
          <w:sz w:val="32"/>
          <w:szCs w:val="32"/>
          <w:highlight w:val="none"/>
          <w:lang w:val="en-US" w:eastAsia="zh-CN"/>
        </w:rPr>
        <w:t>3.56</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kern w:val="0"/>
          <w:sz w:val="32"/>
          <w:szCs w:val="32"/>
          <w:highlight w:val="none"/>
        </w:rPr>
        <w:t>）</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加上返还性收入5529万元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一般性转移支付收入</w:t>
      </w:r>
      <w:r>
        <w:rPr>
          <w:rFonts w:hint="default" w:ascii="Times New Roman" w:hAnsi="Times New Roman" w:eastAsia="仿宋" w:cs="Times New Roman"/>
          <w:color w:val="auto"/>
          <w:kern w:val="0"/>
          <w:sz w:val="32"/>
          <w:szCs w:val="32"/>
          <w:highlight w:val="none"/>
          <w:lang w:val="en-US" w:eastAsia="zh-CN"/>
        </w:rPr>
        <w:t>186762</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专项转移支付收入</w:t>
      </w:r>
      <w:r>
        <w:rPr>
          <w:rFonts w:hint="default" w:ascii="Times New Roman" w:hAnsi="Times New Roman" w:eastAsia="仿宋" w:cs="Times New Roman"/>
          <w:color w:val="auto"/>
          <w:kern w:val="0"/>
          <w:sz w:val="32"/>
          <w:szCs w:val="32"/>
          <w:highlight w:val="none"/>
          <w:lang w:val="en-US" w:eastAsia="zh-CN"/>
        </w:rPr>
        <w:t>14374</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地方政府一般债务转贷收入</w:t>
      </w:r>
      <w:r>
        <w:rPr>
          <w:rFonts w:hint="default" w:ascii="Times New Roman" w:hAnsi="Times New Roman" w:eastAsia="仿宋" w:cs="Times New Roman"/>
          <w:color w:val="auto"/>
          <w:kern w:val="0"/>
          <w:sz w:val="32"/>
          <w:szCs w:val="32"/>
          <w:highlight w:val="none"/>
          <w:lang w:val="en-US" w:eastAsia="zh-CN"/>
        </w:rPr>
        <w:t>22049</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动用预算稳定调节基金</w:t>
      </w:r>
      <w:r>
        <w:rPr>
          <w:rFonts w:hint="default" w:ascii="Times New Roman" w:hAnsi="Times New Roman" w:eastAsia="仿宋" w:cs="Times New Roman"/>
          <w:color w:val="auto"/>
          <w:kern w:val="0"/>
          <w:sz w:val="32"/>
          <w:szCs w:val="32"/>
          <w:highlight w:val="none"/>
          <w:lang w:val="en-US" w:eastAsia="zh-CN"/>
        </w:rPr>
        <w:t>2143</w:t>
      </w:r>
      <w:r>
        <w:rPr>
          <w:rFonts w:hint="default" w:ascii="Times New Roman" w:hAnsi="Times New Roman" w:eastAsia="仿宋" w:cs="Times New Roman"/>
          <w:color w:val="auto"/>
          <w:kern w:val="0"/>
          <w:sz w:val="32"/>
          <w:szCs w:val="32"/>
          <w:highlight w:val="none"/>
        </w:rPr>
        <w:t>万</w:t>
      </w:r>
      <w:r>
        <w:rPr>
          <w:rFonts w:hint="default" w:ascii="Times New Roman" w:hAnsi="Times New Roman" w:eastAsia="仿宋" w:cs="Times New Roman"/>
          <w:color w:val="auto"/>
          <w:spacing w:val="-11"/>
          <w:kern w:val="0"/>
          <w:sz w:val="32"/>
          <w:szCs w:val="32"/>
          <w:highlight w:val="none"/>
        </w:rPr>
        <w:t>元</w:t>
      </w:r>
      <w:r>
        <w:rPr>
          <w:rFonts w:hint="default" w:ascii="Times New Roman" w:hAnsi="Times New Roman" w:eastAsia="仿宋" w:cs="Times New Roman"/>
          <w:color w:val="auto"/>
          <w:spacing w:val="-11"/>
          <w:kern w:val="0"/>
          <w:sz w:val="32"/>
          <w:szCs w:val="32"/>
          <w:highlight w:val="none"/>
          <w:lang w:eastAsia="zh-CN"/>
        </w:rPr>
        <w:t>、</w:t>
      </w:r>
      <w:r>
        <w:rPr>
          <w:rFonts w:hint="default" w:ascii="Times New Roman" w:hAnsi="Times New Roman" w:eastAsia="仿宋" w:cs="Times New Roman"/>
          <w:color w:val="auto"/>
          <w:spacing w:val="-11"/>
          <w:kern w:val="0"/>
          <w:sz w:val="32"/>
          <w:szCs w:val="32"/>
          <w:highlight w:val="none"/>
        </w:rPr>
        <w:t>上年结转项目</w:t>
      </w:r>
      <w:r>
        <w:rPr>
          <w:rStyle w:val="14"/>
          <w:rFonts w:hint="default" w:ascii="Times New Roman" w:hAnsi="Times New Roman" w:eastAsia="仿宋" w:cs="Times New Roman"/>
          <w:color w:val="auto"/>
          <w:spacing w:val="-11"/>
          <w:sz w:val="32"/>
          <w:szCs w:val="32"/>
          <w:highlight w:val="none"/>
        </w:rPr>
        <w:endnoteReference w:id="1" w:customMarkFollows="1"/>
        <w:t>注3</w:t>
      </w:r>
      <w:r>
        <w:rPr>
          <w:rFonts w:hint="default" w:ascii="Times New Roman" w:hAnsi="Times New Roman" w:eastAsia="仿宋" w:cs="Times New Roman"/>
          <w:color w:val="auto"/>
          <w:spacing w:val="-11"/>
          <w:sz w:val="32"/>
          <w:szCs w:val="32"/>
          <w:highlight w:val="none"/>
        </w:rPr>
        <w:t>资金</w:t>
      </w:r>
      <w:r>
        <w:rPr>
          <w:rFonts w:hint="default" w:ascii="Times New Roman" w:hAnsi="Times New Roman" w:eastAsia="仿宋" w:cs="Times New Roman"/>
          <w:color w:val="auto"/>
          <w:spacing w:val="-11"/>
          <w:sz w:val="32"/>
          <w:szCs w:val="32"/>
          <w:highlight w:val="none"/>
          <w:lang w:val="en-US" w:eastAsia="zh-CN"/>
        </w:rPr>
        <w:t>34537</w:t>
      </w:r>
      <w:r>
        <w:rPr>
          <w:rFonts w:hint="default" w:ascii="Times New Roman" w:hAnsi="Times New Roman" w:eastAsia="仿宋" w:cs="Times New Roman"/>
          <w:color w:val="auto"/>
          <w:spacing w:val="-11"/>
          <w:kern w:val="0"/>
          <w:sz w:val="32"/>
          <w:szCs w:val="32"/>
          <w:highlight w:val="none"/>
        </w:rPr>
        <w:t>万元</w:t>
      </w:r>
      <w:r>
        <w:rPr>
          <w:rFonts w:hint="default" w:ascii="Times New Roman" w:hAnsi="Times New Roman" w:eastAsia="仿宋" w:cs="Times New Roman"/>
          <w:color w:val="auto"/>
          <w:spacing w:val="-11"/>
          <w:kern w:val="0"/>
          <w:sz w:val="32"/>
          <w:szCs w:val="32"/>
          <w:highlight w:val="none"/>
          <w:lang w:eastAsia="zh-CN"/>
        </w:rPr>
        <w:t>、</w:t>
      </w:r>
      <w:r>
        <w:rPr>
          <w:rFonts w:hint="default" w:ascii="Times New Roman" w:hAnsi="Times New Roman" w:eastAsia="仿宋" w:cs="Times New Roman"/>
          <w:color w:val="auto"/>
          <w:spacing w:val="-11"/>
          <w:kern w:val="0"/>
          <w:sz w:val="32"/>
          <w:szCs w:val="32"/>
          <w:highlight w:val="none"/>
        </w:rPr>
        <w:t>从政府性基金调入资</w:t>
      </w:r>
      <w:r>
        <w:rPr>
          <w:rFonts w:hint="default" w:ascii="Times New Roman" w:hAnsi="Times New Roman" w:eastAsia="仿宋" w:cs="Times New Roman"/>
          <w:color w:val="auto"/>
          <w:kern w:val="0"/>
          <w:sz w:val="32"/>
          <w:szCs w:val="32"/>
          <w:highlight w:val="none"/>
        </w:rPr>
        <w:t>金</w:t>
      </w:r>
      <w:r>
        <w:rPr>
          <w:rStyle w:val="14"/>
          <w:rFonts w:hint="default" w:ascii="Times New Roman" w:hAnsi="Times New Roman" w:eastAsia="仿宋" w:cs="Times New Roman"/>
          <w:color w:val="auto"/>
          <w:sz w:val="32"/>
          <w:szCs w:val="32"/>
          <w:highlight w:val="none"/>
        </w:rPr>
        <w:endnoteReference w:id="2" w:customMarkFollows="1"/>
        <w:t>注4</w:t>
      </w:r>
      <w:r>
        <w:rPr>
          <w:rFonts w:hint="default" w:ascii="Times New Roman" w:hAnsi="Times New Roman" w:eastAsia="仿宋" w:cs="Times New Roman"/>
          <w:color w:val="auto"/>
          <w:kern w:val="0"/>
          <w:sz w:val="32"/>
          <w:szCs w:val="32"/>
          <w:highlight w:val="none"/>
          <w:lang w:val="en-US" w:eastAsia="zh-CN"/>
        </w:rPr>
        <w:t>5</w:t>
      </w:r>
      <w:r>
        <w:rPr>
          <w:rFonts w:hint="eastAsia" w:ascii="Times New Roman" w:hAnsi="Times New Roman" w:eastAsia="仿宋" w:cs="Times New Roman"/>
          <w:color w:val="auto"/>
          <w:kern w:val="0"/>
          <w:sz w:val="32"/>
          <w:szCs w:val="32"/>
          <w:highlight w:val="none"/>
          <w:lang w:val="en-US" w:eastAsia="zh-CN"/>
        </w:rPr>
        <w:t>0</w:t>
      </w:r>
      <w:r>
        <w:rPr>
          <w:rFonts w:hint="default" w:ascii="Times New Roman" w:hAnsi="Times New Roman" w:eastAsia="仿宋" w:cs="Times New Roman"/>
          <w:color w:val="auto"/>
          <w:kern w:val="0"/>
          <w:sz w:val="32"/>
          <w:szCs w:val="32"/>
          <w:highlight w:val="none"/>
          <w:lang w:val="en-US" w:eastAsia="zh-CN"/>
        </w:rPr>
        <w:t>000</w:t>
      </w:r>
      <w:r>
        <w:rPr>
          <w:rFonts w:hint="default" w:ascii="Times New Roman" w:hAnsi="Times New Roman" w:eastAsia="仿宋" w:cs="Times New Roman"/>
          <w:color w:val="auto"/>
          <w:kern w:val="0"/>
          <w:sz w:val="32"/>
          <w:szCs w:val="32"/>
          <w:highlight w:val="none"/>
        </w:rPr>
        <w:t>万元。</w:t>
      </w:r>
    </w:p>
    <w:p>
      <w:pPr>
        <w:adjustRightInd w:val="0"/>
        <w:snapToGrid w:val="0"/>
        <w:spacing w:line="560" w:lineRule="exact"/>
        <w:ind w:firstLine="640" w:firstLineChars="200"/>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一般公共预算总支出预计完成</w:t>
      </w:r>
      <w:r>
        <w:rPr>
          <w:rFonts w:hint="default" w:ascii="Times New Roman" w:hAnsi="Times New Roman" w:eastAsia="仿宋" w:cs="Times New Roman"/>
          <w:color w:val="auto"/>
          <w:kern w:val="0"/>
          <w:sz w:val="32"/>
          <w:szCs w:val="32"/>
          <w:highlight w:val="none"/>
          <w:lang w:val="en-US" w:eastAsia="zh-CN"/>
        </w:rPr>
        <w:t>4</w:t>
      </w:r>
      <w:r>
        <w:rPr>
          <w:rFonts w:hint="eastAsia" w:ascii="Times New Roman" w:hAnsi="Times New Roman" w:eastAsia="仿宋" w:cs="Times New Roman"/>
          <w:color w:val="auto"/>
          <w:kern w:val="0"/>
          <w:sz w:val="32"/>
          <w:szCs w:val="32"/>
          <w:highlight w:val="none"/>
          <w:lang w:val="en-US" w:eastAsia="zh-CN"/>
        </w:rPr>
        <w:t>69206</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其中：</w:t>
      </w:r>
      <w:r>
        <w:rPr>
          <w:rFonts w:hint="default" w:ascii="Times New Roman" w:hAnsi="Times New Roman" w:eastAsia="仿宋" w:cs="Times New Roman"/>
          <w:color w:val="auto"/>
          <w:kern w:val="0"/>
          <w:sz w:val="32"/>
          <w:szCs w:val="32"/>
          <w:highlight w:val="none"/>
        </w:rPr>
        <w:t>一般公共预算支出</w:t>
      </w:r>
      <w:r>
        <w:rPr>
          <w:rStyle w:val="14"/>
          <w:rFonts w:hint="default" w:ascii="Times New Roman" w:hAnsi="Times New Roman" w:eastAsia="仿宋" w:cs="Times New Roman"/>
          <w:color w:val="auto"/>
          <w:sz w:val="32"/>
          <w:szCs w:val="32"/>
          <w:highlight w:val="none"/>
        </w:rPr>
        <w:endnoteReference w:id="3" w:customMarkFollows="1"/>
        <w:t>注5</w:t>
      </w:r>
      <w:r>
        <w:rPr>
          <w:rFonts w:hint="default" w:ascii="Times New Roman" w:hAnsi="Times New Roman" w:eastAsia="仿宋" w:cs="Times New Roman"/>
          <w:color w:val="auto"/>
          <w:kern w:val="0"/>
          <w:sz w:val="32"/>
          <w:szCs w:val="32"/>
          <w:highlight w:val="none"/>
        </w:rPr>
        <w:t>预计完成</w:t>
      </w:r>
      <w:r>
        <w:rPr>
          <w:rFonts w:hint="eastAsia" w:ascii="Times New Roman" w:hAnsi="Times New Roman" w:eastAsia="仿宋" w:cs="Times New Roman"/>
          <w:color w:val="auto"/>
          <w:kern w:val="0"/>
          <w:sz w:val="32"/>
          <w:szCs w:val="32"/>
          <w:highlight w:val="none"/>
          <w:lang w:val="en-US" w:eastAsia="zh-CN"/>
        </w:rPr>
        <w:t>402000</w:t>
      </w:r>
      <w:r>
        <w:rPr>
          <w:rFonts w:hint="default" w:ascii="Times New Roman" w:hAnsi="Times New Roman" w:eastAsia="仿宋" w:cs="Times New Roman"/>
          <w:color w:val="auto"/>
          <w:kern w:val="0"/>
          <w:sz w:val="32"/>
          <w:szCs w:val="32"/>
          <w:highlight w:val="none"/>
        </w:rPr>
        <w:t>万元（其中：</w:t>
      </w:r>
      <w:r>
        <w:rPr>
          <w:rFonts w:hint="default" w:ascii="Times New Roman" w:hAnsi="Times New Roman" w:eastAsia="仿宋" w:cs="Times New Roman"/>
          <w:color w:val="auto"/>
          <w:sz w:val="32"/>
          <w:szCs w:val="32"/>
          <w:highlight w:val="none"/>
        </w:rPr>
        <w:t>教育支出</w:t>
      </w:r>
      <w:r>
        <w:rPr>
          <w:rFonts w:hint="default" w:ascii="Times New Roman" w:hAnsi="Times New Roman" w:eastAsia="仿宋" w:cs="Times New Roman"/>
          <w:color w:val="auto"/>
          <w:sz w:val="32"/>
          <w:szCs w:val="32"/>
          <w:highlight w:val="none"/>
          <w:lang w:val="en-US" w:eastAsia="zh-CN"/>
        </w:rPr>
        <w:t>84614</w:t>
      </w:r>
      <w:r>
        <w:rPr>
          <w:rFonts w:hint="default" w:ascii="Times New Roman" w:hAnsi="Times New Roman" w:eastAsia="仿宋" w:cs="Times New Roman"/>
          <w:color w:val="auto"/>
          <w:sz w:val="32"/>
          <w:szCs w:val="32"/>
          <w:highlight w:val="none"/>
        </w:rPr>
        <w:t>万元，同比增长</w:t>
      </w:r>
      <w:r>
        <w:rPr>
          <w:rFonts w:hint="default" w:ascii="Times New Roman" w:hAnsi="Times New Roman" w:eastAsia="仿宋" w:cs="Times New Roman"/>
          <w:color w:val="auto"/>
          <w:sz w:val="32"/>
          <w:szCs w:val="32"/>
          <w:highlight w:val="none"/>
          <w:lang w:val="en-US" w:eastAsia="zh-CN"/>
        </w:rPr>
        <w:t>0.01</w:t>
      </w:r>
      <w:r>
        <w:rPr>
          <w:rFonts w:hint="default" w:ascii="Times New Roman" w:hAnsi="Times New Roman" w:eastAsia="仿宋" w:cs="Times New Roman"/>
          <w:color w:val="auto"/>
          <w:sz w:val="32"/>
          <w:szCs w:val="32"/>
          <w:highlight w:val="none"/>
        </w:rPr>
        <w:t>%；科学技术支出</w:t>
      </w:r>
      <w:r>
        <w:rPr>
          <w:rFonts w:hint="default" w:ascii="Times New Roman" w:hAnsi="Times New Roman" w:eastAsia="仿宋" w:cs="Times New Roman"/>
          <w:color w:val="auto"/>
          <w:sz w:val="32"/>
          <w:szCs w:val="32"/>
          <w:highlight w:val="none"/>
          <w:lang w:val="en-US" w:eastAsia="zh-CN"/>
        </w:rPr>
        <w:t>5796</w:t>
      </w:r>
      <w:r>
        <w:rPr>
          <w:rFonts w:hint="default" w:ascii="Times New Roman" w:hAnsi="Times New Roman" w:eastAsia="仿宋" w:cs="Times New Roman"/>
          <w:color w:val="auto"/>
          <w:sz w:val="32"/>
          <w:szCs w:val="32"/>
          <w:highlight w:val="none"/>
        </w:rPr>
        <w:t>万元，同比增长</w:t>
      </w:r>
      <w:r>
        <w:rPr>
          <w:rFonts w:hint="default" w:ascii="Times New Roman" w:hAnsi="Times New Roman" w:eastAsia="仿宋" w:cs="Times New Roman"/>
          <w:color w:val="auto"/>
          <w:sz w:val="32"/>
          <w:szCs w:val="32"/>
          <w:highlight w:val="none"/>
          <w:lang w:val="en-US" w:eastAsia="zh-CN"/>
        </w:rPr>
        <w:t>0.63</w:t>
      </w:r>
      <w:r>
        <w:rPr>
          <w:rFonts w:hint="default" w:ascii="Times New Roman" w:hAnsi="Times New Roman" w:eastAsia="仿宋" w:cs="Times New Roman"/>
          <w:color w:val="auto"/>
          <w:sz w:val="32"/>
          <w:szCs w:val="32"/>
          <w:highlight w:val="none"/>
        </w:rPr>
        <w:t>%；文化旅游体育与传媒支出4</w:t>
      </w:r>
      <w:r>
        <w:rPr>
          <w:rFonts w:hint="default" w:ascii="Times New Roman" w:hAnsi="Times New Roman" w:eastAsia="仿宋" w:cs="Times New Roman"/>
          <w:color w:val="auto"/>
          <w:sz w:val="32"/>
          <w:szCs w:val="32"/>
          <w:highlight w:val="none"/>
          <w:lang w:val="en-US" w:eastAsia="zh-CN"/>
        </w:rPr>
        <w:t>80</w:t>
      </w:r>
      <w:r>
        <w:rPr>
          <w:rFonts w:hint="default" w:ascii="Times New Roman" w:hAnsi="Times New Roman" w:eastAsia="仿宋" w:cs="Times New Roman"/>
          <w:color w:val="auto"/>
          <w:sz w:val="32"/>
          <w:szCs w:val="32"/>
          <w:highlight w:val="none"/>
        </w:rPr>
        <w:t>7万元，同比增长</w:t>
      </w:r>
      <w:r>
        <w:rPr>
          <w:rFonts w:hint="default" w:ascii="Times New Roman" w:hAnsi="Times New Roman" w:eastAsia="仿宋" w:cs="Times New Roman"/>
          <w:color w:val="auto"/>
          <w:sz w:val="32"/>
          <w:szCs w:val="32"/>
          <w:highlight w:val="none"/>
          <w:lang w:val="en-US" w:eastAsia="zh-CN"/>
        </w:rPr>
        <w:t>3.20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社会保障和就业支出</w:t>
      </w:r>
      <w:r>
        <w:rPr>
          <w:rFonts w:hint="default" w:ascii="Times New Roman" w:hAnsi="Times New Roman" w:eastAsia="仿宋" w:cs="Times New Roman"/>
          <w:color w:val="auto"/>
          <w:sz w:val="32"/>
          <w:szCs w:val="32"/>
          <w:highlight w:val="none"/>
          <w:lang w:val="en-US" w:eastAsia="zh-CN"/>
        </w:rPr>
        <w:t>58508</w:t>
      </w:r>
      <w:r>
        <w:rPr>
          <w:rFonts w:hint="default" w:ascii="Times New Roman" w:hAnsi="Times New Roman" w:eastAsia="仿宋" w:cs="Times New Roman"/>
          <w:color w:val="auto"/>
          <w:sz w:val="32"/>
          <w:szCs w:val="32"/>
          <w:highlight w:val="none"/>
        </w:rPr>
        <w:t>万元，同比增长</w:t>
      </w:r>
      <w:r>
        <w:rPr>
          <w:rFonts w:hint="default" w:ascii="Times New Roman" w:hAnsi="Times New Roman" w:eastAsia="仿宋" w:cs="Times New Roman"/>
          <w:color w:val="auto"/>
          <w:sz w:val="32"/>
          <w:szCs w:val="32"/>
          <w:highlight w:val="none"/>
          <w:lang w:val="en-US" w:eastAsia="zh-CN"/>
        </w:rPr>
        <w:t>0.83</w:t>
      </w:r>
      <w:r>
        <w:rPr>
          <w:rFonts w:hint="default" w:ascii="Times New Roman" w:hAnsi="Times New Roman" w:eastAsia="仿宋" w:cs="Times New Roman"/>
          <w:color w:val="auto"/>
          <w:sz w:val="32"/>
          <w:szCs w:val="32"/>
          <w:highlight w:val="none"/>
        </w:rPr>
        <w:t>%；卫生健康支出</w:t>
      </w:r>
      <w:r>
        <w:rPr>
          <w:rFonts w:hint="default" w:ascii="Times New Roman" w:hAnsi="Times New Roman" w:eastAsia="仿宋" w:cs="Times New Roman"/>
          <w:color w:val="auto"/>
          <w:sz w:val="32"/>
          <w:szCs w:val="32"/>
          <w:highlight w:val="none"/>
          <w:lang w:val="en-US" w:eastAsia="zh-CN"/>
        </w:rPr>
        <w:t>3</w:t>
      </w:r>
      <w:r>
        <w:rPr>
          <w:rFonts w:hint="eastAsia" w:ascii="Times New Roman" w:hAnsi="Times New Roman" w:eastAsia="仿宋" w:cs="Times New Roman"/>
          <w:color w:val="auto"/>
          <w:sz w:val="32"/>
          <w:szCs w:val="32"/>
          <w:highlight w:val="none"/>
          <w:lang w:val="en-US" w:eastAsia="zh-CN"/>
        </w:rPr>
        <w:t>30</w:t>
      </w:r>
      <w:r>
        <w:rPr>
          <w:rFonts w:hint="default" w:ascii="Times New Roman" w:hAnsi="Times New Roman" w:eastAsia="仿宋" w:cs="Times New Roman"/>
          <w:color w:val="auto"/>
          <w:sz w:val="32"/>
          <w:szCs w:val="32"/>
          <w:highlight w:val="none"/>
          <w:lang w:val="en-US" w:eastAsia="zh-CN"/>
        </w:rPr>
        <w:t>94</w:t>
      </w:r>
      <w:r>
        <w:rPr>
          <w:rFonts w:hint="default" w:ascii="Times New Roman" w:hAnsi="Times New Roman" w:eastAsia="仿宋" w:cs="Times New Roman"/>
          <w:color w:val="auto"/>
          <w:sz w:val="32"/>
          <w:szCs w:val="32"/>
          <w:highlight w:val="none"/>
        </w:rPr>
        <w:t>万元，同比增长</w:t>
      </w:r>
      <w:r>
        <w:rPr>
          <w:rFonts w:hint="default" w:ascii="Times New Roman" w:hAnsi="Times New Roman" w:eastAsia="仿宋" w:cs="Times New Roman"/>
          <w:color w:val="auto"/>
          <w:sz w:val="32"/>
          <w:szCs w:val="32"/>
          <w:highlight w:val="none"/>
          <w:lang w:val="en-US" w:eastAsia="zh-CN"/>
        </w:rPr>
        <w:t>1.</w:t>
      </w:r>
      <w:r>
        <w:rPr>
          <w:rFonts w:hint="eastAsia" w:ascii="Times New Roman" w:hAnsi="Times New Roman" w:eastAsia="仿宋" w:cs="Times New Roman"/>
          <w:color w:val="auto"/>
          <w:sz w:val="32"/>
          <w:szCs w:val="32"/>
          <w:highlight w:val="none"/>
          <w:lang w:val="en-US" w:eastAsia="zh-CN"/>
        </w:rPr>
        <w:t>62</w:t>
      </w:r>
      <w:r>
        <w:rPr>
          <w:rFonts w:hint="default" w:ascii="Times New Roman" w:hAnsi="Times New Roman" w:eastAsia="仿宋" w:cs="Times New Roman"/>
          <w:color w:val="auto"/>
          <w:sz w:val="32"/>
          <w:szCs w:val="32"/>
          <w:highlight w:val="none"/>
        </w:rPr>
        <w:t>%；农林水支出</w:t>
      </w:r>
      <w:r>
        <w:rPr>
          <w:rFonts w:hint="default" w:ascii="Times New Roman" w:hAnsi="Times New Roman" w:eastAsia="仿宋" w:cs="Times New Roman"/>
          <w:color w:val="auto"/>
          <w:sz w:val="32"/>
          <w:szCs w:val="32"/>
          <w:highlight w:val="none"/>
          <w:lang w:val="en-US" w:eastAsia="zh-CN"/>
        </w:rPr>
        <w:t>63552</w:t>
      </w:r>
      <w:r>
        <w:rPr>
          <w:rFonts w:hint="default" w:ascii="Times New Roman" w:hAnsi="Times New Roman" w:eastAsia="仿宋" w:cs="Times New Roman"/>
          <w:color w:val="auto"/>
          <w:sz w:val="32"/>
          <w:szCs w:val="32"/>
          <w:highlight w:val="none"/>
        </w:rPr>
        <w:t>万元，同比增长</w:t>
      </w:r>
      <w:r>
        <w:rPr>
          <w:rFonts w:hint="default" w:ascii="Times New Roman" w:hAnsi="Times New Roman" w:eastAsia="仿宋" w:cs="Times New Roman"/>
          <w:color w:val="auto"/>
          <w:sz w:val="32"/>
          <w:szCs w:val="32"/>
          <w:highlight w:val="none"/>
          <w:lang w:val="en-US" w:eastAsia="zh-CN"/>
        </w:rPr>
        <w:t>0.04</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；住房保障支出</w:t>
      </w:r>
      <w:r>
        <w:rPr>
          <w:rFonts w:hint="default" w:ascii="Times New Roman" w:hAnsi="Times New Roman" w:eastAsia="仿宋" w:cs="Times New Roman"/>
          <w:color w:val="auto"/>
          <w:sz w:val="32"/>
          <w:szCs w:val="32"/>
          <w:highlight w:val="none"/>
          <w:lang w:val="en-US" w:eastAsia="zh-CN"/>
        </w:rPr>
        <w:t>20962万元，同比增长0.51%</w:t>
      </w:r>
      <w:r>
        <w:rPr>
          <w:rFonts w:hint="default" w:ascii="Times New Roman" w:hAnsi="Times New Roman" w:eastAsia="仿宋" w:cs="Times New Roman"/>
          <w:color w:val="auto"/>
          <w:kern w:val="0"/>
          <w:sz w:val="32"/>
          <w:szCs w:val="32"/>
          <w:highlight w:val="none"/>
        </w:rPr>
        <w:t>）、上解支出</w:t>
      </w:r>
      <w:r>
        <w:rPr>
          <w:rFonts w:hint="default" w:ascii="Times New Roman" w:hAnsi="Times New Roman" w:eastAsia="仿宋" w:cs="Times New Roman"/>
          <w:color w:val="auto"/>
          <w:kern w:val="0"/>
          <w:sz w:val="32"/>
          <w:szCs w:val="32"/>
          <w:highlight w:val="none"/>
          <w:lang w:val="en-US" w:eastAsia="zh-CN"/>
        </w:rPr>
        <w:t>16193</w:t>
      </w:r>
      <w:r>
        <w:rPr>
          <w:rFonts w:hint="default" w:ascii="Times New Roman" w:hAnsi="Times New Roman" w:eastAsia="仿宋" w:cs="Times New Roman"/>
          <w:color w:val="auto"/>
          <w:kern w:val="0"/>
          <w:sz w:val="32"/>
          <w:szCs w:val="32"/>
          <w:highlight w:val="none"/>
        </w:rPr>
        <w:t>万元、地方政府一般债务还本支出</w:t>
      </w:r>
      <w:r>
        <w:rPr>
          <w:rFonts w:hint="default" w:ascii="Times New Roman" w:hAnsi="Times New Roman" w:eastAsia="仿宋" w:cs="Times New Roman"/>
          <w:color w:val="auto"/>
          <w:kern w:val="0"/>
          <w:sz w:val="32"/>
          <w:szCs w:val="32"/>
          <w:highlight w:val="none"/>
          <w:lang w:val="en-US" w:eastAsia="zh-CN"/>
        </w:rPr>
        <w:t>14737</w:t>
      </w:r>
      <w:r>
        <w:rPr>
          <w:rFonts w:hint="default" w:ascii="Times New Roman" w:hAnsi="Times New Roman" w:eastAsia="仿宋" w:cs="Times New Roman"/>
          <w:color w:val="auto"/>
          <w:kern w:val="0"/>
          <w:sz w:val="32"/>
          <w:szCs w:val="32"/>
          <w:highlight w:val="none"/>
        </w:rPr>
        <w:t>万元</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结转结余</w:t>
      </w:r>
      <w:r>
        <w:rPr>
          <w:rFonts w:hint="default" w:ascii="Times New Roman" w:hAnsi="Times New Roman" w:eastAsia="仿宋" w:cs="Times New Roman"/>
          <w:color w:val="auto"/>
          <w:kern w:val="0"/>
          <w:sz w:val="32"/>
          <w:szCs w:val="32"/>
          <w:highlight w:val="none"/>
        </w:rPr>
        <w:t>3</w:t>
      </w:r>
      <w:r>
        <w:rPr>
          <w:rFonts w:hint="eastAsia" w:ascii="Times New Roman" w:hAnsi="Times New Roman" w:eastAsia="仿宋" w:cs="Times New Roman"/>
          <w:color w:val="auto"/>
          <w:kern w:val="0"/>
          <w:sz w:val="32"/>
          <w:szCs w:val="32"/>
          <w:highlight w:val="none"/>
          <w:lang w:val="en-US" w:eastAsia="zh-CN"/>
        </w:rPr>
        <w:t>6276</w:t>
      </w:r>
      <w:r>
        <w:rPr>
          <w:rFonts w:hint="default" w:ascii="Times New Roman" w:hAnsi="Times New Roman" w:eastAsia="仿宋" w:cs="Times New Roman"/>
          <w:color w:val="auto"/>
          <w:kern w:val="0"/>
          <w:sz w:val="32"/>
          <w:szCs w:val="32"/>
          <w:highlight w:val="none"/>
        </w:rPr>
        <w:t>万元，当年一般公共预算收支平衡。</w:t>
      </w:r>
    </w:p>
    <w:p>
      <w:pPr>
        <w:suppressAutoHyphens/>
        <w:spacing w:line="560" w:lineRule="exact"/>
        <w:ind w:firstLine="645"/>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预备费3000万元已安排到一般公共服务</w:t>
      </w:r>
      <w:r>
        <w:rPr>
          <w:rFonts w:hint="default" w:ascii="Times New Roman" w:hAnsi="Times New Roman" w:eastAsia="仿宋" w:cs="Times New Roman"/>
          <w:color w:val="auto"/>
          <w:sz w:val="32"/>
          <w:szCs w:val="32"/>
          <w:highlight w:val="none"/>
          <w:lang w:val="en-US" w:eastAsia="zh-CN"/>
        </w:rPr>
        <w:t>支出</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国防支出、</w:t>
      </w:r>
      <w:r>
        <w:rPr>
          <w:rFonts w:hint="default" w:ascii="Times New Roman" w:hAnsi="Times New Roman" w:eastAsia="仿宋" w:cs="Times New Roman"/>
          <w:color w:val="auto"/>
          <w:sz w:val="32"/>
          <w:szCs w:val="32"/>
          <w:highlight w:val="none"/>
        </w:rPr>
        <w:t>公共安全支出、</w:t>
      </w:r>
      <w:r>
        <w:rPr>
          <w:rFonts w:hint="default" w:ascii="Times New Roman" w:hAnsi="Times New Roman" w:eastAsia="仿宋" w:cs="Times New Roman"/>
          <w:color w:val="auto"/>
          <w:sz w:val="32"/>
          <w:szCs w:val="32"/>
          <w:highlight w:val="none"/>
          <w:lang w:val="en-US" w:eastAsia="zh-CN"/>
        </w:rPr>
        <w:t>教育支出、科学技术支出、文化体育与传媒支出、社会保障和就业支出、</w:t>
      </w:r>
      <w:r>
        <w:rPr>
          <w:rFonts w:hint="default" w:ascii="Times New Roman" w:hAnsi="Times New Roman" w:eastAsia="仿宋" w:cs="Times New Roman"/>
          <w:color w:val="auto"/>
          <w:sz w:val="32"/>
          <w:szCs w:val="32"/>
          <w:highlight w:val="none"/>
        </w:rPr>
        <w:t>卫生健康支出、节能环保支出、城乡社区支出、农林水支出、交通运输支出</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灾害防治及应急管理支出等具体项目上。</w:t>
      </w:r>
    </w:p>
    <w:p>
      <w:pPr>
        <w:keepNext w:val="0"/>
        <w:keepLines w:val="0"/>
        <w:pageBreakBefore w:val="0"/>
        <w:kinsoku/>
        <w:wordWrap/>
        <w:overflowPunct/>
        <w:topLinePunct w:val="0"/>
        <w:autoSpaceDE/>
        <w:autoSpaceDN/>
        <w:bidi w:val="0"/>
        <w:adjustRightInd/>
        <w:snapToGrid/>
        <w:spacing w:beforeAutospacing="0" w:afterAutospacing="0" w:line="560" w:lineRule="exact"/>
        <w:ind w:left="0" w:firstLine="64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动用预算稳定调节基金</w:t>
      </w:r>
      <w:r>
        <w:rPr>
          <w:rFonts w:hint="default" w:ascii="Times New Roman" w:hAnsi="Times New Roman" w:eastAsia="仿宋" w:cs="Times New Roman"/>
          <w:color w:val="auto"/>
          <w:sz w:val="32"/>
          <w:szCs w:val="32"/>
          <w:highlight w:val="none"/>
          <w:lang w:val="en-US" w:eastAsia="zh-CN"/>
        </w:rPr>
        <w:t>2143</w:t>
      </w:r>
      <w:r>
        <w:rPr>
          <w:rFonts w:hint="default" w:ascii="Times New Roman" w:hAnsi="Times New Roman" w:eastAsia="仿宋" w:cs="Times New Roman"/>
          <w:color w:val="auto"/>
          <w:sz w:val="32"/>
          <w:szCs w:val="32"/>
          <w:highlight w:val="none"/>
        </w:rPr>
        <w:t>万元，已安排到</w:t>
      </w:r>
      <w:r>
        <w:rPr>
          <w:rFonts w:hint="default" w:ascii="Times New Roman" w:hAnsi="Times New Roman" w:eastAsia="仿宋" w:cs="Times New Roman"/>
          <w:color w:val="auto"/>
          <w:sz w:val="32"/>
          <w:szCs w:val="32"/>
          <w:highlight w:val="none"/>
          <w:lang w:eastAsia="zh-CN"/>
        </w:rPr>
        <w:t>卫生健康支出</w:t>
      </w:r>
      <w:r>
        <w:rPr>
          <w:rFonts w:hint="default" w:ascii="Times New Roman" w:hAnsi="Times New Roman" w:eastAsia="仿宋" w:cs="Times New Roman"/>
          <w:color w:val="auto"/>
          <w:sz w:val="32"/>
          <w:szCs w:val="32"/>
          <w:highlight w:val="none"/>
        </w:rPr>
        <w:t>、节能环保支出</w:t>
      </w:r>
      <w:r>
        <w:rPr>
          <w:rFonts w:hint="default" w:ascii="Times New Roman" w:hAnsi="Times New Roman" w:eastAsia="仿宋" w:cs="Times New Roman"/>
          <w:color w:val="auto"/>
          <w:sz w:val="32"/>
          <w:szCs w:val="32"/>
          <w:highlight w:val="none"/>
          <w:lang w:eastAsia="zh-CN"/>
        </w:rPr>
        <w:t>、城乡社区支出、</w:t>
      </w:r>
      <w:r>
        <w:rPr>
          <w:rFonts w:hint="default" w:ascii="Times New Roman" w:hAnsi="Times New Roman" w:eastAsia="仿宋" w:cs="Times New Roman"/>
          <w:color w:val="auto"/>
          <w:kern w:val="0"/>
          <w:sz w:val="32"/>
          <w:szCs w:val="32"/>
          <w:highlight w:val="none"/>
        </w:rPr>
        <w:t>农林水支出、交通运输支出</w:t>
      </w:r>
      <w:r>
        <w:rPr>
          <w:rFonts w:hint="default" w:ascii="Times New Roman" w:hAnsi="Times New Roman" w:eastAsia="仿宋" w:cs="Times New Roman"/>
          <w:color w:val="auto"/>
          <w:kern w:val="0"/>
          <w:sz w:val="32"/>
          <w:szCs w:val="32"/>
          <w:highlight w:val="none"/>
          <w:lang w:eastAsia="zh-CN"/>
        </w:rPr>
        <w:t>等</w:t>
      </w:r>
      <w:r>
        <w:rPr>
          <w:rFonts w:hint="default" w:ascii="Times New Roman" w:hAnsi="Times New Roman" w:eastAsia="仿宋" w:cs="Times New Roman"/>
          <w:color w:val="auto"/>
          <w:kern w:val="0"/>
          <w:sz w:val="32"/>
          <w:szCs w:val="32"/>
          <w:highlight w:val="none"/>
          <w:lang w:val="en-US" w:eastAsia="zh-CN"/>
        </w:rPr>
        <w:t>具体项目上</w:t>
      </w:r>
      <w:r>
        <w:rPr>
          <w:rFonts w:hint="default" w:ascii="Times New Roman" w:hAnsi="Times New Roman" w:eastAsia="仿宋" w:cs="Times New Roman"/>
          <w:color w:val="auto"/>
          <w:sz w:val="32"/>
          <w:szCs w:val="32"/>
          <w:highlight w:val="none"/>
        </w:rPr>
        <w:t>。</w:t>
      </w:r>
    </w:p>
    <w:p>
      <w:pPr>
        <w:spacing w:line="560" w:lineRule="exact"/>
        <w:ind w:firstLine="640" w:firstLineChars="200"/>
        <w:rPr>
          <w:rFonts w:ascii="Times New Roman" w:hAnsi="Times New Roman" w:eastAsia="楷体" w:cs="楷体"/>
          <w:sz w:val="32"/>
          <w:szCs w:val="32"/>
        </w:rPr>
      </w:pPr>
      <w:r>
        <w:rPr>
          <w:rFonts w:hint="eastAsia" w:ascii="Times New Roman" w:hAnsi="Times New Roman" w:eastAsia="楷体" w:cs="楷体"/>
          <w:sz w:val="32"/>
          <w:szCs w:val="32"/>
        </w:rPr>
        <w:t>（二）政府性基金预算</w:t>
      </w:r>
      <w:r>
        <w:rPr>
          <w:rStyle w:val="14"/>
          <w:rFonts w:hint="eastAsia" w:ascii="Times New Roman" w:hAnsi="Times New Roman" w:eastAsia="楷体" w:cs="楷体"/>
          <w:sz w:val="32"/>
          <w:szCs w:val="32"/>
        </w:rPr>
        <w:endnoteReference w:id="4" w:customMarkFollows="1"/>
        <w:t>注</w:t>
      </w:r>
      <w:r>
        <w:rPr>
          <w:rFonts w:hint="eastAsia" w:ascii="Times New Roman" w:hAnsi="Times New Roman" w:eastAsia="楷体" w:cs="楷体"/>
          <w:sz w:val="32"/>
          <w:szCs w:val="32"/>
          <w:vertAlign w:val="superscript"/>
        </w:rPr>
        <w:t>6</w:t>
      </w:r>
      <w:r>
        <w:rPr>
          <w:rFonts w:hint="eastAsia" w:ascii="Times New Roman" w:hAnsi="Times New Roman" w:eastAsia="楷体" w:cs="楷体"/>
          <w:sz w:val="32"/>
          <w:szCs w:val="32"/>
        </w:rPr>
        <w:t>预计执行情况</w:t>
      </w:r>
    </w:p>
    <w:p>
      <w:pPr>
        <w:adjustRightInd w:val="0"/>
        <w:snapToGrid w:val="0"/>
        <w:spacing w:line="560" w:lineRule="exact"/>
        <w:ind w:firstLine="640"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政府性基金预算总收入预计完成</w:t>
      </w:r>
      <w:r>
        <w:rPr>
          <w:rFonts w:hint="default" w:ascii="Times New Roman" w:hAnsi="Times New Roman" w:eastAsia="仿宋" w:cs="Times New Roman"/>
          <w:color w:val="auto"/>
          <w:sz w:val="32"/>
          <w:szCs w:val="32"/>
          <w:highlight w:val="none"/>
          <w:lang w:val="en-US" w:eastAsia="zh-CN"/>
        </w:rPr>
        <w:t>33</w:t>
      </w:r>
      <w:r>
        <w:rPr>
          <w:rFonts w:hint="eastAsia"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lang w:val="en-US" w:eastAsia="zh-CN"/>
        </w:rPr>
        <w:t>910</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其中：</w:t>
      </w:r>
      <w:r>
        <w:rPr>
          <w:rFonts w:hint="default" w:ascii="Times New Roman" w:hAnsi="Times New Roman" w:eastAsia="仿宋" w:cs="Times New Roman"/>
          <w:color w:val="auto"/>
          <w:sz w:val="32"/>
          <w:szCs w:val="32"/>
          <w:highlight w:val="none"/>
        </w:rPr>
        <w:t>政府性基金收入预计完成18</w:t>
      </w:r>
      <w:r>
        <w:rPr>
          <w:rFonts w:hint="eastAsia"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rPr>
        <w:t>000万元，</w:t>
      </w:r>
      <w:r>
        <w:rPr>
          <w:rFonts w:hint="default" w:ascii="Times New Roman" w:hAnsi="Times New Roman" w:eastAsia="仿宋" w:cs="Times New Roman"/>
          <w:color w:val="auto"/>
          <w:kern w:val="0"/>
          <w:sz w:val="32"/>
          <w:szCs w:val="32"/>
          <w:highlight w:val="none"/>
        </w:rPr>
        <w:t>同比增长</w:t>
      </w:r>
      <w:r>
        <w:rPr>
          <w:rFonts w:hint="eastAsia" w:ascii="Times New Roman" w:hAnsi="Times New Roman" w:eastAsia="仿宋" w:cs="Times New Roman"/>
          <w:color w:val="auto"/>
          <w:kern w:val="0"/>
          <w:sz w:val="32"/>
          <w:szCs w:val="32"/>
          <w:highlight w:val="none"/>
          <w:lang w:val="en-US" w:eastAsia="zh-CN"/>
        </w:rPr>
        <w:t>-0.37</w:t>
      </w:r>
      <w:r>
        <w:rPr>
          <w:rFonts w:hint="default" w:ascii="Times New Roman" w:hAnsi="Times New Roman" w:eastAsia="仿宋" w:cs="Times New Roman"/>
          <w:color w:val="auto"/>
          <w:kern w:val="0"/>
          <w:sz w:val="32"/>
          <w:szCs w:val="32"/>
          <w:highlight w:val="none"/>
        </w:rPr>
        <w:t>%</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sz w:val="32"/>
          <w:szCs w:val="32"/>
          <w:highlight w:val="none"/>
        </w:rPr>
        <w:t>上级补助收入</w:t>
      </w:r>
      <w:r>
        <w:rPr>
          <w:rFonts w:hint="default" w:ascii="Times New Roman" w:hAnsi="Times New Roman" w:eastAsia="仿宋" w:cs="Times New Roman"/>
          <w:color w:val="auto"/>
          <w:sz w:val="32"/>
          <w:szCs w:val="32"/>
          <w:highlight w:val="none"/>
          <w:lang w:val="en-US" w:eastAsia="zh-CN"/>
        </w:rPr>
        <w:t>4626</w:t>
      </w:r>
      <w:r>
        <w:rPr>
          <w:rFonts w:hint="default" w:ascii="Times New Roman" w:hAnsi="Times New Roman" w:eastAsia="仿宋" w:cs="Times New Roman"/>
          <w:color w:val="auto"/>
          <w:sz w:val="32"/>
          <w:szCs w:val="32"/>
          <w:highlight w:val="none"/>
        </w:rPr>
        <w:t>万元、上年结转项目资金</w:t>
      </w:r>
      <w:r>
        <w:rPr>
          <w:rFonts w:hint="default" w:ascii="Times New Roman" w:hAnsi="Times New Roman" w:eastAsia="仿宋" w:cs="Times New Roman"/>
          <w:color w:val="auto"/>
          <w:sz w:val="32"/>
          <w:szCs w:val="32"/>
          <w:highlight w:val="none"/>
          <w:lang w:val="en-US" w:eastAsia="zh-CN"/>
        </w:rPr>
        <w:t>5365</w:t>
      </w:r>
      <w:r>
        <w:rPr>
          <w:rFonts w:hint="default" w:ascii="Times New Roman" w:hAnsi="Times New Roman" w:eastAsia="仿宋" w:cs="Times New Roman"/>
          <w:color w:val="auto"/>
          <w:sz w:val="32"/>
          <w:szCs w:val="32"/>
          <w:highlight w:val="none"/>
        </w:rPr>
        <w:t>万元、地方政府专项债务转贷收入</w:t>
      </w:r>
      <w:r>
        <w:rPr>
          <w:rFonts w:hint="default" w:ascii="Times New Roman" w:hAnsi="Times New Roman" w:eastAsia="仿宋" w:cs="Times New Roman"/>
          <w:color w:val="auto"/>
          <w:sz w:val="32"/>
          <w:szCs w:val="32"/>
          <w:highlight w:val="none"/>
          <w:lang w:val="en-US" w:eastAsia="zh-CN"/>
        </w:rPr>
        <w:t>141919</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eastAsia="zh-CN"/>
        </w:rPr>
        <w:t>。</w:t>
      </w:r>
    </w:p>
    <w:p>
      <w:pPr>
        <w:adjustRightInd w:val="0"/>
        <w:snapToGrid w:val="0"/>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政府性基金预算总支出预计完成</w:t>
      </w:r>
      <w:r>
        <w:rPr>
          <w:rFonts w:hint="default" w:ascii="Times New Roman" w:hAnsi="Times New Roman" w:eastAsia="仿宋" w:cs="Times New Roman"/>
          <w:color w:val="auto"/>
          <w:sz w:val="32"/>
          <w:szCs w:val="32"/>
          <w:highlight w:val="none"/>
          <w:lang w:val="en-US" w:eastAsia="zh-CN"/>
        </w:rPr>
        <w:t>33</w:t>
      </w:r>
      <w:r>
        <w:rPr>
          <w:rFonts w:hint="eastAsia"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lang w:val="en-US" w:eastAsia="zh-CN"/>
        </w:rPr>
        <w:t>910</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其中：</w:t>
      </w:r>
      <w:r>
        <w:rPr>
          <w:rFonts w:hint="default" w:ascii="Times New Roman" w:hAnsi="Times New Roman" w:eastAsia="仿宋" w:cs="Times New Roman"/>
          <w:color w:val="auto"/>
          <w:sz w:val="32"/>
          <w:szCs w:val="32"/>
          <w:highlight w:val="none"/>
        </w:rPr>
        <w:t>政府性基金支出预计完成</w:t>
      </w:r>
      <w:r>
        <w:rPr>
          <w:rFonts w:hint="default" w:ascii="Times New Roman" w:hAnsi="Times New Roman" w:eastAsia="仿宋" w:cs="Times New Roman"/>
          <w:color w:val="auto"/>
          <w:sz w:val="32"/>
          <w:szCs w:val="32"/>
          <w:highlight w:val="none"/>
          <w:lang w:val="en-US" w:eastAsia="zh-CN"/>
        </w:rPr>
        <w:t>2</w:t>
      </w:r>
      <w:r>
        <w:rPr>
          <w:rFonts w:hint="eastAsia" w:ascii="Times New Roman" w:hAnsi="Times New Roman" w:eastAsia="仿宋" w:cs="Times New Roman"/>
          <w:color w:val="auto"/>
          <w:sz w:val="32"/>
          <w:szCs w:val="32"/>
          <w:highlight w:val="none"/>
          <w:lang w:val="en-US" w:eastAsia="zh-CN"/>
        </w:rPr>
        <w:t>45</w:t>
      </w:r>
      <w:r>
        <w:rPr>
          <w:rFonts w:hint="default" w:ascii="Times New Roman" w:hAnsi="Times New Roman" w:eastAsia="仿宋" w:cs="Times New Roman"/>
          <w:color w:val="auto"/>
          <w:sz w:val="32"/>
          <w:szCs w:val="32"/>
          <w:highlight w:val="none"/>
          <w:lang w:val="en-US" w:eastAsia="zh-CN"/>
        </w:rPr>
        <w:t>659</w:t>
      </w:r>
      <w:r>
        <w:rPr>
          <w:rFonts w:hint="default" w:ascii="Times New Roman" w:hAnsi="Times New Roman" w:eastAsia="仿宋" w:cs="Times New Roman"/>
          <w:color w:val="auto"/>
          <w:sz w:val="32"/>
          <w:szCs w:val="32"/>
          <w:highlight w:val="none"/>
        </w:rPr>
        <w:t>万元、上解支出2万元、地方政府专项债务还本支出</w:t>
      </w:r>
      <w:r>
        <w:rPr>
          <w:rFonts w:hint="default" w:ascii="Times New Roman" w:hAnsi="Times New Roman" w:eastAsia="仿宋" w:cs="Times New Roman"/>
          <w:color w:val="auto"/>
          <w:sz w:val="32"/>
          <w:szCs w:val="32"/>
          <w:highlight w:val="none"/>
          <w:lang w:val="en-US" w:eastAsia="zh-CN"/>
        </w:rPr>
        <w:t>39249</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结转结余</w:t>
      </w:r>
      <w:r>
        <w:rPr>
          <w:rFonts w:hint="default" w:ascii="Times New Roman" w:hAnsi="Times New Roman" w:eastAsia="仿宋" w:cs="Times New Roman"/>
          <w:color w:val="auto"/>
          <w:sz w:val="32"/>
          <w:szCs w:val="32"/>
          <w:highlight w:val="none"/>
        </w:rPr>
        <w:t>4000万元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调出资金</w:t>
      </w:r>
      <w:r>
        <w:rPr>
          <w:rFonts w:hint="default" w:ascii="Times New Roman" w:hAnsi="Times New Roman" w:eastAsia="仿宋" w:cs="Times New Roman"/>
          <w:color w:val="auto"/>
          <w:sz w:val="32"/>
          <w:szCs w:val="32"/>
          <w:highlight w:val="none"/>
          <w:lang w:val="en-US" w:eastAsia="zh-CN"/>
        </w:rPr>
        <w:t>5</w:t>
      </w:r>
      <w:r>
        <w:rPr>
          <w:rFonts w:hint="eastAsia"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lang w:val="en-US" w:eastAsia="zh-CN"/>
        </w:rPr>
        <w:t>000</w:t>
      </w:r>
      <w:r>
        <w:rPr>
          <w:rFonts w:hint="default" w:ascii="Times New Roman" w:hAnsi="Times New Roman" w:eastAsia="仿宋" w:cs="Times New Roman"/>
          <w:color w:val="auto"/>
          <w:sz w:val="32"/>
          <w:szCs w:val="32"/>
          <w:highlight w:val="none"/>
        </w:rPr>
        <w:t>万元，当年政府性基金预算收支平衡。</w:t>
      </w:r>
    </w:p>
    <w:p>
      <w:pPr>
        <w:spacing w:line="560" w:lineRule="exact"/>
        <w:ind w:firstLine="640" w:firstLineChars="200"/>
        <w:rPr>
          <w:rFonts w:hint="eastAsia" w:ascii="Times New Roman" w:hAnsi="Times New Roman" w:eastAsia="楷体" w:cs="楷体"/>
          <w:sz w:val="32"/>
          <w:szCs w:val="32"/>
          <w:lang w:val="en-US" w:eastAsia="zh-CN"/>
        </w:rPr>
      </w:pPr>
      <w:r>
        <w:rPr>
          <w:rFonts w:hint="eastAsia" w:ascii="Times New Roman" w:hAnsi="Times New Roman" w:eastAsia="楷体" w:cs="楷体"/>
          <w:sz w:val="32"/>
          <w:szCs w:val="32"/>
        </w:rPr>
        <w:t>（三）地方政府债务</w:t>
      </w:r>
      <w:r>
        <w:rPr>
          <w:rFonts w:hint="eastAsia" w:ascii="Times New Roman" w:hAnsi="Times New Roman" w:eastAsia="楷体" w:cs="楷体"/>
          <w:sz w:val="32"/>
          <w:szCs w:val="32"/>
          <w:lang w:val="en-US" w:eastAsia="zh-CN"/>
        </w:rPr>
        <w:t>情况</w:t>
      </w:r>
    </w:p>
    <w:p>
      <w:pPr>
        <w:suppressAutoHyphens/>
        <w:spacing w:line="560" w:lineRule="exact"/>
        <w:ind w:firstLine="645"/>
        <w:rPr>
          <w:rFonts w:hint="default" w:ascii="Times New Roman" w:hAnsi="Times New Roman" w:eastAsia="仿宋" w:cs="Times New Roman"/>
          <w:color w:val="auto"/>
          <w:spacing w:val="0"/>
          <w:kern w:val="0"/>
          <w:sz w:val="32"/>
          <w:szCs w:val="32"/>
          <w:highlight w:val="none"/>
          <w:lang w:val="en-US" w:eastAsia="zh-CN" w:bidi="ar-SA"/>
        </w:rPr>
      </w:pPr>
      <w:r>
        <w:rPr>
          <w:rFonts w:hint="default" w:ascii="Times New Roman" w:hAnsi="Times New Roman" w:eastAsia="仿宋" w:cs="Times New Roman"/>
          <w:color w:val="auto"/>
          <w:spacing w:val="0"/>
          <w:kern w:val="0"/>
          <w:sz w:val="32"/>
          <w:szCs w:val="32"/>
          <w:highlight w:val="none"/>
          <w:lang w:val="zh-CN" w:eastAsia="zh-CN" w:bidi="ar-SA"/>
        </w:rPr>
        <w:t>202</w:t>
      </w:r>
      <w:r>
        <w:rPr>
          <w:rFonts w:hint="default" w:ascii="Times New Roman" w:hAnsi="Times New Roman" w:eastAsia="仿宋" w:cs="Times New Roman"/>
          <w:color w:val="auto"/>
          <w:spacing w:val="0"/>
          <w:kern w:val="0"/>
          <w:sz w:val="32"/>
          <w:szCs w:val="32"/>
          <w:highlight w:val="none"/>
          <w:lang w:val="en-US" w:eastAsia="zh-CN" w:bidi="ar-SA"/>
        </w:rPr>
        <w:t>4</w:t>
      </w:r>
      <w:r>
        <w:rPr>
          <w:rFonts w:hint="default" w:ascii="Times New Roman" w:hAnsi="Times New Roman" w:eastAsia="仿宋" w:cs="Times New Roman"/>
          <w:color w:val="auto"/>
          <w:spacing w:val="0"/>
          <w:kern w:val="0"/>
          <w:sz w:val="32"/>
          <w:szCs w:val="32"/>
          <w:highlight w:val="none"/>
          <w:lang w:val="zh-CN" w:eastAsia="zh-CN" w:bidi="ar-SA"/>
        </w:rPr>
        <w:t>年末全县地方政府债务余额</w:t>
      </w:r>
      <w:r>
        <w:rPr>
          <w:rFonts w:hint="default" w:ascii="Times New Roman" w:hAnsi="Times New Roman" w:eastAsia="仿宋" w:cs="Times New Roman"/>
          <w:color w:val="auto"/>
          <w:spacing w:val="0"/>
          <w:kern w:val="0"/>
          <w:sz w:val="32"/>
          <w:szCs w:val="32"/>
          <w:highlight w:val="none"/>
          <w:lang w:val="en-US" w:eastAsia="zh-CN" w:bidi="ar-SA"/>
        </w:rPr>
        <w:t>1197720</w:t>
      </w:r>
      <w:r>
        <w:rPr>
          <w:rFonts w:hint="default" w:ascii="Times New Roman" w:hAnsi="Times New Roman" w:eastAsia="仿宋" w:cs="Times New Roman"/>
          <w:color w:val="auto"/>
          <w:spacing w:val="0"/>
          <w:kern w:val="0"/>
          <w:sz w:val="32"/>
          <w:szCs w:val="32"/>
          <w:highlight w:val="none"/>
          <w:lang w:val="zh-CN" w:eastAsia="zh-CN" w:bidi="ar-SA"/>
        </w:rPr>
        <w:t>万元。</w:t>
      </w:r>
      <w:r>
        <w:rPr>
          <w:rFonts w:hint="default" w:ascii="Times New Roman" w:hAnsi="Times New Roman" w:eastAsia="仿宋" w:cs="Times New Roman"/>
          <w:color w:val="auto"/>
          <w:spacing w:val="0"/>
          <w:kern w:val="0"/>
          <w:sz w:val="32"/>
          <w:szCs w:val="32"/>
          <w:highlight w:val="none"/>
          <w:lang w:val="en-US" w:eastAsia="zh-CN" w:bidi="ar-SA"/>
        </w:rPr>
        <w:t>2025年共发行债券163968万元</w:t>
      </w:r>
      <w:r>
        <w:rPr>
          <w:rFonts w:hint="eastAsia" w:ascii="Times New Roman" w:hAnsi="Times New Roman" w:eastAsia="仿宋" w:cs="Times New Roman"/>
          <w:color w:val="auto"/>
          <w:spacing w:val="0"/>
          <w:kern w:val="0"/>
          <w:sz w:val="32"/>
          <w:szCs w:val="32"/>
          <w:highlight w:val="none"/>
          <w:lang w:val="en-US" w:eastAsia="zh-CN" w:bidi="ar-SA"/>
        </w:rPr>
        <w:t>，</w:t>
      </w:r>
      <w:r>
        <w:rPr>
          <w:rFonts w:hint="default" w:ascii="Times New Roman" w:hAnsi="Times New Roman" w:eastAsia="仿宋" w:cs="Times New Roman"/>
          <w:color w:val="auto"/>
          <w:spacing w:val="0"/>
          <w:kern w:val="0"/>
          <w:sz w:val="32"/>
          <w:szCs w:val="32"/>
          <w:highlight w:val="none"/>
          <w:lang w:val="en-US" w:eastAsia="zh-CN" w:bidi="ar-SA"/>
        </w:rPr>
        <w:t>2025年</w:t>
      </w:r>
      <w:r>
        <w:rPr>
          <w:rFonts w:hint="default" w:ascii="Times New Roman" w:hAnsi="Times New Roman" w:eastAsia="仿宋" w:cs="Times New Roman"/>
          <w:color w:val="auto"/>
          <w:spacing w:val="0"/>
          <w:kern w:val="0"/>
          <w:sz w:val="32"/>
          <w:szCs w:val="32"/>
          <w:highlight w:val="none"/>
          <w:lang w:val="zh-CN" w:eastAsia="zh-CN" w:bidi="ar-SA"/>
        </w:rPr>
        <w:t>偿还到期政府债券本金</w:t>
      </w:r>
      <w:r>
        <w:rPr>
          <w:rFonts w:hint="default" w:ascii="Times New Roman" w:hAnsi="Times New Roman" w:eastAsia="仿宋" w:cs="Times New Roman"/>
          <w:color w:val="auto"/>
          <w:spacing w:val="0"/>
          <w:kern w:val="0"/>
          <w:sz w:val="32"/>
          <w:szCs w:val="32"/>
          <w:highlight w:val="none"/>
          <w:lang w:val="en-US" w:eastAsia="zh-CN" w:bidi="ar-SA"/>
        </w:rPr>
        <w:t>10325</w:t>
      </w:r>
      <w:r>
        <w:rPr>
          <w:rFonts w:hint="default" w:ascii="Times New Roman" w:hAnsi="Times New Roman" w:eastAsia="仿宋" w:cs="Times New Roman"/>
          <w:color w:val="auto"/>
          <w:spacing w:val="0"/>
          <w:kern w:val="0"/>
          <w:sz w:val="32"/>
          <w:szCs w:val="32"/>
          <w:highlight w:val="none"/>
          <w:lang w:val="zh-CN" w:eastAsia="zh-CN" w:bidi="ar-SA"/>
        </w:rPr>
        <w:t>万元，</w:t>
      </w:r>
      <w:r>
        <w:rPr>
          <w:rFonts w:hint="eastAsia" w:ascii="Times New Roman" w:hAnsi="Times New Roman" w:eastAsia="仿宋" w:cs="Times New Roman"/>
          <w:color w:val="auto"/>
          <w:spacing w:val="0"/>
          <w:kern w:val="0"/>
          <w:sz w:val="32"/>
          <w:szCs w:val="32"/>
          <w:highlight w:val="none"/>
          <w:lang w:val="en-US" w:eastAsia="zh-CN" w:bidi="ar-SA"/>
        </w:rPr>
        <w:t>预计2025年末</w:t>
      </w:r>
      <w:r>
        <w:rPr>
          <w:rFonts w:hint="default" w:ascii="Times New Roman" w:hAnsi="Times New Roman" w:eastAsia="仿宋" w:cs="Times New Roman"/>
          <w:color w:val="auto"/>
          <w:spacing w:val="0"/>
          <w:kern w:val="0"/>
          <w:sz w:val="32"/>
          <w:szCs w:val="32"/>
          <w:highlight w:val="none"/>
          <w:lang w:val="zh-CN" w:eastAsia="zh-CN" w:bidi="ar-SA"/>
        </w:rPr>
        <w:t>债务余额</w:t>
      </w:r>
      <w:r>
        <w:rPr>
          <w:rFonts w:hint="default" w:ascii="Times New Roman" w:hAnsi="Times New Roman" w:eastAsia="仿宋" w:cs="Times New Roman"/>
          <w:color w:val="auto"/>
          <w:spacing w:val="0"/>
          <w:kern w:val="0"/>
          <w:sz w:val="32"/>
          <w:szCs w:val="32"/>
          <w:highlight w:val="none"/>
          <w:lang w:val="en-US" w:eastAsia="zh-CN" w:bidi="ar-SA"/>
        </w:rPr>
        <w:t>1351363</w:t>
      </w:r>
      <w:r>
        <w:rPr>
          <w:rFonts w:hint="default" w:ascii="Times New Roman" w:hAnsi="Times New Roman" w:eastAsia="仿宋" w:cs="Times New Roman"/>
          <w:color w:val="auto"/>
          <w:spacing w:val="0"/>
          <w:kern w:val="0"/>
          <w:sz w:val="32"/>
          <w:szCs w:val="32"/>
          <w:highlight w:val="none"/>
          <w:lang w:val="zh-CN" w:eastAsia="zh-CN" w:bidi="ar-SA"/>
        </w:rPr>
        <w:t>万元，较202</w:t>
      </w:r>
      <w:r>
        <w:rPr>
          <w:rFonts w:hint="default" w:ascii="Times New Roman" w:hAnsi="Times New Roman" w:eastAsia="仿宋" w:cs="Times New Roman"/>
          <w:color w:val="auto"/>
          <w:spacing w:val="0"/>
          <w:kern w:val="0"/>
          <w:sz w:val="32"/>
          <w:szCs w:val="32"/>
          <w:highlight w:val="none"/>
          <w:lang w:val="en-US" w:eastAsia="zh-CN" w:bidi="ar-SA"/>
        </w:rPr>
        <w:t>4</w:t>
      </w:r>
      <w:r>
        <w:rPr>
          <w:rFonts w:hint="default" w:ascii="Times New Roman" w:hAnsi="Times New Roman" w:eastAsia="仿宋" w:cs="Times New Roman"/>
          <w:color w:val="auto"/>
          <w:spacing w:val="0"/>
          <w:kern w:val="0"/>
          <w:sz w:val="32"/>
          <w:szCs w:val="32"/>
          <w:highlight w:val="none"/>
          <w:lang w:val="zh-CN" w:eastAsia="zh-CN" w:bidi="ar-SA"/>
        </w:rPr>
        <w:t>年末增加</w:t>
      </w:r>
      <w:r>
        <w:rPr>
          <w:rFonts w:hint="default" w:ascii="Times New Roman" w:hAnsi="Times New Roman" w:eastAsia="仿宋" w:cs="Times New Roman"/>
          <w:color w:val="auto"/>
          <w:spacing w:val="0"/>
          <w:kern w:val="0"/>
          <w:sz w:val="32"/>
          <w:szCs w:val="32"/>
          <w:highlight w:val="none"/>
          <w:lang w:val="en-US" w:eastAsia="zh-CN" w:bidi="ar-SA"/>
        </w:rPr>
        <w:t>153643</w:t>
      </w:r>
      <w:r>
        <w:rPr>
          <w:rFonts w:hint="default" w:ascii="Times New Roman" w:hAnsi="Times New Roman" w:eastAsia="仿宋" w:cs="Times New Roman"/>
          <w:color w:val="auto"/>
          <w:spacing w:val="0"/>
          <w:kern w:val="0"/>
          <w:sz w:val="32"/>
          <w:szCs w:val="32"/>
          <w:highlight w:val="none"/>
          <w:lang w:val="zh-CN" w:eastAsia="zh-CN" w:bidi="ar-SA"/>
        </w:rPr>
        <w:t>万元，控制在省财政厅下达的</w:t>
      </w:r>
      <w:r>
        <w:rPr>
          <w:rFonts w:hint="eastAsia" w:ascii="Times New Roman" w:hAnsi="Times New Roman" w:eastAsia="仿宋" w:cs="Times New Roman"/>
          <w:color w:val="auto"/>
          <w:spacing w:val="0"/>
          <w:kern w:val="0"/>
          <w:sz w:val="32"/>
          <w:szCs w:val="32"/>
          <w:highlight w:val="none"/>
          <w:lang w:val="en-US" w:eastAsia="zh-CN" w:bidi="ar-SA"/>
        </w:rPr>
        <w:t>1398527</w:t>
      </w:r>
      <w:r>
        <w:rPr>
          <w:rFonts w:hint="default" w:ascii="Times New Roman" w:hAnsi="Times New Roman" w:eastAsia="仿宋" w:cs="Times New Roman"/>
          <w:color w:val="auto"/>
          <w:spacing w:val="0"/>
          <w:kern w:val="0"/>
          <w:sz w:val="32"/>
          <w:szCs w:val="32"/>
          <w:highlight w:val="none"/>
          <w:lang w:val="zh-CN" w:eastAsia="zh-CN" w:bidi="ar-SA"/>
        </w:rPr>
        <w:t>万元限额内，债务风险总体可控。</w:t>
      </w:r>
    </w:p>
    <w:p>
      <w:pPr>
        <w:suppressAutoHyphens/>
        <w:spacing w:line="560" w:lineRule="exact"/>
        <w:ind w:firstLine="645"/>
        <w:rPr>
          <w:rFonts w:hint="default" w:ascii="Times New Roman" w:hAnsi="Times New Roman" w:eastAsia="仿宋" w:cs="Times New Roman"/>
          <w:color w:val="auto"/>
          <w:spacing w:val="0"/>
          <w:kern w:val="0"/>
          <w:sz w:val="32"/>
          <w:szCs w:val="32"/>
          <w:highlight w:val="none"/>
          <w:lang w:val="en-US" w:eastAsia="zh-CN" w:bidi="ar-SA"/>
        </w:rPr>
      </w:pPr>
      <w:r>
        <w:rPr>
          <w:rFonts w:hint="default" w:ascii="Times New Roman" w:hAnsi="Times New Roman" w:eastAsia="仿宋" w:cs="Times New Roman"/>
          <w:color w:val="auto"/>
          <w:spacing w:val="0"/>
          <w:kern w:val="0"/>
          <w:sz w:val="32"/>
          <w:szCs w:val="32"/>
          <w:highlight w:val="none"/>
          <w:lang w:val="en-US" w:eastAsia="zh-CN" w:bidi="ar-SA"/>
        </w:rPr>
        <w:t>分类型看，全县一般债务限额</w:t>
      </w:r>
      <w:r>
        <w:rPr>
          <w:rFonts w:hint="eastAsia" w:ascii="Times New Roman" w:hAnsi="Times New Roman" w:eastAsia="仿宋" w:cs="Times New Roman"/>
          <w:color w:val="auto"/>
          <w:spacing w:val="0"/>
          <w:kern w:val="0"/>
          <w:sz w:val="32"/>
          <w:szCs w:val="32"/>
          <w:highlight w:val="none"/>
          <w:lang w:val="en-US" w:eastAsia="zh-CN" w:bidi="ar-SA"/>
        </w:rPr>
        <w:t>381805</w:t>
      </w:r>
      <w:r>
        <w:rPr>
          <w:rFonts w:hint="default" w:ascii="Times New Roman" w:hAnsi="Times New Roman" w:eastAsia="仿宋" w:cs="Times New Roman"/>
          <w:color w:val="auto"/>
          <w:spacing w:val="0"/>
          <w:kern w:val="0"/>
          <w:sz w:val="32"/>
          <w:szCs w:val="32"/>
          <w:highlight w:val="none"/>
          <w:lang w:val="en-US" w:eastAsia="zh-CN" w:bidi="ar-SA"/>
        </w:rPr>
        <w:t>万元，余额374416万元；专项债务限额</w:t>
      </w:r>
      <w:r>
        <w:rPr>
          <w:rFonts w:hint="eastAsia" w:ascii="Times New Roman" w:hAnsi="Times New Roman" w:eastAsia="仿宋" w:cs="Times New Roman"/>
          <w:color w:val="auto"/>
          <w:spacing w:val="0"/>
          <w:kern w:val="0"/>
          <w:sz w:val="32"/>
          <w:szCs w:val="32"/>
          <w:highlight w:val="none"/>
          <w:lang w:val="en-US" w:eastAsia="zh-CN" w:bidi="ar-SA"/>
        </w:rPr>
        <w:t>1016722</w:t>
      </w:r>
      <w:r>
        <w:rPr>
          <w:rFonts w:hint="default" w:ascii="Times New Roman" w:hAnsi="Times New Roman" w:eastAsia="仿宋" w:cs="Times New Roman"/>
          <w:color w:val="auto"/>
          <w:spacing w:val="0"/>
          <w:kern w:val="0"/>
          <w:sz w:val="32"/>
          <w:szCs w:val="32"/>
          <w:highlight w:val="none"/>
          <w:lang w:val="en-US" w:eastAsia="zh-CN" w:bidi="ar-SA"/>
        </w:rPr>
        <w:t>万元，余额976947万元。2025年全县地方政府债务重点</w:t>
      </w:r>
      <w:r>
        <w:rPr>
          <w:rFonts w:hint="eastAsia" w:ascii="Times New Roman" w:hAnsi="Times New Roman" w:eastAsia="仿宋" w:cs="Times New Roman"/>
          <w:color w:val="auto"/>
          <w:spacing w:val="0"/>
          <w:kern w:val="0"/>
          <w:sz w:val="32"/>
          <w:szCs w:val="32"/>
          <w:highlight w:val="none"/>
          <w:lang w:val="en-US" w:eastAsia="zh-CN" w:bidi="ar-SA"/>
        </w:rPr>
        <w:t>用于</w:t>
      </w:r>
      <w:r>
        <w:rPr>
          <w:rFonts w:hint="default" w:ascii="Times New Roman" w:hAnsi="Times New Roman" w:eastAsia="仿宋" w:cs="Times New Roman"/>
          <w:color w:val="auto"/>
          <w:spacing w:val="0"/>
          <w:kern w:val="0"/>
          <w:sz w:val="32"/>
          <w:szCs w:val="32"/>
          <w:highlight w:val="none"/>
          <w:lang w:val="en-US" w:eastAsia="zh-CN" w:bidi="ar-SA"/>
        </w:rPr>
        <w:t>化工园区基础设施、收费公路、教育体育、乡镇污水管网、隐性债务置换等方面。</w:t>
      </w:r>
    </w:p>
    <w:p>
      <w:pPr>
        <w:adjustRightInd w:val="0"/>
        <w:snapToGrid w:val="0"/>
        <w:spacing w:line="560" w:lineRule="exact"/>
        <w:ind w:firstLine="640" w:firstLineChars="200"/>
        <w:rPr>
          <w:rFonts w:ascii="Times New Roman" w:hAnsi="Times New Roman" w:eastAsia="仿宋" w:cs="仿宋"/>
          <w:sz w:val="32"/>
          <w:szCs w:val="32"/>
        </w:rPr>
      </w:pPr>
      <w:r>
        <w:rPr>
          <w:rFonts w:hint="default" w:ascii="Times New Roman" w:hAnsi="Times New Roman" w:eastAsia="仿宋" w:cs="Times New Roman"/>
          <w:color w:val="auto"/>
          <w:sz w:val="32"/>
          <w:szCs w:val="32"/>
          <w:highlight w:val="none"/>
        </w:rPr>
        <w:t>以上202</w:t>
      </w: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rPr>
        <w:t>年全县预算预计执行情况，请予以审查。由于年度未结束且与省、市财政年度结算未办理，按规定对有关结算事项进行清理，会产生一些结算变化，待省财政厅批复202</w:t>
      </w: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rPr>
        <w:t>年度财政收支决算后，再按规定向县人大常委会报告。</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ascii="Times New Roman" w:hAnsi="Times New Roman" w:eastAsia="黑体" w:cs="黑体"/>
          <w:sz w:val="32"/>
          <w:szCs w:val="32"/>
        </w:rPr>
      </w:pPr>
      <w:r>
        <w:rPr>
          <w:rFonts w:hint="eastAsia" w:ascii="Times New Roman" w:hAnsi="Times New Roman" w:eastAsia="黑体" w:cs="黑体"/>
          <w:sz w:val="32"/>
          <w:szCs w:val="32"/>
        </w:rPr>
        <w:t>二、落实县人大预算决议和重点支出政策等情况</w:t>
      </w:r>
    </w:p>
    <w:p>
      <w:pPr>
        <w:spacing w:line="560" w:lineRule="exact"/>
        <w:ind w:firstLine="640" w:firstLineChars="200"/>
        <w:rPr>
          <w:rFonts w:hint="default" w:ascii="Times New Roman" w:hAnsi="Times New Roman" w:eastAsia="仿宋" w:cs="Times New Roman"/>
          <w:color w:val="auto"/>
          <w:kern w:val="0"/>
          <w:sz w:val="32"/>
          <w:szCs w:val="32"/>
          <w:highlight w:val="none"/>
          <w:shd w:val="clear" w:color="auto" w:fill="FFFFFF"/>
        </w:rPr>
      </w:pPr>
      <w:r>
        <w:rPr>
          <w:rFonts w:hint="default" w:ascii="Times New Roman" w:hAnsi="Times New Roman" w:eastAsia="仿宋" w:cs="Times New Roman"/>
          <w:bCs/>
          <w:color w:val="auto"/>
          <w:sz w:val="32"/>
          <w:szCs w:val="32"/>
          <w:highlight w:val="none"/>
        </w:rPr>
        <w:t>202</w:t>
      </w:r>
      <w:r>
        <w:rPr>
          <w:rFonts w:hint="default" w:ascii="Times New Roman" w:hAnsi="Times New Roman" w:eastAsia="仿宋" w:cs="Times New Roman"/>
          <w:bCs/>
          <w:color w:val="auto"/>
          <w:sz w:val="32"/>
          <w:szCs w:val="32"/>
          <w:highlight w:val="none"/>
          <w:lang w:val="en-US" w:eastAsia="zh-CN"/>
        </w:rPr>
        <w:t>5</w:t>
      </w:r>
      <w:r>
        <w:rPr>
          <w:rFonts w:hint="default" w:ascii="Times New Roman" w:hAnsi="Times New Roman" w:eastAsia="仿宋" w:cs="Times New Roman"/>
          <w:bCs/>
          <w:color w:val="auto"/>
          <w:sz w:val="32"/>
          <w:szCs w:val="32"/>
          <w:highlight w:val="none"/>
        </w:rPr>
        <w:t>年，</w:t>
      </w:r>
      <w:r>
        <w:rPr>
          <w:rFonts w:hint="default" w:ascii="Times New Roman" w:hAnsi="Times New Roman" w:eastAsia="仿宋" w:cs="Times New Roman"/>
          <w:color w:val="auto"/>
          <w:sz w:val="32"/>
          <w:szCs w:val="32"/>
          <w:lang w:val="en-US" w:eastAsia="zh-CN"/>
        </w:rPr>
        <w:t>我们坚决贯彻</w:t>
      </w:r>
      <w:r>
        <w:rPr>
          <w:rFonts w:hint="default" w:ascii="Times New Roman" w:hAnsi="Times New Roman" w:eastAsia="仿宋" w:cs="Times New Roman"/>
          <w:bCs/>
          <w:color w:val="auto"/>
          <w:sz w:val="32"/>
          <w:szCs w:val="32"/>
          <w:highlight w:val="none"/>
        </w:rPr>
        <w:t>党中央、国务院决策部署，</w:t>
      </w:r>
      <w:r>
        <w:rPr>
          <w:rFonts w:hint="default" w:ascii="Times New Roman" w:hAnsi="Times New Roman" w:eastAsia="仿宋" w:cs="Times New Roman"/>
          <w:color w:val="auto"/>
          <w:sz w:val="32"/>
          <w:szCs w:val="32"/>
          <w:lang w:val="en-US" w:eastAsia="zh-CN"/>
        </w:rPr>
        <w:t>严格执行</w:t>
      </w:r>
      <w:r>
        <w:rPr>
          <w:rFonts w:hint="default" w:ascii="Times New Roman" w:hAnsi="Times New Roman" w:eastAsia="仿宋" w:cs="Times New Roman"/>
          <w:bCs/>
          <w:color w:val="auto"/>
          <w:sz w:val="32"/>
          <w:szCs w:val="32"/>
          <w:highlight w:val="none"/>
          <w:lang w:val="en-US" w:eastAsia="zh-CN"/>
        </w:rPr>
        <w:t>预算法</w:t>
      </w:r>
      <w:r>
        <w:rPr>
          <w:rFonts w:hint="default" w:ascii="Times New Roman" w:hAnsi="Times New Roman" w:eastAsia="仿宋" w:cs="Times New Roman"/>
          <w:color w:val="auto"/>
          <w:sz w:val="32"/>
          <w:szCs w:val="32"/>
          <w:lang w:val="en-US" w:eastAsia="zh-CN"/>
        </w:rPr>
        <w:t>及人大预算审查监督要</w:t>
      </w:r>
      <w:r>
        <w:rPr>
          <w:rFonts w:hint="default" w:ascii="Times New Roman" w:hAnsi="Times New Roman" w:eastAsia="仿宋" w:cs="Times New Roman"/>
          <w:bCs/>
          <w:color w:val="auto"/>
          <w:sz w:val="32"/>
          <w:szCs w:val="32"/>
          <w:highlight w:val="none"/>
          <w:lang w:val="en-US" w:eastAsia="zh-CN"/>
        </w:rPr>
        <w:t>求</w:t>
      </w:r>
      <w:r>
        <w:rPr>
          <w:rFonts w:hint="default" w:ascii="Times New Roman" w:hAnsi="Times New Roman" w:eastAsia="仿宋" w:cs="Times New Roman"/>
          <w:bCs/>
          <w:color w:val="auto"/>
          <w:sz w:val="32"/>
          <w:szCs w:val="32"/>
          <w:highlight w:val="none"/>
        </w:rPr>
        <w:t>，</w:t>
      </w:r>
      <w:r>
        <w:rPr>
          <w:rFonts w:hint="eastAsia" w:ascii="Times New Roman" w:hAnsi="Times New Roman" w:eastAsia="仿宋" w:cs="Times New Roman"/>
          <w:bCs/>
          <w:color w:val="auto"/>
          <w:sz w:val="32"/>
          <w:szCs w:val="32"/>
          <w:highlight w:val="none"/>
          <w:lang w:val="en-US" w:eastAsia="zh-CN"/>
        </w:rPr>
        <w:t>落实</w:t>
      </w:r>
      <w:r>
        <w:rPr>
          <w:rFonts w:hint="default" w:ascii="Times New Roman" w:hAnsi="Times New Roman" w:eastAsia="仿宋" w:cs="Times New Roman"/>
          <w:color w:val="auto"/>
          <w:kern w:val="0"/>
          <w:sz w:val="32"/>
          <w:szCs w:val="32"/>
          <w:highlight w:val="none"/>
        </w:rPr>
        <w:t>县第十七届</w:t>
      </w:r>
      <w:r>
        <w:rPr>
          <w:rFonts w:hint="default" w:ascii="Times New Roman" w:hAnsi="Times New Roman" w:eastAsia="仿宋" w:cs="Times New Roman"/>
          <w:color w:val="auto"/>
          <w:kern w:val="0"/>
          <w:sz w:val="32"/>
          <w:szCs w:val="32"/>
          <w:highlight w:val="none"/>
          <w:lang w:val="en-US" w:eastAsia="zh-CN"/>
        </w:rPr>
        <w:t>人大</w:t>
      </w:r>
      <w:r>
        <w:rPr>
          <w:rFonts w:hint="default" w:ascii="Times New Roman" w:hAnsi="Times New Roman" w:eastAsia="仿宋" w:cs="Times New Roman"/>
          <w:color w:val="auto"/>
          <w:kern w:val="0"/>
          <w:sz w:val="32"/>
          <w:szCs w:val="32"/>
          <w:highlight w:val="none"/>
        </w:rPr>
        <w:t>第</w:t>
      </w:r>
      <w:r>
        <w:rPr>
          <w:rFonts w:hint="default" w:ascii="Times New Roman" w:hAnsi="Times New Roman" w:eastAsia="仿宋" w:cs="Times New Roman"/>
          <w:color w:val="auto"/>
          <w:kern w:val="0"/>
          <w:sz w:val="32"/>
          <w:szCs w:val="32"/>
          <w:highlight w:val="none"/>
          <w:lang w:val="en-US" w:eastAsia="zh-CN"/>
        </w:rPr>
        <w:t>四</w:t>
      </w:r>
      <w:r>
        <w:rPr>
          <w:rFonts w:hint="default" w:ascii="Times New Roman" w:hAnsi="Times New Roman" w:eastAsia="仿宋" w:cs="Times New Roman"/>
          <w:color w:val="auto"/>
          <w:kern w:val="0"/>
          <w:sz w:val="32"/>
          <w:szCs w:val="32"/>
          <w:highlight w:val="none"/>
        </w:rPr>
        <w:t>次会议</w:t>
      </w:r>
      <w:r>
        <w:rPr>
          <w:rFonts w:hint="default" w:ascii="Times New Roman" w:hAnsi="Times New Roman" w:eastAsia="仿宋" w:cs="Times New Roman"/>
          <w:color w:val="auto"/>
          <w:sz w:val="32"/>
          <w:szCs w:val="32"/>
          <w:lang w:val="en-US" w:eastAsia="zh-CN"/>
        </w:rPr>
        <w:t>预算决议</w:t>
      </w:r>
      <w:r>
        <w:rPr>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Cs/>
          <w:color w:val="auto"/>
          <w:sz w:val="32"/>
          <w:szCs w:val="32"/>
          <w:highlight w:val="none"/>
          <w:lang w:val="en-US" w:eastAsia="zh-CN"/>
        </w:rPr>
        <w:t>实施积极财政政策</w:t>
      </w:r>
      <w:r>
        <w:rPr>
          <w:rFonts w:hint="default" w:ascii="Times New Roman" w:hAnsi="Times New Roman" w:eastAsia="仿宋" w:cs="Times New Roman"/>
          <w:color w:val="auto"/>
          <w:kern w:val="0"/>
          <w:sz w:val="32"/>
          <w:szCs w:val="32"/>
          <w:highlight w:val="none"/>
          <w:shd w:val="clear" w:color="auto" w:fill="FFFFFF"/>
        </w:rPr>
        <w:t>，</w:t>
      </w:r>
      <w:r>
        <w:rPr>
          <w:rFonts w:hint="default" w:ascii="Times New Roman" w:hAnsi="Times New Roman" w:eastAsia="仿宋" w:cs="Times New Roman"/>
          <w:color w:val="auto"/>
          <w:sz w:val="32"/>
          <w:szCs w:val="32"/>
          <w:lang w:val="en-US" w:eastAsia="zh-CN"/>
        </w:rPr>
        <w:t>强化资产资源统筹，保持支出强度，为县域经济社会发展筑牢根基</w:t>
      </w:r>
      <w:r>
        <w:rPr>
          <w:rFonts w:hint="default" w:ascii="Times New Roman" w:hAnsi="Times New Roman" w:eastAsia="仿宋" w:cs="Times New Roman"/>
          <w:bCs/>
          <w:color w:val="auto"/>
          <w:sz w:val="32"/>
          <w:szCs w:val="32"/>
          <w:highlight w:val="none"/>
        </w:rPr>
        <w:t>。</w:t>
      </w:r>
    </w:p>
    <w:p>
      <w:pPr>
        <w:numPr>
          <w:ilvl w:val="0"/>
          <w:numId w:val="0"/>
        </w:numPr>
        <w:spacing w:line="560" w:lineRule="exact"/>
        <w:ind w:firstLine="640" w:firstLineChars="200"/>
        <w:rPr>
          <w:rFonts w:hint="default" w:ascii="Times New Roman" w:hAnsi="Times New Roman" w:eastAsia="仿宋" w:cs="Times New Roman"/>
          <w:b w:val="0"/>
          <w:bCs w:val="0"/>
          <w:color w:val="auto"/>
          <w:sz w:val="32"/>
          <w:szCs w:val="32"/>
          <w:highlight w:val="none"/>
          <w:lang w:val="en-US" w:eastAsia="zh-CN"/>
        </w:rPr>
      </w:pPr>
      <w:r>
        <w:rPr>
          <w:rFonts w:hint="eastAsia" w:ascii="Times New Roman" w:hAnsi="Times New Roman" w:eastAsia="楷体" w:cs="楷体"/>
          <w:bCs/>
          <w:color w:val="auto"/>
          <w:sz w:val="32"/>
          <w:szCs w:val="32"/>
          <w:lang w:val="en-US" w:eastAsia="zh-CN"/>
        </w:rPr>
        <w:t>（一）</w:t>
      </w:r>
      <w:r>
        <w:rPr>
          <w:rFonts w:hint="default" w:ascii="Times New Roman" w:hAnsi="Times New Roman" w:eastAsia="楷体" w:cs="楷体"/>
          <w:bCs/>
          <w:color w:val="auto"/>
          <w:sz w:val="32"/>
          <w:szCs w:val="32"/>
          <w:lang w:val="en-US" w:eastAsia="zh-CN"/>
        </w:rPr>
        <w:t>多元聚财强保障，激活增收新动能</w:t>
      </w:r>
      <w:r>
        <w:rPr>
          <w:rFonts w:hint="eastAsia" w:ascii="Times New Roman" w:hAnsi="Times New Roman" w:eastAsia="楷体" w:cs="楷体"/>
          <w:bCs/>
          <w:color w:val="auto"/>
          <w:sz w:val="32"/>
          <w:szCs w:val="32"/>
          <w:lang w:val="en-US" w:eastAsia="zh-CN"/>
        </w:rPr>
        <w:t>。</w:t>
      </w:r>
      <w:r>
        <w:rPr>
          <w:rFonts w:hint="default" w:ascii="Times New Roman" w:hAnsi="Times New Roman" w:eastAsia="仿宋" w:cs="Times New Roman"/>
          <w:color w:val="auto"/>
          <w:sz w:val="32"/>
          <w:szCs w:val="32"/>
          <w:highlight w:val="none"/>
          <w:lang w:val="en-US" w:eastAsia="zh-CN"/>
        </w:rPr>
        <w:t>一是</w:t>
      </w:r>
      <w:r>
        <w:rPr>
          <w:rFonts w:hint="eastAsia" w:ascii="Times New Roman" w:hAnsi="Times New Roman" w:eastAsia="仿宋" w:cs="Times New Roman"/>
          <w:color w:val="auto"/>
          <w:sz w:val="32"/>
          <w:szCs w:val="32"/>
          <w:highlight w:val="none"/>
          <w:lang w:val="en-US" w:eastAsia="zh-CN"/>
        </w:rPr>
        <w:t>精准</w:t>
      </w:r>
      <w:r>
        <w:rPr>
          <w:rFonts w:hint="default" w:ascii="Times New Roman" w:hAnsi="Times New Roman" w:eastAsia="仿宋" w:cs="Times New Roman"/>
          <w:color w:val="auto"/>
          <w:sz w:val="32"/>
          <w:szCs w:val="32"/>
          <w:highlight w:val="none"/>
          <w:lang w:val="en-US" w:eastAsia="zh-CN"/>
        </w:rPr>
        <w:t>管控税源。</w:t>
      </w:r>
      <w:r>
        <w:rPr>
          <w:rFonts w:hint="default" w:ascii="Times New Roman" w:hAnsi="Times New Roman" w:eastAsia="仿宋" w:cs="Times New Roman"/>
          <w:color w:val="auto"/>
          <w:sz w:val="32"/>
          <w:szCs w:val="32"/>
          <w:lang w:val="en-US" w:eastAsia="zh-CN"/>
        </w:rPr>
        <w:t>建立重点税源动态跟踪、欠税企业清单化清理、新增税源精准识别机制，定期会商研判税收形势，牢牢掌握收入主动权</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highlight w:val="none"/>
          <w:lang w:val="en-US" w:eastAsia="zh-CN"/>
        </w:rPr>
        <w:t>二是</w:t>
      </w:r>
      <w:r>
        <w:rPr>
          <w:rFonts w:hint="eastAsia" w:ascii="Times New Roman" w:hAnsi="Times New Roman" w:eastAsia="仿宋" w:cs="Times New Roman"/>
          <w:color w:val="auto"/>
          <w:sz w:val="32"/>
          <w:szCs w:val="32"/>
          <w:highlight w:val="none"/>
          <w:lang w:val="en-US" w:eastAsia="zh-CN"/>
        </w:rPr>
        <w:t>全力</w:t>
      </w:r>
      <w:r>
        <w:rPr>
          <w:rFonts w:hint="default" w:ascii="Times New Roman" w:hAnsi="Times New Roman" w:eastAsia="仿宋" w:cs="Times New Roman"/>
          <w:color w:val="auto"/>
          <w:sz w:val="32"/>
          <w:szCs w:val="32"/>
          <w:highlight w:val="none"/>
          <w:lang w:val="en-US" w:eastAsia="zh-CN"/>
        </w:rPr>
        <w:t>对上争取。</w:t>
      </w:r>
      <w:r>
        <w:rPr>
          <w:rFonts w:hint="default" w:ascii="Times New Roman" w:hAnsi="Times New Roman" w:eastAsia="仿宋" w:cs="Times New Roman"/>
          <w:color w:val="auto"/>
          <w:sz w:val="32"/>
          <w:szCs w:val="32"/>
          <w:lang w:val="en-US" w:eastAsia="zh-CN"/>
        </w:rPr>
        <w:t>深入解读预算内基建资金、超长期特别国债、政府债券等政策导向，精准谋划储备项目，</w:t>
      </w:r>
      <w:r>
        <w:rPr>
          <w:rFonts w:hint="default" w:ascii="Times New Roman" w:hAnsi="Times New Roman" w:eastAsia="仿宋" w:cs="Times New Roman"/>
          <w:color w:val="auto"/>
          <w:sz w:val="32"/>
          <w:szCs w:val="32"/>
          <w:highlight w:val="none"/>
        </w:rPr>
        <w:t>全县争取</w:t>
      </w:r>
      <w:r>
        <w:rPr>
          <w:rFonts w:hint="default" w:ascii="Times New Roman" w:hAnsi="Times New Roman" w:eastAsia="仿宋" w:cs="Times New Roman"/>
          <w:color w:val="auto"/>
          <w:sz w:val="32"/>
          <w:szCs w:val="32"/>
          <w:highlight w:val="none"/>
          <w:lang w:val="en-US" w:eastAsia="zh-CN"/>
        </w:rPr>
        <w:t>上级补助资金</w:t>
      </w:r>
      <w:r>
        <w:rPr>
          <w:rFonts w:hint="eastAsia" w:ascii="Times New Roman" w:hAnsi="Times New Roman" w:eastAsia="仿宋" w:cs="Times New Roman"/>
          <w:color w:val="auto"/>
          <w:sz w:val="32"/>
          <w:szCs w:val="32"/>
          <w:highlight w:val="none"/>
          <w:lang w:val="en-US" w:eastAsia="zh-CN"/>
        </w:rPr>
        <w:t>211291</w:t>
      </w:r>
      <w:r>
        <w:rPr>
          <w:rFonts w:hint="default" w:ascii="Times New Roman" w:hAnsi="Times New Roman" w:eastAsia="仿宋" w:cs="Times New Roman"/>
          <w:color w:val="auto"/>
          <w:sz w:val="32"/>
          <w:szCs w:val="32"/>
          <w:highlight w:val="none"/>
          <w:lang w:val="en-US" w:eastAsia="zh-CN"/>
        </w:rPr>
        <w:t>万元</w:t>
      </w:r>
      <w:r>
        <w:rPr>
          <w:rFonts w:hint="default" w:ascii="Times New Roman" w:hAnsi="Times New Roman" w:eastAsia="仿宋" w:cs="Times New Roman"/>
          <w:color w:val="auto"/>
          <w:sz w:val="32"/>
          <w:szCs w:val="32"/>
          <w:highlight w:val="none"/>
        </w:rPr>
        <w:t>，县财政争取债券资金</w:t>
      </w:r>
      <w:r>
        <w:rPr>
          <w:rFonts w:hint="default" w:ascii="Times New Roman" w:hAnsi="Times New Roman" w:eastAsia="仿宋" w:cs="Times New Roman"/>
          <w:color w:val="auto"/>
          <w:sz w:val="32"/>
          <w:szCs w:val="32"/>
          <w:highlight w:val="none"/>
          <w:lang w:val="en-US" w:eastAsia="zh-CN"/>
        </w:rPr>
        <w:t>163968</w:t>
      </w:r>
      <w:r>
        <w:rPr>
          <w:rFonts w:hint="default" w:ascii="Times New Roman" w:hAnsi="Times New Roman" w:eastAsia="仿宋" w:cs="Times New Roman"/>
          <w:color w:val="auto"/>
          <w:sz w:val="32"/>
          <w:szCs w:val="32"/>
          <w:highlight w:val="none"/>
        </w:rPr>
        <w:t>万元（其中：</w:t>
      </w:r>
      <w:r>
        <w:rPr>
          <w:rFonts w:hint="default" w:ascii="Times New Roman" w:hAnsi="Times New Roman" w:eastAsia="仿宋" w:cs="Times New Roman"/>
          <w:color w:val="auto"/>
          <w:sz w:val="32"/>
          <w:szCs w:val="32"/>
          <w:highlight w:val="none"/>
          <w:lang w:val="zh-CN"/>
        </w:rPr>
        <w:t>再融资债券</w:t>
      </w:r>
      <w:r>
        <w:rPr>
          <w:rFonts w:hint="default" w:ascii="Times New Roman" w:hAnsi="Times New Roman" w:eastAsia="仿宋" w:cs="Times New Roman"/>
          <w:color w:val="auto"/>
          <w:sz w:val="32"/>
          <w:szCs w:val="32"/>
          <w:highlight w:val="none"/>
          <w:lang w:val="en-US" w:eastAsia="zh-CN"/>
        </w:rPr>
        <w:t>8995</w:t>
      </w:r>
      <w:r>
        <w:rPr>
          <w:rFonts w:hint="default" w:ascii="Times New Roman" w:hAnsi="Times New Roman" w:eastAsia="仿宋" w:cs="Times New Roman"/>
          <w:color w:val="auto"/>
          <w:sz w:val="32"/>
          <w:szCs w:val="32"/>
          <w:highlight w:val="none"/>
          <w:lang w:val="zh-CN"/>
        </w:rPr>
        <w:t>万元，新增债券</w:t>
      </w:r>
      <w:r>
        <w:rPr>
          <w:rFonts w:hint="default" w:ascii="Times New Roman" w:hAnsi="Times New Roman" w:eastAsia="仿宋" w:cs="Times New Roman"/>
          <w:color w:val="auto"/>
          <w:sz w:val="32"/>
          <w:szCs w:val="32"/>
          <w:highlight w:val="none"/>
          <w:lang w:val="en-US" w:eastAsia="zh-CN"/>
        </w:rPr>
        <w:t>103612</w:t>
      </w:r>
      <w:r>
        <w:rPr>
          <w:rFonts w:hint="default" w:ascii="Times New Roman" w:hAnsi="Times New Roman" w:eastAsia="仿宋" w:cs="Times New Roman"/>
          <w:color w:val="auto"/>
          <w:sz w:val="32"/>
          <w:szCs w:val="32"/>
          <w:highlight w:val="none"/>
          <w:lang w:val="zh-CN"/>
        </w:rPr>
        <w:t>万元，结存限额再融资债券</w:t>
      </w:r>
      <w:r>
        <w:rPr>
          <w:rFonts w:hint="default" w:ascii="Times New Roman" w:hAnsi="Times New Roman" w:eastAsia="仿宋" w:cs="Times New Roman"/>
          <w:color w:val="auto"/>
          <w:sz w:val="32"/>
          <w:szCs w:val="32"/>
          <w:highlight w:val="none"/>
          <w:lang w:val="en-US" w:eastAsia="zh-CN"/>
        </w:rPr>
        <w:t>6861</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val="en-US" w:eastAsia="zh-CN"/>
        </w:rPr>
        <w:t>结存限额新增专项债券7700万元，</w:t>
      </w:r>
      <w:r>
        <w:rPr>
          <w:rFonts w:hint="default" w:ascii="Times New Roman" w:hAnsi="Times New Roman" w:eastAsia="仿宋" w:cs="Times New Roman"/>
          <w:color w:val="auto"/>
          <w:sz w:val="32"/>
          <w:szCs w:val="32"/>
          <w:highlight w:val="none"/>
          <w:lang w:val="zh-CN"/>
        </w:rPr>
        <w:t>增量再融资专项债券36800万元）</w:t>
      </w:r>
      <w:r>
        <w:rPr>
          <w:rFonts w:hint="eastAsia" w:ascii="Times New Roman" w:hAnsi="Times New Roman" w:eastAsia="仿宋" w:cs="Times New Roman"/>
          <w:color w:val="auto"/>
          <w:sz w:val="32"/>
          <w:szCs w:val="32"/>
          <w:highlight w:val="none"/>
          <w:lang w:val="zh-CN"/>
        </w:rPr>
        <w:t>。</w:t>
      </w:r>
      <w:r>
        <w:rPr>
          <w:rFonts w:hint="default" w:ascii="Times New Roman" w:hAnsi="Times New Roman" w:eastAsia="仿宋" w:cs="Times New Roman"/>
          <w:color w:val="auto"/>
          <w:sz w:val="32"/>
          <w:szCs w:val="32"/>
          <w:highlight w:val="none"/>
          <w:lang w:val="en-US" w:eastAsia="zh-CN"/>
        </w:rPr>
        <w:t>三是</w:t>
      </w:r>
      <w:r>
        <w:rPr>
          <w:rFonts w:hint="eastAsia" w:ascii="Times New Roman" w:hAnsi="Times New Roman" w:eastAsia="仿宋" w:cs="Times New Roman"/>
          <w:color w:val="auto"/>
          <w:sz w:val="32"/>
          <w:szCs w:val="32"/>
          <w:highlight w:val="none"/>
          <w:lang w:val="en-US" w:eastAsia="zh-CN"/>
        </w:rPr>
        <w:t>盘活存量资产</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lang w:val="en-US" w:eastAsia="zh-CN"/>
        </w:rPr>
        <w:t>开展农村国有资产、经营性资产全面清查，重点梳理学校、医院、粮库等资产权属，</w:t>
      </w:r>
      <w:r>
        <w:rPr>
          <w:rFonts w:hint="default" w:ascii="Times New Roman" w:hAnsi="Times New Roman" w:eastAsia="仿宋" w:cs="Times New Roman"/>
          <w:color w:val="auto"/>
          <w:sz w:val="32"/>
          <w:highlight w:val="none"/>
          <w:lang w:val="en-US" w:eastAsia="zh-CN"/>
        </w:rPr>
        <w:t>盘活行政事业单位资产33处，涉及面积1.54万平方米，追回流失</w:t>
      </w:r>
      <w:r>
        <w:rPr>
          <w:rFonts w:hint="default" w:ascii="Times New Roman" w:hAnsi="Times New Roman" w:eastAsia="仿宋" w:cs="Times New Roman"/>
          <w:color w:val="auto"/>
          <w:sz w:val="32"/>
          <w:szCs w:val="32"/>
          <w:highlight w:val="none"/>
          <w:lang w:val="en-US" w:eastAsia="zh-CN"/>
        </w:rPr>
        <w:t>办公用房476.66平方米，</w:t>
      </w:r>
      <w:r>
        <w:rPr>
          <w:rFonts w:hint="default" w:ascii="Times New Roman" w:hAnsi="Times New Roman" w:eastAsia="仿宋" w:cs="Times New Roman"/>
          <w:b w:val="0"/>
          <w:bCs w:val="0"/>
          <w:color w:val="auto"/>
          <w:sz w:val="32"/>
          <w:szCs w:val="32"/>
          <w:highlight w:val="none"/>
          <w:lang w:val="en-US" w:eastAsia="zh-CN"/>
        </w:rPr>
        <w:t>完成8处房产和19宗土地等27处资产产权证书规范化建档。</w:t>
      </w:r>
    </w:p>
    <w:p>
      <w:pPr>
        <w:numPr>
          <w:ilvl w:val="0"/>
          <w:numId w:val="0"/>
        </w:numPr>
        <w:spacing w:line="560" w:lineRule="exact"/>
        <w:ind w:firstLine="640" w:firstLineChars="200"/>
        <w:rPr>
          <w:rFonts w:hint="eastAsia" w:ascii="Times New Roman" w:hAnsi="Times New Roman" w:eastAsia="楷体" w:cs="楷体"/>
          <w:bCs/>
          <w:color w:val="auto"/>
          <w:sz w:val="32"/>
          <w:szCs w:val="32"/>
          <w:lang w:val="en-US" w:eastAsia="zh-CN"/>
        </w:rPr>
      </w:pPr>
      <w:r>
        <w:rPr>
          <w:rFonts w:hint="eastAsia" w:ascii="Times New Roman" w:hAnsi="Times New Roman" w:eastAsia="楷体" w:cs="楷体"/>
          <w:bCs/>
          <w:color w:val="auto"/>
          <w:sz w:val="32"/>
          <w:szCs w:val="32"/>
          <w:lang w:val="en-US" w:eastAsia="zh-CN"/>
        </w:rPr>
        <w:t>（二）</w:t>
      </w:r>
      <w:r>
        <w:rPr>
          <w:rFonts w:hint="default" w:ascii="Times New Roman" w:hAnsi="Times New Roman" w:eastAsia="楷体" w:cs="楷体"/>
          <w:bCs/>
          <w:color w:val="auto"/>
          <w:sz w:val="32"/>
          <w:szCs w:val="32"/>
          <w:lang w:val="en-US" w:eastAsia="zh-CN"/>
        </w:rPr>
        <w:t>民生优先增福祉，办好群众贴心事</w:t>
      </w:r>
    </w:p>
    <w:p>
      <w:pPr>
        <w:spacing w:beforeLines="0" w:afterLines="0"/>
        <w:ind w:firstLine="640" w:firstLineChars="200"/>
        <w:jc w:val="left"/>
        <w:rPr>
          <w:rFonts w:hint="eastAsia"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lang w:val="en-US" w:eastAsia="zh-CN"/>
        </w:rPr>
        <w:t>坚持民生支出优先保</w:t>
      </w:r>
      <w:r>
        <w:rPr>
          <w:rFonts w:hint="default" w:ascii="Times New Roman" w:hAnsi="Times New Roman" w:eastAsia="仿宋" w:cs="Times New Roman"/>
          <w:color w:val="auto"/>
          <w:sz w:val="32"/>
          <w:szCs w:val="32"/>
          <w:highlight w:val="none"/>
          <w:lang w:val="en-US" w:eastAsia="zh-CN"/>
        </w:rPr>
        <w:t>障</w:t>
      </w:r>
      <w:r>
        <w:rPr>
          <w:rFonts w:hint="eastAsia" w:ascii="Times New Roman" w:hAnsi="Times New Roman" w:eastAsia="仿宋" w:cs="Times New Roman"/>
          <w:color w:val="auto"/>
          <w:sz w:val="32"/>
          <w:szCs w:val="32"/>
          <w:highlight w:val="none"/>
          <w:lang w:val="en-US" w:eastAsia="zh-CN"/>
        </w:rPr>
        <w:t>，</w:t>
      </w:r>
      <w:r>
        <w:rPr>
          <w:rFonts w:hint="eastAsia" w:ascii="Times New Roman" w:hAnsi="Times New Roman" w:eastAsia="仿宋" w:cs="Times New Roman"/>
          <w:color w:val="auto"/>
          <w:sz w:val="32"/>
          <w:szCs w:val="32"/>
          <w:highlight w:val="none"/>
          <w:lang w:val="zh-CN" w:eastAsia="zh-CN"/>
        </w:rPr>
        <w:t>全</w:t>
      </w:r>
      <w:r>
        <w:rPr>
          <w:rFonts w:hint="eastAsia" w:ascii="Times New Roman" w:hAnsi="Times New Roman" w:eastAsia="仿宋" w:cs="Times New Roman"/>
          <w:color w:val="auto"/>
          <w:sz w:val="32"/>
          <w:szCs w:val="32"/>
          <w:highlight w:val="none"/>
          <w:lang w:val="en-US" w:eastAsia="zh-CN"/>
        </w:rPr>
        <w:t>县</w:t>
      </w:r>
      <w:r>
        <w:rPr>
          <w:rFonts w:hint="eastAsia" w:ascii="Times New Roman" w:hAnsi="Times New Roman" w:eastAsia="仿宋" w:cs="Times New Roman"/>
          <w:color w:val="auto"/>
          <w:sz w:val="32"/>
          <w:szCs w:val="32"/>
          <w:highlight w:val="none"/>
          <w:lang w:val="zh-CN" w:eastAsia="zh-CN"/>
        </w:rPr>
        <w:t>民生支出占一般公共预算支出的比重持续稳定在</w:t>
      </w:r>
      <w:r>
        <w:rPr>
          <w:rFonts w:hint="eastAsia" w:ascii="Times New Roman" w:hAnsi="Times New Roman" w:eastAsia="仿宋" w:cs="Times New Roman"/>
          <w:color w:val="auto"/>
          <w:sz w:val="32"/>
          <w:szCs w:val="32"/>
          <w:highlight w:val="none"/>
          <w:lang w:val="en-US" w:eastAsia="zh-CN"/>
        </w:rPr>
        <w:t>70</w:t>
      </w:r>
      <w:r>
        <w:rPr>
          <w:rFonts w:hint="eastAsia" w:ascii="Times New Roman" w:hAnsi="Times New Roman" w:eastAsia="仿宋" w:cs="Times New Roman"/>
          <w:color w:val="auto"/>
          <w:sz w:val="32"/>
          <w:szCs w:val="32"/>
          <w:highlight w:val="none"/>
          <w:lang w:val="zh-CN" w:eastAsia="zh-CN"/>
        </w:rPr>
        <w:t>%以上</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预计</w:t>
      </w:r>
      <w:r>
        <w:rPr>
          <w:rFonts w:hint="default" w:ascii="Times New Roman" w:hAnsi="Times New Roman" w:eastAsia="仿宋" w:cs="Times New Roman"/>
          <w:color w:val="auto"/>
          <w:sz w:val="32"/>
          <w:szCs w:val="32"/>
          <w:highlight w:val="none"/>
        </w:rPr>
        <w:t>202</w:t>
      </w: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rPr>
        <w:t>年执行全省30件民生实事</w:t>
      </w:r>
      <w:r>
        <w:rPr>
          <w:rFonts w:hint="default" w:ascii="Times New Roman" w:hAnsi="Times New Roman" w:eastAsia="仿宋" w:cs="Times New Roman"/>
          <w:color w:val="auto"/>
          <w:sz w:val="32"/>
          <w:szCs w:val="32"/>
          <w:highlight w:val="none"/>
          <w:vertAlign w:val="superscript"/>
        </w:rPr>
        <w:t>注7</w:t>
      </w:r>
      <w:r>
        <w:rPr>
          <w:rFonts w:hint="default" w:ascii="Times New Roman" w:hAnsi="Times New Roman" w:eastAsia="仿宋" w:cs="Times New Roman"/>
          <w:color w:val="auto"/>
          <w:sz w:val="32"/>
          <w:szCs w:val="32"/>
          <w:highlight w:val="none"/>
        </w:rPr>
        <w:t>资金</w:t>
      </w:r>
      <w:r>
        <w:rPr>
          <w:rFonts w:hint="eastAsia" w:ascii="Times New Roman" w:hAnsi="Times New Roman" w:eastAsia="仿宋" w:cs="Times New Roman"/>
          <w:color w:val="auto"/>
          <w:sz w:val="32"/>
          <w:szCs w:val="32"/>
          <w:highlight w:val="none"/>
          <w:lang w:val="en-US" w:eastAsia="zh-CN"/>
        </w:rPr>
        <w:t>29517</w:t>
      </w:r>
      <w:r>
        <w:rPr>
          <w:rFonts w:hint="default" w:ascii="Times New Roman" w:hAnsi="Times New Roman" w:eastAsia="仿宋" w:cs="Times New Roman"/>
          <w:color w:val="auto"/>
          <w:sz w:val="32"/>
          <w:szCs w:val="32"/>
          <w:highlight w:val="none"/>
        </w:rPr>
        <w:t>万元</w:t>
      </w:r>
      <w:r>
        <w:rPr>
          <w:rFonts w:hint="eastAsia"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lang w:val="en-US" w:eastAsia="zh-CN"/>
        </w:rPr>
        <w:t>让群众共享发展成果</w:t>
      </w:r>
      <w:r>
        <w:rPr>
          <w:rFonts w:hint="eastAsia" w:ascii="Times New Roman" w:hAnsi="Times New Roman" w:eastAsia="仿宋" w:cs="Times New Roman"/>
          <w:color w:val="auto"/>
          <w:sz w:val="32"/>
          <w:szCs w:val="32"/>
          <w:highlight w:val="none"/>
          <w:lang w:val="en-US" w:eastAsia="zh-CN"/>
        </w:rPr>
        <w:t>）</w:t>
      </w:r>
      <w:r>
        <w:rPr>
          <w:rFonts w:hint="eastAsia" w:ascii="Times New Roman" w:hAnsi="Times New Roman" w:eastAsia="仿宋" w:cs="Times New Roman"/>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val="0"/>
          <w:bCs w:val="0"/>
          <w:color w:val="auto"/>
          <w:sz w:val="32"/>
          <w:szCs w:val="32"/>
          <w:lang w:val="en-US" w:eastAsia="zh-CN"/>
        </w:rPr>
        <w:t>——赋能教育提质。</w:t>
      </w:r>
      <w:r>
        <w:rPr>
          <w:rFonts w:hint="default" w:ascii="Times New Roman" w:hAnsi="Times New Roman" w:eastAsia="仿宋" w:cs="Times New Roman"/>
          <w:color w:val="auto"/>
          <w:sz w:val="32"/>
          <w:szCs w:val="32"/>
          <w:highlight w:val="none"/>
          <w:lang w:val="en-US" w:eastAsia="zh-CN"/>
        </w:rPr>
        <w:t>深入推进</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五育并举</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，促进教育优质均衡发展。投入资金45934万元</w:t>
      </w:r>
      <w:r>
        <w:rPr>
          <w:rFonts w:hint="eastAsia" w:ascii="Times New Roman" w:hAnsi="Times New Roman" w:eastAsia="仿宋" w:cs="Times New Roman"/>
          <w:color w:val="auto"/>
          <w:sz w:val="32"/>
          <w:szCs w:val="32"/>
          <w:highlight w:val="none"/>
          <w:lang w:val="en-US" w:eastAsia="zh-CN"/>
        </w:rPr>
        <w:t>保障生均公用经费、教师队伍建设与发展、江职校产教融合实训基地建设、</w:t>
      </w:r>
      <w:r>
        <w:rPr>
          <w:rFonts w:hint="default" w:ascii="Times New Roman" w:hAnsi="Times New Roman" w:eastAsia="仿宋" w:cs="Times New Roman"/>
          <w:color w:val="auto"/>
          <w:sz w:val="32"/>
          <w:szCs w:val="32"/>
          <w:highlight w:val="none"/>
          <w:lang w:val="en-US" w:eastAsia="zh-CN"/>
        </w:rPr>
        <w:t>江安中学</w:t>
      </w:r>
      <w:r>
        <w:rPr>
          <w:rFonts w:hint="eastAsia" w:ascii="Times New Roman" w:hAnsi="Times New Roman" w:eastAsia="仿宋" w:cs="Times New Roman"/>
          <w:color w:val="auto"/>
          <w:sz w:val="32"/>
          <w:szCs w:val="32"/>
          <w:highlight w:val="none"/>
          <w:lang w:val="en-US" w:eastAsia="zh-CN"/>
        </w:rPr>
        <w:t>校</w:t>
      </w:r>
      <w:r>
        <w:rPr>
          <w:rFonts w:hint="default" w:ascii="Times New Roman" w:hAnsi="Times New Roman" w:eastAsia="仿宋" w:cs="Times New Roman"/>
          <w:color w:val="auto"/>
          <w:sz w:val="32"/>
          <w:szCs w:val="32"/>
          <w:highlight w:val="none"/>
          <w:lang w:val="en-US" w:eastAsia="zh-CN"/>
        </w:rPr>
        <w:t>改扩建</w:t>
      </w:r>
      <w:r>
        <w:rPr>
          <w:rFonts w:hint="eastAsia" w:ascii="Times New Roman" w:hAnsi="Times New Roman" w:eastAsia="仿宋" w:cs="Times New Roman"/>
          <w:color w:val="auto"/>
          <w:sz w:val="32"/>
          <w:szCs w:val="32"/>
          <w:highlight w:val="none"/>
          <w:lang w:val="en-US" w:eastAsia="zh-CN"/>
        </w:rPr>
        <w:t>、江安镇竹都小学校建设、江安中学小坝校区学生宿舍建设、</w:t>
      </w:r>
      <w:r>
        <w:rPr>
          <w:rFonts w:hint="default" w:ascii="Times New Roman" w:hAnsi="Times New Roman" w:eastAsia="仿宋" w:cs="Times New Roman"/>
          <w:color w:val="auto"/>
          <w:sz w:val="32"/>
          <w:szCs w:val="32"/>
          <w:highlight w:val="none"/>
          <w:lang w:val="en-US" w:eastAsia="zh-CN"/>
        </w:rPr>
        <w:t>橙乡幼儿园分园建设、</w:t>
      </w:r>
      <w:r>
        <w:rPr>
          <w:rFonts w:hint="eastAsia" w:ascii="Times New Roman" w:hAnsi="Times New Roman" w:eastAsia="仿宋" w:cs="Times New Roman"/>
          <w:color w:val="auto"/>
          <w:sz w:val="32"/>
          <w:szCs w:val="32"/>
          <w:highlight w:val="none"/>
          <w:lang w:val="en-US" w:eastAsia="zh-CN"/>
        </w:rPr>
        <w:t>汉安初级中学校教学楼建设</w:t>
      </w:r>
      <w:r>
        <w:rPr>
          <w:rFonts w:hint="default" w:ascii="Times New Roman" w:hAnsi="Times New Roman" w:eastAsia="仿宋" w:cs="Times New Roman"/>
          <w:color w:val="auto"/>
          <w:sz w:val="32"/>
          <w:szCs w:val="32"/>
          <w:highlight w:val="none"/>
          <w:lang w:val="en-US" w:eastAsia="zh-CN"/>
        </w:rPr>
        <w:t>等</w:t>
      </w:r>
      <w:r>
        <w:rPr>
          <w:rFonts w:hint="eastAsia" w:ascii="Times New Roman" w:hAnsi="Times New Roman" w:eastAsia="仿宋" w:cs="Times New Roman"/>
          <w:color w:val="auto"/>
          <w:sz w:val="32"/>
          <w:szCs w:val="32"/>
          <w:highlight w:val="none"/>
          <w:lang w:val="en-US" w:eastAsia="zh-CN"/>
        </w:rPr>
        <w:t>20多</w:t>
      </w:r>
      <w:r>
        <w:rPr>
          <w:rFonts w:hint="default" w:ascii="Times New Roman" w:hAnsi="Times New Roman" w:eastAsia="仿宋" w:cs="Times New Roman"/>
          <w:color w:val="auto"/>
          <w:sz w:val="32"/>
          <w:szCs w:val="32"/>
          <w:highlight w:val="none"/>
          <w:lang w:val="en-US" w:eastAsia="zh-CN"/>
        </w:rPr>
        <w:t>个项目，补齐短缺学位6100个</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将特殊教育生均公用经费标准从60</w:t>
      </w:r>
      <w:r>
        <w:rPr>
          <w:rFonts w:hint="eastAsia" w:ascii="Times New Roman" w:hAnsi="Times New Roman" w:eastAsia="仿宋" w:cs="Times New Roman"/>
          <w:color w:val="auto"/>
          <w:sz w:val="32"/>
          <w:szCs w:val="32"/>
          <w:highlight w:val="none"/>
          <w:lang w:val="en-US" w:eastAsia="zh-CN"/>
        </w:rPr>
        <w:t>00</w:t>
      </w:r>
      <w:r>
        <w:rPr>
          <w:rFonts w:hint="default" w:ascii="Times New Roman" w:hAnsi="Times New Roman" w:eastAsia="仿宋" w:cs="Times New Roman"/>
          <w:color w:val="auto"/>
          <w:sz w:val="32"/>
          <w:szCs w:val="32"/>
          <w:highlight w:val="none"/>
          <w:lang w:val="en-US" w:eastAsia="zh-CN"/>
        </w:rPr>
        <w:t>元提高至70</w:t>
      </w:r>
      <w:r>
        <w:rPr>
          <w:rFonts w:hint="eastAsia" w:ascii="Times New Roman" w:hAnsi="Times New Roman" w:eastAsia="仿宋" w:cs="Times New Roman"/>
          <w:color w:val="auto"/>
          <w:sz w:val="32"/>
          <w:szCs w:val="32"/>
          <w:highlight w:val="none"/>
          <w:lang w:val="en-US" w:eastAsia="zh-CN"/>
        </w:rPr>
        <w:t>00</w:t>
      </w:r>
      <w:r>
        <w:rPr>
          <w:rFonts w:hint="default" w:ascii="Times New Roman" w:hAnsi="Times New Roman" w:eastAsia="仿宋" w:cs="Times New Roman"/>
          <w:color w:val="auto"/>
          <w:sz w:val="32"/>
          <w:szCs w:val="32"/>
          <w:highlight w:val="none"/>
          <w:lang w:val="en-US" w:eastAsia="zh-CN"/>
        </w:rPr>
        <w:t>元，落实学前教育大班免保教费政策，探索普惠托育财政支持模式</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投入2741万元为38409人次学生发放奖</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补</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资金</w:t>
      </w:r>
      <w:r>
        <w:rPr>
          <w:rFonts w:hint="eastAsia" w:ascii="Times New Roman" w:hAnsi="Times New Roman" w:eastAsia="仿宋" w:cs="Times New Roman"/>
          <w:color w:val="auto"/>
          <w:sz w:val="32"/>
          <w:szCs w:val="32"/>
          <w:highlight w:val="none"/>
          <w:lang w:val="en-US" w:eastAsia="zh-CN"/>
        </w:rPr>
        <w:t>，减免相关费用；</w:t>
      </w:r>
      <w:r>
        <w:rPr>
          <w:rFonts w:hint="default" w:ascii="Times New Roman" w:hAnsi="Times New Roman" w:eastAsia="仿宋" w:cs="Times New Roman"/>
          <w:color w:val="auto"/>
          <w:sz w:val="32"/>
          <w:szCs w:val="32"/>
          <w:highlight w:val="none"/>
          <w:lang w:val="en-US" w:eastAsia="zh-CN"/>
        </w:rPr>
        <w:t>投入资金3923万元为2.63万名农村义务教育学生提供营养膳食。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lang w:val="en-US" w:eastAsia="zh-CN"/>
        </w:rPr>
        <w:t>——丰富文化供给。</w:t>
      </w:r>
      <w:r>
        <w:rPr>
          <w:rFonts w:hint="default" w:ascii="Times New Roman" w:hAnsi="Times New Roman" w:eastAsia="仿宋" w:cs="Times New Roman"/>
          <w:color w:val="auto"/>
          <w:sz w:val="32"/>
          <w:szCs w:val="32"/>
          <w:highlight w:val="none"/>
          <w:lang w:val="en-US" w:eastAsia="zh-CN"/>
        </w:rPr>
        <w:t>投入3038万元推进公共文化服务均等化，开展送文化下乡150余次</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优化提升乡镇综合文化站9个</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建设</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迷你</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书吧2个</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维护广播电视户户通2647个</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免费开放</w:t>
      </w:r>
      <w:r>
        <w:rPr>
          <w:rFonts w:hint="eastAsia" w:ascii="Times New Roman" w:hAnsi="Times New Roman" w:eastAsia="仿宋" w:cs="Times New Roman"/>
          <w:color w:val="auto"/>
          <w:sz w:val="32"/>
          <w:szCs w:val="32"/>
          <w:highlight w:val="none"/>
          <w:lang w:val="en-US" w:eastAsia="zh-CN"/>
        </w:rPr>
        <w:t>24个</w:t>
      </w:r>
      <w:r>
        <w:rPr>
          <w:rFonts w:hint="default" w:ascii="Times New Roman" w:hAnsi="Times New Roman" w:eastAsia="仿宋" w:cs="Times New Roman"/>
          <w:color w:val="auto"/>
          <w:sz w:val="32"/>
          <w:szCs w:val="32"/>
          <w:highlight w:val="none"/>
          <w:lang w:val="en-US" w:eastAsia="zh-CN"/>
        </w:rPr>
        <w:t>公共文化场馆</w:t>
      </w:r>
      <w:r>
        <w:rPr>
          <w:rFonts w:hint="eastAsia" w:ascii="Times New Roman" w:hAnsi="Times New Roman" w:eastAsia="仿宋" w:cs="Times New Roman"/>
          <w:color w:val="auto"/>
          <w:sz w:val="32"/>
          <w:szCs w:val="32"/>
          <w:highlight w:val="none"/>
          <w:lang w:val="en-US" w:eastAsia="zh-CN"/>
        </w:rPr>
        <w:t>和2个</w:t>
      </w:r>
      <w:r>
        <w:rPr>
          <w:rFonts w:hint="default" w:ascii="Times New Roman" w:hAnsi="Times New Roman" w:eastAsia="仿宋" w:cs="Times New Roman"/>
          <w:color w:val="auto"/>
          <w:sz w:val="32"/>
          <w:szCs w:val="32"/>
          <w:highlight w:val="none"/>
          <w:lang w:val="en-US" w:eastAsia="zh-CN"/>
        </w:rPr>
        <w:t>体育场馆。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强化就业支撑。统筹3400万元就业创业补助资金，支持公益性岗位开发、就业见习、技能培训等工作，重点帮扶高校毕业生、退役军人、农民工等群体。落实创业担保贷款贴息政策，累计发放贷款8835万元，贴息114万元，惠及495人及2户小微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lang w:val="en-US" w:eastAsia="zh-CN"/>
        </w:rPr>
        <w:t>——关爱</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一老一小</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。投入4632万元用于敬老院床位改造、老年助餐点建设、困难老人居家服务、困境儿童宜居改造、适老化改造及</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失能老年人健康敲门</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行动，足额发放育儿补贴。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——夯实社保底线。投入15366万元保障困难群众救助、残疾人补贴、退役安置及优抚对象抚恤等支出；投入7780万元支持基本公共卫生服务、全民健康体检、农村妇女</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两癌</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筛查、儿童健康管理及紧密型县域医共体改革，推动医疗卫生事业高质量发展。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lang w:val="en-US" w:eastAsia="zh-CN"/>
        </w:rPr>
        <w:t>——助力乡村振兴。发放耕地地力保护、种粮大户、农机购置等惠农补贴9740万元，惠及29.80万人次；投入11339万元支持酿酒高粱产业集群、巩固脱贫成果到户等33个项目，为乡村振兴注入动力。</w:t>
      </w:r>
    </w:p>
    <w:p>
      <w:pPr>
        <w:ind w:firstLine="640" w:firstLineChars="200"/>
        <w:rPr>
          <w:rFonts w:hint="eastAsia" w:ascii="Times New Roman" w:hAnsi="Times New Roman" w:eastAsia="仿宋" w:cs="仿宋"/>
          <w:color w:val="auto"/>
          <w:kern w:val="2"/>
          <w:sz w:val="32"/>
          <w:szCs w:val="32"/>
          <w:highlight w:val="none"/>
          <w:lang w:val="en-US" w:eastAsia="zh-CN" w:bidi="ar-SA"/>
        </w:rPr>
      </w:pPr>
      <w:r>
        <w:rPr>
          <w:rFonts w:hint="eastAsia" w:ascii="Times New Roman" w:hAnsi="Times New Roman" w:eastAsia="楷体" w:cs="楷体"/>
          <w:bCs/>
          <w:color w:val="auto"/>
          <w:sz w:val="32"/>
          <w:szCs w:val="32"/>
          <w:highlight w:val="none"/>
          <w:lang w:val="en-US" w:eastAsia="zh-CN"/>
        </w:rPr>
        <w:t>（三）</w:t>
      </w:r>
      <w:r>
        <w:rPr>
          <w:rFonts w:hint="eastAsia" w:ascii="Times New Roman" w:hAnsi="Times New Roman" w:eastAsia="楷体" w:cs="楷体"/>
          <w:bCs/>
          <w:color w:val="auto"/>
          <w:sz w:val="32"/>
          <w:szCs w:val="32"/>
          <w:lang w:val="en-US" w:eastAsia="zh-CN"/>
        </w:rPr>
        <w:t>着力重点强保障，夯实基础促发展。</w:t>
      </w:r>
      <w:r>
        <w:rPr>
          <w:rFonts w:hint="eastAsia" w:ascii="Times New Roman" w:hAnsi="Times New Roman" w:eastAsia="仿宋" w:cs="仿宋"/>
          <w:color w:val="auto"/>
          <w:sz w:val="32"/>
          <w:szCs w:val="32"/>
          <w:highlight w:val="none"/>
          <w:lang w:val="en-US" w:eastAsia="zh-CN"/>
        </w:rPr>
        <w:t>投入454.04万元优化“天网”</w:t>
      </w:r>
      <w:r>
        <w:rPr>
          <w:rFonts w:hint="default" w:ascii="Times New Roman" w:hAnsi="Times New Roman" w:eastAsia="仿宋" w:cs="Times New Roman"/>
          <w:color w:val="auto"/>
          <w:sz w:val="32"/>
          <w:szCs w:val="32"/>
          <w:lang w:val="en-US" w:eastAsia="zh-CN"/>
        </w:rPr>
        <w:t>系统及监所智能化升级</w:t>
      </w:r>
      <w:r>
        <w:rPr>
          <w:rFonts w:hint="eastAsia" w:ascii="Times New Roman" w:hAnsi="Times New Roman" w:eastAsia="仿宋" w:cs="仿宋"/>
          <w:color w:val="auto"/>
          <w:sz w:val="32"/>
          <w:szCs w:val="32"/>
          <w:highlight w:val="none"/>
          <w:lang w:val="en-US" w:eastAsia="zh-CN"/>
        </w:rPr>
        <w:t>，筑牢“平安江安”防线；</w:t>
      </w:r>
      <w:r>
        <w:rPr>
          <w:rFonts w:hint="eastAsia" w:ascii="Times New Roman" w:hAnsi="Times New Roman" w:eastAsia="仿宋" w:cs="仿宋"/>
          <w:b w:val="0"/>
          <w:bCs w:val="0"/>
          <w:color w:val="auto"/>
          <w:sz w:val="32"/>
          <w:szCs w:val="32"/>
          <w:highlight w:val="none"/>
          <w:lang w:val="en-US" w:eastAsia="zh-CN"/>
        </w:rPr>
        <w:t>投入1579万元维修养护水库61座、整治维修山坪塘26口，</w:t>
      </w:r>
      <w:r>
        <w:rPr>
          <w:rFonts w:hint="default" w:ascii="Times New Roman" w:hAnsi="Times New Roman" w:eastAsia="仿宋" w:cs="Times New Roman"/>
          <w:color w:val="auto"/>
          <w:sz w:val="32"/>
          <w:szCs w:val="32"/>
          <w:lang w:val="en-US" w:eastAsia="zh-CN"/>
        </w:rPr>
        <w:t>提升防汛抗旱能力</w:t>
      </w:r>
      <w:r>
        <w:rPr>
          <w:rFonts w:hint="eastAsia" w:ascii="Times New Roman" w:hAnsi="Times New Roman" w:eastAsia="仿宋" w:cs="仿宋"/>
          <w:b w:val="0"/>
          <w:bCs w:val="0"/>
          <w:color w:val="auto"/>
          <w:sz w:val="32"/>
          <w:szCs w:val="32"/>
          <w:highlight w:val="none"/>
          <w:lang w:val="en-US" w:eastAsia="zh-CN"/>
        </w:rPr>
        <w:t>；</w:t>
      </w:r>
      <w:r>
        <w:rPr>
          <w:rFonts w:hint="default" w:ascii="Times New Roman" w:hAnsi="Times New Roman" w:eastAsia="仿宋" w:cs="Times New Roman"/>
          <w:color w:val="auto"/>
          <w:sz w:val="32"/>
          <w:szCs w:val="32"/>
          <w:lang w:val="en-US" w:eastAsia="zh-CN"/>
        </w:rPr>
        <w:t>投入5400万元建设18个德康2号家庭农场标准单元，壮大</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百村百万</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生猪产业；投入2487万元完善农村道路、小型水利等公益设施，促进城乡融合；</w:t>
      </w:r>
      <w:r>
        <w:rPr>
          <w:rFonts w:hint="default" w:ascii="Times New Roman" w:hAnsi="Times New Roman" w:eastAsia="仿宋" w:cs="Times New Roman"/>
          <w:color w:val="auto"/>
          <w:sz w:val="32"/>
          <w:szCs w:val="32"/>
          <w:highlight w:val="none"/>
          <w:lang w:val="en-US" w:eastAsia="zh-CN"/>
        </w:rPr>
        <w:t>投入</w:t>
      </w:r>
      <w:r>
        <w:rPr>
          <w:rFonts w:hint="eastAsia" w:ascii="Times New Roman" w:hAnsi="Times New Roman" w:eastAsia="仿宋" w:cs="Times New Roman"/>
          <w:color w:val="auto"/>
          <w:sz w:val="32"/>
          <w:szCs w:val="32"/>
          <w:highlight w:val="none"/>
          <w:lang w:val="en-US" w:eastAsia="zh-CN"/>
        </w:rPr>
        <w:t>70522</w:t>
      </w:r>
      <w:r>
        <w:rPr>
          <w:rFonts w:hint="default" w:ascii="Times New Roman" w:hAnsi="Times New Roman" w:eastAsia="仿宋" w:cs="Times New Roman"/>
          <w:color w:val="auto"/>
          <w:sz w:val="32"/>
          <w:szCs w:val="32"/>
          <w:highlight w:val="none"/>
          <w:lang w:val="en-US" w:eastAsia="zh-CN"/>
        </w:rPr>
        <w:t>万元保障迎安镇至古宋镇公路（</w:t>
      </w:r>
      <w:r>
        <w:rPr>
          <w:rFonts w:hint="eastAsia" w:ascii="Times New Roman" w:hAnsi="Times New Roman" w:eastAsia="仿宋" w:cs="Times New Roman"/>
          <w:color w:val="auto"/>
          <w:sz w:val="32"/>
          <w:szCs w:val="32"/>
          <w:highlight w:val="none"/>
          <w:lang w:val="en-US" w:eastAsia="zh-CN"/>
        </w:rPr>
        <w:t>江安</w:t>
      </w:r>
      <w:r>
        <w:rPr>
          <w:rFonts w:hint="default" w:ascii="Times New Roman" w:hAnsi="Times New Roman" w:eastAsia="仿宋" w:cs="Times New Roman"/>
          <w:color w:val="auto"/>
          <w:sz w:val="32"/>
          <w:szCs w:val="32"/>
          <w:highlight w:val="none"/>
          <w:lang w:val="en-US" w:eastAsia="zh-CN"/>
        </w:rPr>
        <w:t>段）</w:t>
      </w:r>
      <w:r>
        <w:rPr>
          <w:rFonts w:hint="eastAsia" w:ascii="Times New Roman" w:hAnsi="Times New Roman" w:eastAsia="仿宋" w:cs="Times New Roman"/>
          <w:color w:val="auto"/>
          <w:sz w:val="32"/>
          <w:szCs w:val="32"/>
          <w:highlight w:val="none"/>
          <w:lang w:val="en-US" w:eastAsia="zh-CN"/>
        </w:rPr>
        <w:t>、长江大桥北桥头连接线、告石路、农村公路安全生命防护工程等交通</w:t>
      </w:r>
      <w:r>
        <w:rPr>
          <w:rFonts w:hint="default" w:ascii="Times New Roman" w:hAnsi="Times New Roman" w:eastAsia="仿宋" w:cs="Times New Roman"/>
          <w:color w:val="auto"/>
          <w:sz w:val="32"/>
          <w:szCs w:val="32"/>
          <w:highlight w:val="none"/>
          <w:lang w:val="en-US" w:eastAsia="zh-CN"/>
        </w:rPr>
        <w:t>建设</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投入2166万元支</w:t>
      </w:r>
      <w:r>
        <w:rPr>
          <w:rFonts w:hint="default" w:ascii="Times New Roman" w:hAnsi="Times New Roman" w:eastAsia="仿宋" w:cs="Times New Roman"/>
          <w:color w:val="auto"/>
          <w:sz w:val="32"/>
          <w:szCs w:val="32"/>
          <w:lang w:val="en-US" w:eastAsia="zh-CN"/>
        </w:rPr>
        <w:t>持家电数码、汽车等消费升级及城区路灯改造，推动绿色低碳发展</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投入3942万元更新应急设备，发放救灾补助，守护群众生命财产安全</w:t>
      </w:r>
      <w:r>
        <w:rPr>
          <w:rFonts w:hint="eastAsia" w:ascii="Times New Roman" w:hAnsi="Times New Roman" w:eastAsia="仿宋" w:cs="Times New Roman"/>
          <w:color w:val="auto"/>
          <w:sz w:val="32"/>
          <w:szCs w:val="32"/>
          <w:lang w:val="en-US" w:eastAsia="zh-CN"/>
        </w:rPr>
        <w:t>；投入3500万元建设充电站34个（其中：城区21个，乡镇13个），满足城乡新能源汽车充电需求，降低群众出行成本，助力绿色交通发展，减少碳排放；投入11370万元支持大规模技术改造，带动工业领域设备更新，完善江安经济开发区规划建设、环保整治、产业道路等基础设施建设，助推江安经济开发区高质量发展。</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olor w:val="auto"/>
          <w:highlight w:val="none"/>
          <w:lang w:val="en-US" w:eastAsia="zh-CN"/>
        </w:rPr>
      </w:pPr>
      <w:r>
        <w:rPr>
          <w:rFonts w:hint="eastAsia" w:ascii="Times New Roman" w:hAnsi="Times New Roman" w:eastAsia="楷体" w:cs="楷体"/>
          <w:bCs/>
          <w:color w:val="auto"/>
          <w:sz w:val="32"/>
          <w:szCs w:val="32"/>
          <w:lang w:val="en-US" w:eastAsia="zh-CN"/>
        </w:rPr>
        <w:t>（四）点面结合</w:t>
      </w:r>
      <w:r>
        <w:rPr>
          <w:rFonts w:hint="default" w:ascii="Times New Roman" w:hAnsi="Times New Roman" w:eastAsia="楷体" w:cs="楷体"/>
          <w:bCs/>
          <w:color w:val="auto"/>
          <w:sz w:val="32"/>
          <w:szCs w:val="32"/>
          <w:lang w:val="en-US" w:eastAsia="zh-CN"/>
        </w:rPr>
        <w:t>提效能，</w:t>
      </w:r>
      <w:r>
        <w:rPr>
          <w:rFonts w:hint="eastAsia" w:ascii="Times New Roman" w:hAnsi="Times New Roman" w:eastAsia="楷体" w:cs="楷体"/>
          <w:bCs/>
          <w:color w:val="auto"/>
          <w:sz w:val="32"/>
          <w:szCs w:val="32"/>
          <w:lang w:val="en-US" w:eastAsia="zh-CN"/>
        </w:rPr>
        <w:t>多措并举防风险。</w:t>
      </w:r>
      <w:r>
        <w:rPr>
          <w:rFonts w:hint="eastAsia" w:ascii="Times New Roman" w:hAnsi="Times New Roman" w:eastAsia="仿宋"/>
          <w:color w:val="auto"/>
          <w:sz w:val="32"/>
          <w:szCs w:val="32"/>
          <w:highlight w:val="none"/>
          <w:lang w:val="en-US" w:eastAsia="zh-CN"/>
        </w:rPr>
        <w:t>一是严守“三保”底线。足额编制“三保”预算，按“保基本民生、保工资、保运转”序列保障支出，</w:t>
      </w:r>
      <w:r>
        <w:rPr>
          <w:rFonts w:hint="default" w:ascii="Times New Roman" w:hAnsi="Times New Roman" w:eastAsia="仿宋" w:cs="Times New Roman"/>
          <w:color w:val="auto"/>
          <w:sz w:val="32"/>
          <w:szCs w:val="32"/>
          <w:lang w:val="en-US" w:eastAsia="zh-CN"/>
        </w:rPr>
        <w:t>压减一般性支出，</w:t>
      </w:r>
      <w:r>
        <w:rPr>
          <w:rFonts w:hint="eastAsia" w:ascii="Times New Roman" w:hAnsi="Times New Roman" w:eastAsia="仿宋" w:cs="Times New Roman"/>
          <w:color w:val="auto"/>
          <w:sz w:val="32"/>
          <w:szCs w:val="32"/>
          <w:lang w:val="en-US" w:eastAsia="zh-CN"/>
        </w:rPr>
        <w:t>严格</w:t>
      </w:r>
      <w:r>
        <w:rPr>
          <w:rFonts w:hint="default" w:ascii="Times New Roman" w:hAnsi="Times New Roman" w:eastAsia="仿宋" w:cs="Times New Roman"/>
          <w:color w:val="auto"/>
          <w:sz w:val="32"/>
          <w:szCs w:val="32"/>
          <w:lang w:val="en-US" w:eastAsia="zh-CN"/>
        </w:rPr>
        <w:t>落实</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过紧日子</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要求。</w:t>
      </w:r>
      <w:r>
        <w:rPr>
          <w:rFonts w:hint="eastAsia" w:ascii="Times New Roman" w:hAnsi="Times New Roman" w:eastAsia="仿宋"/>
          <w:color w:val="auto"/>
          <w:sz w:val="32"/>
          <w:szCs w:val="32"/>
          <w:highlight w:val="none"/>
          <w:lang w:val="en-US" w:eastAsia="zh-CN"/>
        </w:rPr>
        <w:t>二是强化财会监督。</w:t>
      </w:r>
      <w:r>
        <w:rPr>
          <w:rFonts w:hint="eastAsia" w:ascii="Times New Roman" w:hAnsi="Times New Roman" w:eastAsia="仿宋" w:cs="仿宋"/>
          <w:color w:val="auto"/>
          <w:sz w:val="32"/>
          <w:szCs w:val="32"/>
          <w:highlight w:val="none"/>
          <w:lang w:val="en-US" w:eastAsia="zh-CN"/>
        </w:rPr>
        <w:t>创新“日常监督+专项检查+整改闭环”模式，聚焦</w:t>
      </w:r>
      <w:r>
        <w:rPr>
          <w:rFonts w:hint="default" w:ascii="Times New Roman" w:hAnsi="Times New Roman" w:eastAsia="仿宋" w:cs="Times New Roman"/>
          <w:color w:val="auto"/>
          <w:sz w:val="32"/>
          <w:szCs w:val="32"/>
          <w:lang w:val="en-US" w:eastAsia="zh-CN"/>
        </w:rPr>
        <w:t>民生支出和重大项目资金，全年发现问题121个，完成整改105个，16个问题正在推进。</w:t>
      </w:r>
      <w:r>
        <w:rPr>
          <w:rFonts w:hint="eastAsia" w:ascii="Times New Roman" w:hAnsi="Times New Roman" w:eastAsia="仿宋" w:cs="仿宋"/>
          <w:color w:val="auto"/>
          <w:sz w:val="32"/>
          <w:szCs w:val="32"/>
          <w:highlight w:val="none"/>
          <w:lang w:val="en-US" w:eastAsia="zh-CN"/>
        </w:rPr>
        <w:t>三是深化绩效管控。将</w:t>
      </w:r>
      <w:r>
        <w:rPr>
          <w:rFonts w:hint="eastAsia" w:ascii="Times New Roman" w:hAnsi="Times New Roman" w:eastAsia="仿宋" w:cs="仿宋"/>
          <w:color w:val="auto"/>
          <w:sz w:val="32"/>
          <w:szCs w:val="32"/>
          <w:highlight w:val="none"/>
        </w:rPr>
        <w:t>财政预算绩效管理</w:t>
      </w:r>
      <w:r>
        <w:rPr>
          <w:rFonts w:hint="eastAsia" w:ascii="Times New Roman" w:hAnsi="Times New Roman" w:eastAsia="仿宋" w:cs="仿宋"/>
          <w:color w:val="auto"/>
          <w:sz w:val="32"/>
          <w:szCs w:val="32"/>
          <w:highlight w:val="none"/>
          <w:vertAlign w:val="superscript"/>
        </w:rPr>
        <w:t>注</w:t>
      </w:r>
      <w:r>
        <w:rPr>
          <w:rFonts w:hint="eastAsia" w:ascii="Times New Roman" w:hAnsi="Times New Roman" w:eastAsia="仿宋" w:cs="仿宋"/>
          <w:color w:val="auto"/>
          <w:sz w:val="32"/>
          <w:szCs w:val="32"/>
          <w:highlight w:val="none"/>
          <w:vertAlign w:val="superscript"/>
          <w:lang w:val="en-US" w:eastAsia="zh-CN"/>
        </w:rPr>
        <w:t>8</w:t>
      </w:r>
      <w:r>
        <w:rPr>
          <w:rFonts w:hint="eastAsia" w:ascii="Times New Roman" w:hAnsi="Times New Roman" w:eastAsia="仿宋" w:cs="仿宋"/>
          <w:color w:val="auto"/>
          <w:sz w:val="32"/>
          <w:szCs w:val="32"/>
          <w:highlight w:val="none"/>
          <w:lang w:val="en-US" w:eastAsia="zh-CN"/>
        </w:rPr>
        <w:t>贯穿于事前评估、绩效目标编制、事中监控、事后评价及绩效评价结果应用全流程，</w:t>
      </w:r>
      <w:r>
        <w:rPr>
          <w:rFonts w:hint="default" w:ascii="Times New Roman" w:hAnsi="Times New Roman" w:eastAsia="仿宋" w:cs="Times New Roman"/>
          <w:color w:val="auto"/>
          <w:sz w:val="32"/>
          <w:szCs w:val="32"/>
          <w:lang w:val="en-US" w:eastAsia="zh-CN"/>
        </w:rPr>
        <w:t>开展10个单位整体支出、11个政策性支出、13个项目支出绩效评价，涉及资金13906万元，对10个单位、24个项目下达整改通知，将评价结果与2026年预算挂钩</w:t>
      </w:r>
      <w:r>
        <w:rPr>
          <w:rFonts w:hint="eastAsia" w:ascii="Times New Roman" w:hAnsi="Times New Roman" w:eastAsia="仿宋" w:cs="仿宋"/>
          <w:color w:val="auto"/>
          <w:sz w:val="32"/>
          <w:szCs w:val="32"/>
          <w:highlight w:val="none"/>
          <w:lang w:val="en-US" w:eastAsia="zh-CN"/>
        </w:rPr>
        <w:t>。四是严守债务风险。防范化解</w:t>
      </w:r>
      <w:r>
        <w:rPr>
          <w:rFonts w:hint="eastAsia" w:ascii="Times New Roman" w:hAnsi="Times New Roman" w:eastAsia="仿宋" w:cs="仿宋"/>
          <w:sz w:val="32"/>
          <w:szCs w:val="32"/>
        </w:rPr>
        <w:t>地方政府性</w:t>
      </w:r>
      <w:r>
        <w:rPr>
          <w:rFonts w:hint="eastAsia" w:ascii="Times New Roman" w:hAnsi="Times New Roman" w:eastAsia="仿宋" w:cs="仿宋"/>
          <w:color w:val="auto"/>
          <w:sz w:val="32"/>
          <w:szCs w:val="32"/>
          <w:highlight w:val="none"/>
          <w:lang w:val="en-US" w:eastAsia="zh-CN"/>
        </w:rPr>
        <w:t>债务</w:t>
      </w:r>
      <w:r>
        <w:rPr>
          <w:rFonts w:hint="eastAsia" w:ascii="Times New Roman" w:hAnsi="Times New Roman" w:eastAsia="仿宋" w:cs="仿宋"/>
          <w:sz w:val="32"/>
          <w:szCs w:val="32"/>
          <w:vertAlign w:val="superscript"/>
        </w:rPr>
        <w:t>注</w:t>
      </w:r>
      <w:r>
        <w:rPr>
          <w:rFonts w:hint="eastAsia" w:ascii="Times New Roman" w:hAnsi="Times New Roman" w:eastAsia="仿宋" w:cs="仿宋"/>
          <w:sz w:val="32"/>
          <w:szCs w:val="32"/>
          <w:vertAlign w:val="superscript"/>
          <w:lang w:val="en-US" w:eastAsia="zh-CN"/>
        </w:rPr>
        <w:t>9</w:t>
      </w:r>
      <w:r>
        <w:rPr>
          <w:rFonts w:hint="eastAsia" w:ascii="Times New Roman" w:hAnsi="Times New Roman" w:eastAsia="仿宋" w:cs="仿宋"/>
          <w:color w:val="auto"/>
          <w:sz w:val="32"/>
          <w:szCs w:val="32"/>
          <w:highlight w:val="none"/>
          <w:lang w:val="en-US" w:eastAsia="zh-CN"/>
        </w:rPr>
        <w:t>风险，严格落实属地责任。</w:t>
      </w:r>
      <w:r>
        <w:rPr>
          <w:rFonts w:hint="default" w:ascii="Times New Roman" w:hAnsi="Times New Roman" w:eastAsia="仿宋" w:cs="Times New Roman"/>
          <w:color w:val="auto"/>
          <w:sz w:val="32"/>
          <w:szCs w:val="32"/>
          <w:lang w:val="en-US" w:eastAsia="zh-CN"/>
        </w:rPr>
        <w:t>科学研判债务风险，制定针对性防控措施</w:t>
      </w:r>
      <w:r>
        <w:rPr>
          <w:rFonts w:hint="eastAsia" w:ascii="Times New Roman" w:hAnsi="Times New Roman" w:eastAsia="仿宋" w:cs="仿宋"/>
          <w:color w:val="auto"/>
          <w:sz w:val="32"/>
          <w:szCs w:val="32"/>
          <w:highlight w:val="none"/>
          <w:lang w:val="en-US" w:eastAsia="zh-CN"/>
        </w:rPr>
        <w:t>，确保2025年政府债务率增长控制在中省市规定的范围内。</w:t>
      </w:r>
    </w:p>
    <w:p>
      <w:pPr>
        <w:numPr>
          <w:ilvl w:val="0"/>
          <w:numId w:val="0"/>
        </w:numPr>
        <w:spacing w:line="560" w:lineRule="exact"/>
        <w:ind w:firstLine="640" w:firstLineChars="200"/>
        <w:rPr>
          <w:rFonts w:hint="eastAsia" w:ascii="Times New Roman" w:hAnsi="Times New Roman" w:eastAsia="楷体" w:cs="楷体"/>
          <w:bCs/>
          <w:color w:val="auto"/>
          <w:sz w:val="32"/>
          <w:szCs w:val="32"/>
          <w:lang w:val="en-US" w:eastAsia="zh-CN"/>
        </w:rPr>
      </w:pPr>
      <w:r>
        <w:rPr>
          <w:rFonts w:hint="eastAsia" w:ascii="Times New Roman" w:hAnsi="Times New Roman" w:eastAsia="楷体" w:cs="楷体"/>
          <w:bCs/>
          <w:color w:val="auto"/>
          <w:sz w:val="32"/>
          <w:szCs w:val="32"/>
          <w:lang w:val="en-US" w:eastAsia="zh-CN"/>
        </w:rPr>
        <w:t>（五）</w:t>
      </w:r>
      <w:r>
        <w:rPr>
          <w:rFonts w:hint="default" w:ascii="Times New Roman" w:hAnsi="Times New Roman" w:eastAsia="楷体" w:cs="楷体"/>
          <w:bCs/>
          <w:color w:val="auto"/>
          <w:sz w:val="32"/>
          <w:szCs w:val="32"/>
          <w:lang w:val="en-US" w:eastAsia="zh-CN"/>
        </w:rPr>
        <w:t>深化改革</w:t>
      </w:r>
      <w:r>
        <w:rPr>
          <w:rFonts w:hint="eastAsia" w:ascii="Times New Roman" w:hAnsi="Times New Roman" w:eastAsia="楷体" w:cs="楷体"/>
          <w:bCs/>
          <w:color w:val="auto"/>
          <w:sz w:val="32"/>
          <w:szCs w:val="32"/>
          <w:lang w:val="en-US" w:eastAsia="zh-CN"/>
        </w:rPr>
        <w:t>促管理</w:t>
      </w:r>
      <w:r>
        <w:rPr>
          <w:rFonts w:hint="default" w:ascii="Times New Roman" w:hAnsi="Times New Roman" w:eastAsia="楷体" w:cs="楷体"/>
          <w:bCs/>
          <w:color w:val="auto"/>
          <w:sz w:val="32"/>
          <w:szCs w:val="32"/>
          <w:lang w:val="en-US" w:eastAsia="zh-CN"/>
        </w:rPr>
        <w:t>，精细</w:t>
      </w:r>
      <w:r>
        <w:rPr>
          <w:rFonts w:hint="eastAsia" w:ascii="Times New Roman" w:hAnsi="Times New Roman" w:eastAsia="楷体" w:cs="楷体"/>
          <w:bCs/>
          <w:color w:val="auto"/>
          <w:sz w:val="32"/>
          <w:szCs w:val="32"/>
          <w:lang w:val="en-US" w:eastAsia="zh-CN"/>
        </w:rPr>
        <w:t>理财</w:t>
      </w:r>
      <w:r>
        <w:rPr>
          <w:rFonts w:hint="default" w:ascii="Times New Roman" w:hAnsi="Times New Roman" w:eastAsia="楷体" w:cs="楷体"/>
          <w:bCs/>
          <w:color w:val="auto"/>
          <w:sz w:val="32"/>
          <w:szCs w:val="32"/>
          <w:lang w:val="en-US" w:eastAsia="zh-CN"/>
        </w:rPr>
        <w:t>增效益</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推进预算一体化和非税收入电子化改革，深化零基预算</w:t>
      </w:r>
      <w:r>
        <w:rPr>
          <w:rFonts w:hint="eastAsia" w:ascii="Times New Roman" w:hAnsi="Times New Roman" w:eastAsia="仿宋" w:cs="仿宋"/>
          <w:sz w:val="32"/>
          <w:szCs w:val="32"/>
          <w:vertAlign w:val="superscript"/>
        </w:rPr>
        <w:t>注</w:t>
      </w:r>
      <w:r>
        <w:rPr>
          <w:rFonts w:hint="eastAsia" w:ascii="Times New Roman" w:hAnsi="Times New Roman" w:eastAsia="仿宋" w:cs="仿宋"/>
          <w:sz w:val="32"/>
          <w:szCs w:val="32"/>
          <w:vertAlign w:val="superscript"/>
          <w:lang w:val="en-US" w:eastAsia="zh-CN"/>
        </w:rPr>
        <w:t>10</w:t>
      </w:r>
      <w:r>
        <w:rPr>
          <w:rFonts w:hint="default" w:ascii="Times New Roman" w:hAnsi="Times New Roman" w:eastAsia="仿宋" w:cs="Times New Roman"/>
          <w:color w:val="auto"/>
          <w:sz w:val="32"/>
          <w:szCs w:val="32"/>
          <w:lang w:val="en-US" w:eastAsia="zh-CN"/>
        </w:rPr>
        <w:t>改革，压减非必要支出，从严编制部门预算。完善预算审核机制，强化库款调度，保持库款保障水平合理。严控新增暂付款，消化存量暂付款，力争总量控制在规定范围。规范政府采购和政府购买服务，全年完成政府采购项目104个，金额20828万元，节约率6.82%</w:t>
      </w:r>
      <w:r>
        <w:rPr>
          <w:rFonts w:hint="eastAsia" w:ascii="Times New Roman" w:hAnsi="Times New Roman" w:eastAsia="仿宋" w:cs="仿宋"/>
          <w:color w:val="auto"/>
          <w:sz w:val="32"/>
          <w:szCs w:val="32"/>
          <w:highlight w:val="none"/>
        </w:rPr>
        <w:t>（其中：政府购买服务项目</w:t>
      </w:r>
      <w:r>
        <w:rPr>
          <w:rFonts w:hint="eastAsia" w:ascii="Times New Roman" w:hAnsi="Times New Roman" w:eastAsia="仿宋" w:cs="仿宋"/>
          <w:color w:val="auto"/>
          <w:sz w:val="32"/>
          <w:szCs w:val="32"/>
          <w:highlight w:val="none"/>
          <w:lang w:val="en-US" w:eastAsia="zh-CN"/>
        </w:rPr>
        <w:t>27</w:t>
      </w:r>
      <w:r>
        <w:rPr>
          <w:rFonts w:hint="eastAsia" w:ascii="Times New Roman" w:hAnsi="Times New Roman" w:eastAsia="仿宋" w:cs="仿宋"/>
          <w:color w:val="auto"/>
          <w:sz w:val="32"/>
          <w:szCs w:val="32"/>
          <w:highlight w:val="none"/>
        </w:rPr>
        <w:t>个，采购金额</w:t>
      </w:r>
      <w:r>
        <w:rPr>
          <w:rFonts w:hint="eastAsia" w:ascii="Times New Roman" w:hAnsi="Times New Roman" w:eastAsia="仿宋" w:cs="仿宋"/>
          <w:color w:val="auto"/>
          <w:sz w:val="32"/>
          <w:szCs w:val="32"/>
          <w:highlight w:val="none"/>
          <w:lang w:val="en-US" w:eastAsia="zh-CN"/>
        </w:rPr>
        <w:t>4094</w:t>
      </w:r>
      <w:r>
        <w:rPr>
          <w:rFonts w:hint="eastAsia" w:ascii="Times New Roman" w:hAnsi="Times New Roman" w:eastAsia="仿宋" w:cs="仿宋"/>
          <w:color w:val="auto"/>
          <w:sz w:val="32"/>
          <w:szCs w:val="32"/>
          <w:highlight w:val="none"/>
        </w:rPr>
        <w:t>万元，节约率</w:t>
      </w:r>
      <w:r>
        <w:rPr>
          <w:rFonts w:hint="eastAsia" w:ascii="Times New Roman" w:hAnsi="Times New Roman" w:eastAsia="仿宋" w:cs="仿宋"/>
          <w:color w:val="auto"/>
          <w:sz w:val="32"/>
          <w:szCs w:val="32"/>
          <w:highlight w:val="none"/>
          <w:lang w:val="en-US" w:eastAsia="zh-CN"/>
        </w:rPr>
        <w:t>8.76</w:t>
      </w:r>
      <w:r>
        <w:rPr>
          <w:rFonts w:hint="eastAsia" w:ascii="Times New Roman" w:hAnsi="Times New Roman" w:eastAsia="仿宋" w:cs="仿宋"/>
          <w:color w:val="auto"/>
          <w:sz w:val="32"/>
          <w:szCs w:val="32"/>
          <w:highlight w:val="none"/>
        </w:rPr>
        <w:t>%）</w:t>
      </w:r>
      <w:r>
        <w:rPr>
          <w:rFonts w:hint="default" w:ascii="Times New Roman" w:hAnsi="Times New Roman" w:eastAsia="仿宋" w:cs="Times New Roman"/>
          <w:color w:val="auto"/>
          <w:sz w:val="32"/>
          <w:szCs w:val="32"/>
          <w:lang w:val="en-US" w:eastAsia="zh-CN"/>
        </w:rPr>
        <w:t>；评审政府投资项目195个，</w:t>
      </w:r>
      <w:r>
        <w:rPr>
          <w:rFonts w:hint="eastAsia" w:ascii="Times New Roman" w:hAnsi="Times New Roman" w:eastAsia="仿宋" w:cs="仿宋"/>
          <w:color w:val="auto"/>
          <w:sz w:val="32"/>
          <w:szCs w:val="32"/>
          <w:highlight w:val="none"/>
        </w:rPr>
        <w:t>送审金额</w:t>
      </w:r>
      <w:r>
        <w:rPr>
          <w:rFonts w:hint="eastAsia" w:ascii="Times New Roman" w:hAnsi="Times New Roman" w:eastAsia="仿宋" w:cs="仿宋"/>
          <w:color w:val="auto"/>
          <w:sz w:val="32"/>
          <w:szCs w:val="32"/>
          <w:highlight w:val="none"/>
          <w:lang w:val="en-US" w:eastAsia="zh-CN"/>
        </w:rPr>
        <w:t>100000</w:t>
      </w:r>
      <w:r>
        <w:rPr>
          <w:rFonts w:hint="eastAsia" w:ascii="Times New Roman" w:hAnsi="Times New Roman" w:eastAsia="仿宋" w:cs="仿宋"/>
          <w:color w:val="auto"/>
          <w:sz w:val="32"/>
          <w:szCs w:val="32"/>
          <w:highlight w:val="none"/>
        </w:rPr>
        <w:t>万元，审定总金额</w:t>
      </w:r>
      <w:r>
        <w:rPr>
          <w:rFonts w:hint="eastAsia" w:ascii="Times New Roman" w:hAnsi="Times New Roman" w:eastAsia="仿宋" w:cs="仿宋"/>
          <w:color w:val="auto"/>
          <w:sz w:val="32"/>
          <w:szCs w:val="32"/>
          <w:highlight w:val="none"/>
          <w:lang w:val="en-US" w:eastAsia="zh-CN"/>
        </w:rPr>
        <w:t>90550</w:t>
      </w:r>
      <w:r>
        <w:rPr>
          <w:rFonts w:hint="eastAsia" w:ascii="Times New Roman" w:hAnsi="Times New Roman" w:eastAsia="仿宋" w:cs="仿宋"/>
          <w:color w:val="auto"/>
          <w:sz w:val="32"/>
          <w:szCs w:val="32"/>
          <w:highlight w:val="none"/>
        </w:rPr>
        <w:t>万元，审减金额</w:t>
      </w:r>
      <w:r>
        <w:rPr>
          <w:rFonts w:hint="eastAsia" w:ascii="Times New Roman" w:hAnsi="Times New Roman" w:eastAsia="仿宋" w:cs="仿宋"/>
          <w:color w:val="auto"/>
          <w:sz w:val="32"/>
          <w:szCs w:val="32"/>
          <w:highlight w:val="none"/>
          <w:lang w:val="en-US" w:eastAsia="zh-CN"/>
        </w:rPr>
        <w:t>9450</w:t>
      </w:r>
      <w:r>
        <w:rPr>
          <w:rFonts w:hint="eastAsia" w:ascii="Times New Roman" w:hAnsi="Times New Roman" w:eastAsia="仿宋" w:cs="仿宋"/>
          <w:color w:val="auto"/>
          <w:sz w:val="32"/>
          <w:szCs w:val="32"/>
          <w:highlight w:val="none"/>
        </w:rPr>
        <w:t>万元，</w:t>
      </w:r>
      <w:r>
        <w:rPr>
          <w:rFonts w:hint="default" w:ascii="Times New Roman" w:hAnsi="Times New Roman" w:eastAsia="仿宋" w:cs="Times New Roman"/>
          <w:color w:val="auto"/>
          <w:sz w:val="32"/>
          <w:szCs w:val="32"/>
          <w:lang w:val="en-US" w:eastAsia="zh-CN"/>
        </w:rPr>
        <w:t>审减率9.45%；</w:t>
      </w:r>
      <w:r>
        <w:rPr>
          <w:rFonts w:hint="eastAsia" w:ascii="Times New Roman" w:hAnsi="Times New Roman" w:eastAsia="仿宋" w:cs="仿宋"/>
          <w:color w:val="auto"/>
          <w:sz w:val="32"/>
          <w:szCs w:val="32"/>
          <w:highlight w:val="none"/>
          <w:lang w:val="en-US" w:eastAsia="zh-CN"/>
        </w:rPr>
        <w:t>结算政府投资项目3个，送审金额2085万元，审定金额1960万元，审减金额125万元，审减率6.00%，</w:t>
      </w:r>
      <w:r>
        <w:rPr>
          <w:rFonts w:hint="default" w:ascii="Times New Roman" w:hAnsi="Times New Roman" w:eastAsia="仿宋" w:cs="Times New Roman"/>
          <w:color w:val="auto"/>
          <w:sz w:val="32"/>
          <w:szCs w:val="32"/>
          <w:lang w:val="en-US" w:eastAsia="zh-CN"/>
        </w:rPr>
        <w:t>有效节约财政资金。</w:t>
      </w:r>
    </w:p>
    <w:p>
      <w:pPr>
        <w:adjustRightInd w:val="0"/>
        <w:snapToGrid w:val="0"/>
        <w:spacing w:line="560" w:lineRule="exact"/>
        <w:ind w:firstLine="640" w:firstLineChars="200"/>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在肯定成绩的同时，我们也清醒认识到存在的问题：财政增收难度加大，</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三保</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支出压力突出，收支矛盾较为</w:t>
      </w:r>
      <w:r>
        <w:rPr>
          <w:rFonts w:hint="eastAsia" w:ascii="Times New Roman" w:hAnsi="Times New Roman" w:eastAsia="仿宋" w:cs="Times New Roman"/>
          <w:color w:val="auto"/>
          <w:sz w:val="32"/>
          <w:szCs w:val="32"/>
          <w:lang w:val="en-US" w:eastAsia="zh-CN"/>
        </w:rPr>
        <w:t>突出</w:t>
      </w:r>
      <w:r>
        <w:rPr>
          <w:rFonts w:hint="default" w:ascii="Times New Roman" w:hAnsi="Times New Roman" w:eastAsia="仿宋" w:cs="Times New Roman"/>
          <w:color w:val="auto"/>
          <w:sz w:val="32"/>
          <w:szCs w:val="32"/>
          <w:lang w:val="en-US" w:eastAsia="zh-CN"/>
        </w:rPr>
        <w:t>；债务还本付息任务艰巨，风险防控责任重大；预算绩效管理水平仍需提升。对此，我们将认真听取意见建议，全力加以解决。</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三、202</w:t>
      </w:r>
      <w:r>
        <w:rPr>
          <w:rFonts w:hint="eastAsia" w:ascii="Times New Roman" w:hAnsi="Times New Roman" w:eastAsia="黑体"/>
          <w:color w:val="auto"/>
          <w:sz w:val="32"/>
          <w:szCs w:val="32"/>
          <w:lang w:val="en-US" w:eastAsia="zh-CN"/>
        </w:rPr>
        <w:t>6</w:t>
      </w:r>
      <w:r>
        <w:rPr>
          <w:rFonts w:hint="eastAsia" w:ascii="Times New Roman" w:hAnsi="Times New Roman" w:eastAsia="黑体"/>
          <w:color w:val="auto"/>
          <w:sz w:val="32"/>
          <w:szCs w:val="32"/>
        </w:rPr>
        <w:t>年财政预算草案</w:t>
      </w:r>
    </w:p>
    <w:p>
      <w:pPr>
        <w:numPr>
          <w:ilvl w:val="0"/>
          <w:numId w:val="1"/>
        </w:numPr>
        <w:adjustRightInd w:val="0"/>
        <w:snapToGrid w:val="0"/>
        <w:spacing w:line="560" w:lineRule="exact"/>
        <w:ind w:firstLine="640" w:firstLineChars="200"/>
        <w:rPr>
          <w:rFonts w:hint="default" w:ascii="楷体" w:hAnsi="楷体" w:eastAsia="楷体" w:cs="楷体"/>
          <w:snapToGrid w:val="0"/>
          <w:color w:val="auto"/>
          <w:kern w:val="0"/>
          <w:sz w:val="32"/>
          <w:szCs w:val="32"/>
          <w:lang w:val="en-US" w:eastAsia="zh-CN"/>
        </w:rPr>
      </w:pPr>
      <w:r>
        <w:rPr>
          <w:rFonts w:hint="default" w:ascii="Times New Roman" w:hAnsi="Times New Roman" w:eastAsia="楷体" w:cs="楷体"/>
          <w:bCs/>
          <w:color w:val="auto"/>
          <w:sz w:val="32"/>
          <w:szCs w:val="32"/>
          <w:lang w:val="en-US" w:eastAsia="zh-CN"/>
        </w:rPr>
        <w:t>预算编制总要求：锚定方向谋发展</w:t>
      </w:r>
      <w:r>
        <w:rPr>
          <w:rFonts w:hint="eastAsia" w:ascii="楷体" w:hAnsi="楷体" w:eastAsia="楷体" w:cs="楷体"/>
          <w:snapToGrid w:val="0"/>
          <w:color w:val="auto"/>
          <w:kern w:val="0"/>
          <w:sz w:val="32"/>
          <w:szCs w:val="32"/>
          <w:lang w:val="en-US" w:eastAsia="zh-CN"/>
        </w:rPr>
        <w:t>。</w:t>
      </w:r>
      <w:r>
        <w:rPr>
          <w:rFonts w:hint="default" w:ascii="Times New Roman" w:hAnsi="Times New Roman" w:eastAsia="仿宋" w:cs="Times New Roman"/>
          <w:color w:val="auto"/>
          <w:sz w:val="32"/>
          <w:szCs w:val="32"/>
          <w:lang w:val="en-US" w:eastAsia="zh-CN"/>
        </w:rPr>
        <w:t>2026年，财政工作坚持以习近平新时代中国特色社会主义思想为指导，紧扣县委决策部署，全面落实预算法及管理制度要求，践行过紧日子理念，严控一般性支出；坚持量入为出、量力而行，整合资金资源，优化支出结构；深化零基预算改革，实现项目库全流程管理；强化绩效监管，提高资金效益；防范化解财政风险，编制与经济社会发展相适应、与财政政策相衔接的收支预算。</w:t>
      </w:r>
    </w:p>
    <w:p>
      <w:pPr>
        <w:numPr>
          <w:ilvl w:val="0"/>
          <w:numId w:val="1"/>
        </w:numPr>
        <w:adjustRightInd w:val="0"/>
        <w:snapToGrid w:val="0"/>
        <w:spacing w:line="560" w:lineRule="exact"/>
        <w:ind w:firstLine="640" w:firstLineChars="200"/>
        <w:rPr>
          <w:rFonts w:hint="default" w:ascii="楷体" w:hAnsi="楷体" w:eastAsia="楷体" w:cs="楷体"/>
          <w:snapToGrid w:val="0"/>
          <w:color w:val="auto"/>
          <w:kern w:val="0"/>
          <w:sz w:val="32"/>
          <w:szCs w:val="32"/>
          <w:lang w:val="en-US" w:eastAsia="zh-CN"/>
        </w:rPr>
      </w:pPr>
      <w:r>
        <w:rPr>
          <w:rFonts w:hint="eastAsia" w:ascii="楷体" w:hAnsi="楷体" w:eastAsia="楷体" w:cs="楷体"/>
          <w:snapToGrid w:val="0"/>
          <w:color w:val="auto"/>
          <w:kern w:val="0"/>
          <w:sz w:val="32"/>
          <w:szCs w:val="32"/>
          <w:lang w:val="en-US" w:eastAsia="zh-CN"/>
        </w:rPr>
        <w:t>预算编制原则：守正创新强约束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仿宋"/>
          <w:color w:val="auto"/>
          <w:sz w:val="32"/>
          <w:szCs w:val="32"/>
          <w:highlight w:val="none"/>
        </w:rPr>
      </w:pPr>
      <w:r>
        <w:rPr>
          <w:rFonts w:hint="default" w:ascii="Times New Roman" w:hAnsi="Times New Roman" w:eastAsia="仿宋" w:cs="仿宋"/>
          <w:color w:val="auto"/>
          <w:sz w:val="32"/>
          <w:szCs w:val="32"/>
          <w:highlight w:val="none"/>
          <w:lang w:val="en-US" w:eastAsia="zh-CN"/>
        </w:rPr>
        <w:t>1．</w:t>
      </w:r>
      <w:r>
        <w:rPr>
          <w:rFonts w:hint="default" w:ascii="Times New Roman" w:hAnsi="Times New Roman" w:eastAsia="仿宋" w:cs="仿宋"/>
          <w:color w:val="auto"/>
          <w:sz w:val="32"/>
          <w:szCs w:val="32"/>
          <w:highlight w:val="none"/>
        </w:rPr>
        <w:t>优化结构，突出重点。</w:t>
      </w:r>
      <w:r>
        <w:rPr>
          <w:rFonts w:hint="eastAsia" w:ascii="仿宋" w:hAnsi="仿宋" w:eastAsia="仿宋" w:cs="仿宋"/>
          <w:color w:val="auto"/>
          <w:sz w:val="32"/>
          <w:szCs w:val="32"/>
          <w:highlight w:val="none"/>
        </w:rPr>
        <w:t>按照</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保基本民生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保工资、保运转、促发展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顺序，从严控制一般性支出和“三公”经费。</w:t>
      </w:r>
      <w:r>
        <w:rPr>
          <w:rFonts w:hint="default" w:ascii="Times New Roman" w:hAnsi="Times New Roman" w:eastAsia="仿宋" w:cs="Times New Roman"/>
          <w:color w:val="auto"/>
          <w:sz w:val="32"/>
          <w:szCs w:val="32"/>
          <w:lang w:val="en-US" w:eastAsia="zh-CN"/>
        </w:rPr>
        <w:t>将资金向重大改革、重要政策和重点项目倾斜，体现县委工作部署。</w:t>
      </w:r>
    </w:p>
    <w:p>
      <w:pPr>
        <w:adjustRightInd w:val="0"/>
        <w:snapToGrid w:val="0"/>
        <w:spacing w:line="560" w:lineRule="exact"/>
        <w:ind w:firstLine="640" w:firstLineChars="200"/>
        <w:rPr>
          <w:rFonts w:hint="default" w:ascii="Times New Roman" w:hAnsi="Times New Roman" w:eastAsia="仿宋" w:cs="仿宋"/>
          <w:color w:val="auto"/>
          <w:sz w:val="32"/>
          <w:szCs w:val="32"/>
          <w:highlight w:val="none"/>
        </w:rPr>
      </w:pPr>
      <w:r>
        <w:rPr>
          <w:rFonts w:hint="default" w:ascii="Times New Roman" w:hAnsi="Times New Roman" w:eastAsia="仿宋" w:cs="仿宋"/>
          <w:color w:val="auto"/>
          <w:sz w:val="32"/>
          <w:szCs w:val="32"/>
          <w:highlight w:val="none"/>
          <w:lang w:val="en-US" w:eastAsia="zh-CN"/>
        </w:rPr>
        <w:t>2．</w:t>
      </w:r>
      <w:r>
        <w:rPr>
          <w:rFonts w:hint="default" w:ascii="Times New Roman" w:hAnsi="Times New Roman" w:eastAsia="仿宋" w:cs="仿宋"/>
          <w:color w:val="auto"/>
          <w:sz w:val="32"/>
          <w:szCs w:val="32"/>
          <w:highlight w:val="none"/>
        </w:rPr>
        <w:t>依法理财，公开透明。</w:t>
      </w:r>
      <w:r>
        <w:rPr>
          <w:rFonts w:hint="default" w:ascii="Times New Roman" w:hAnsi="Times New Roman" w:eastAsia="仿宋" w:cs="Times New Roman"/>
          <w:color w:val="auto"/>
          <w:sz w:val="32"/>
          <w:szCs w:val="32"/>
          <w:lang w:val="en-US" w:eastAsia="zh-CN"/>
        </w:rPr>
        <w:t>以预算法为核心，严格执行财经法规，强化预算与审计、监督结果挂钩；全面推行预决算公开，主动接受人大和社会监督，打造</w:t>
      </w:r>
      <w:r>
        <w:rPr>
          <w:rFonts w:hint="eastAsia" w:ascii="仿宋" w:hAnsi="仿宋" w:eastAsia="仿宋" w:cs="仿宋"/>
          <w:color w:val="auto"/>
          <w:sz w:val="32"/>
          <w:szCs w:val="32"/>
          <w:highlight w:val="none"/>
        </w:rPr>
        <w:t>“阳光财政”</w:t>
      </w:r>
      <w:r>
        <w:rPr>
          <w:rFonts w:hint="default" w:ascii="Times New Roman" w:hAnsi="Times New Roman"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仿宋"/>
          <w:color w:val="auto"/>
          <w:sz w:val="32"/>
          <w:szCs w:val="32"/>
          <w:highlight w:val="none"/>
          <w:lang w:val="en-US" w:eastAsia="zh-CN"/>
        </w:rPr>
        <w:t>3．</w:t>
      </w:r>
      <w:r>
        <w:rPr>
          <w:rFonts w:hint="default" w:ascii="Times New Roman" w:hAnsi="Times New Roman" w:eastAsia="仿宋" w:cs="仿宋"/>
          <w:color w:val="auto"/>
          <w:sz w:val="32"/>
          <w:szCs w:val="32"/>
          <w:highlight w:val="none"/>
        </w:rPr>
        <w:t>深化改革</w:t>
      </w:r>
      <w:r>
        <w:rPr>
          <w:rFonts w:hint="default" w:ascii="Times New Roman" w:hAnsi="Times New Roman" w:eastAsia="仿宋" w:cs="仿宋"/>
          <w:color w:val="auto"/>
          <w:sz w:val="32"/>
          <w:szCs w:val="32"/>
          <w:highlight w:val="none"/>
          <w:lang w:eastAsia="zh-CN"/>
        </w:rPr>
        <w:t>，</w:t>
      </w:r>
      <w:r>
        <w:rPr>
          <w:rFonts w:hint="default" w:ascii="Times New Roman" w:hAnsi="Times New Roman" w:eastAsia="仿宋" w:cs="仿宋"/>
          <w:color w:val="auto"/>
          <w:sz w:val="32"/>
          <w:szCs w:val="32"/>
          <w:highlight w:val="none"/>
        </w:rPr>
        <w:t>量力而行。</w:t>
      </w:r>
      <w:r>
        <w:rPr>
          <w:rFonts w:hint="eastAsia" w:ascii="Times New Roman" w:hAnsi="Times New Roman" w:eastAsia="仿宋" w:cs="仿宋"/>
          <w:color w:val="auto"/>
          <w:sz w:val="32"/>
          <w:szCs w:val="32"/>
          <w:highlight w:val="none"/>
          <w:lang w:val="en-US" w:eastAsia="zh-CN"/>
        </w:rPr>
        <w:t>全面实施</w:t>
      </w:r>
      <w:r>
        <w:rPr>
          <w:rFonts w:hint="eastAsia" w:ascii="仿宋" w:hAnsi="仿宋" w:eastAsia="仿宋" w:cs="仿宋"/>
          <w:color w:val="auto"/>
          <w:sz w:val="32"/>
          <w:szCs w:val="32"/>
          <w:highlight w:val="none"/>
        </w:rPr>
        <w:t>“零基预算”</w:t>
      </w:r>
      <w:r>
        <w:rPr>
          <w:rFonts w:hint="eastAsia" w:ascii="仿宋" w:hAnsi="仿宋" w:eastAsia="仿宋" w:cs="仿宋"/>
          <w:color w:val="auto"/>
          <w:sz w:val="32"/>
          <w:szCs w:val="32"/>
          <w:highlight w:val="none"/>
          <w:lang w:eastAsia="zh-CN"/>
        </w:rPr>
        <w:t>，</w:t>
      </w:r>
      <w:r>
        <w:rPr>
          <w:rFonts w:hint="default" w:ascii="Times New Roman" w:hAnsi="Times New Roman" w:eastAsia="仿宋" w:cs="Times New Roman"/>
          <w:color w:val="auto"/>
          <w:sz w:val="32"/>
          <w:szCs w:val="32"/>
          <w:lang w:val="en-US" w:eastAsia="zh-CN"/>
        </w:rPr>
        <w:t>打破基数依赖，按实际需求编制预算；收入安排实事求是，支出区分轻重缓急，优先保障</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三保</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等刚性支出；推动绩效管理与预算编制、执行、监督深度融合，强化结果应用，硬化预算约束，促进财政高质量发展。</w:t>
      </w:r>
    </w:p>
    <w:p>
      <w:pPr>
        <w:spacing w:line="560" w:lineRule="exact"/>
        <w:ind w:firstLine="640" w:firstLineChars="200"/>
        <w:rPr>
          <w:rFonts w:hint="default" w:eastAsia="楷体"/>
          <w:color w:val="auto"/>
          <w:highlight w:val="none"/>
          <w:lang w:val="en-US" w:eastAsia="zh-CN"/>
        </w:rPr>
      </w:pPr>
      <w:r>
        <w:rPr>
          <w:rFonts w:hint="eastAsia" w:ascii="Times New Roman" w:hAnsi="Times New Roman" w:eastAsia="楷体" w:cs="楷体"/>
          <w:snapToGrid w:val="0"/>
          <w:color w:val="auto"/>
          <w:kern w:val="0"/>
          <w:sz w:val="32"/>
          <w:szCs w:val="32"/>
          <w:highlight w:val="none"/>
        </w:rPr>
        <w:t>（</w:t>
      </w:r>
      <w:r>
        <w:rPr>
          <w:rFonts w:hint="eastAsia" w:ascii="Times New Roman" w:hAnsi="Times New Roman" w:eastAsia="楷体" w:cs="楷体"/>
          <w:snapToGrid w:val="0"/>
          <w:color w:val="auto"/>
          <w:kern w:val="0"/>
          <w:sz w:val="32"/>
          <w:szCs w:val="32"/>
          <w:highlight w:val="none"/>
          <w:lang w:val="en-US" w:eastAsia="zh-CN"/>
        </w:rPr>
        <w:t>三</w:t>
      </w:r>
      <w:r>
        <w:rPr>
          <w:rFonts w:hint="eastAsia" w:ascii="Times New Roman" w:hAnsi="Times New Roman" w:eastAsia="楷体" w:cs="楷体"/>
          <w:snapToGrid w:val="0"/>
          <w:color w:val="auto"/>
          <w:kern w:val="0"/>
          <w:sz w:val="32"/>
          <w:szCs w:val="32"/>
          <w:highlight w:val="none"/>
        </w:rPr>
        <w:t>）全县财政预算</w:t>
      </w:r>
      <w:r>
        <w:rPr>
          <w:rFonts w:hint="eastAsia" w:ascii="Times New Roman" w:hAnsi="Times New Roman" w:eastAsia="楷体" w:cs="楷体"/>
          <w:snapToGrid w:val="0"/>
          <w:color w:val="auto"/>
          <w:kern w:val="0"/>
          <w:sz w:val="32"/>
          <w:szCs w:val="32"/>
          <w:highlight w:val="none"/>
          <w:lang w:eastAsia="zh-CN"/>
        </w:rPr>
        <w:t>：</w:t>
      </w:r>
      <w:r>
        <w:rPr>
          <w:rFonts w:hint="eastAsia" w:ascii="Times New Roman" w:hAnsi="Times New Roman" w:eastAsia="楷体" w:cs="楷体"/>
          <w:snapToGrid w:val="0"/>
          <w:color w:val="auto"/>
          <w:kern w:val="0"/>
          <w:sz w:val="32"/>
          <w:szCs w:val="32"/>
          <w:highlight w:val="none"/>
          <w:lang w:val="en-US" w:eastAsia="zh-CN"/>
        </w:rPr>
        <w:t>统筹平衡固根基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rPr>
          <w:rFonts w:ascii="Times New Roman" w:hAnsi="Times New Roman" w:eastAsia="仿宋" w:cs="仿宋"/>
          <w:color w:val="auto"/>
          <w:kern w:val="0"/>
          <w:sz w:val="32"/>
          <w:szCs w:val="32"/>
          <w:highlight w:val="none"/>
        </w:rPr>
      </w:pPr>
      <w:r>
        <w:rPr>
          <w:rFonts w:hint="eastAsia" w:ascii="Times New Roman" w:hAnsi="Times New Roman" w:eastAsia="仿宋" w:cs="仿宋"/>
          <w:color w:val="auto"/>
          <w:sz w:val="32"/>
          <w:szCs w:val="32"/>
          <w:highlight w:val="none"/>
        </w:rPr>
        <w:t>1．一般公共预算。</w:t>
      </w:r>
      <w:r>
        <w:rPr>
          <w:rFonts w:hint="eastAsia" w:ascii="Times New Roman" w:hAnsi="Times New Roman" w:eastAsia="仿宋" w:cs="仿宋"/>
          <w:color w:val="auto"/>
          <w:sz w:val="32"/>
          <w:szCs w:val="32"/>
          <w:highlight w:val="none"/>
          <w:lang w:val="en-US" w:eastAsia="zh-CN"/>
        </w:rPr>
        <w:t>2026年我县</w:t>
      </w:r>
      <w:r>
        <w:rPr>
          <w:rFonts w:hint="eastAsia" w:ascii="Times New Roman" w:hAnsi="Times New Roman" w:eastAsia="仿宋" w:cs="仿宋"/>
          <w:color w:val="auto"/>
          <w:sz w:val="32"/>
          <w:szCs w:val="32"/>
          <w:highlight w:val="none"/>
        </w:rPr>
        <w:t>一般公共预算收入</w:t>
      </w:r>
      <w:r>
        <w:rPr>
          <w:rFonts w:hint="eastAsia" w:ascii="Times New Roman" w:hAnsi="Times New Roman" w:eastAsia="仿宋" w:cs="仿宋"/>
          <w:color w:val="auto"/>
          <w:sz w:val="32"/>
          <w:szCs w:val="32"/>
          <w:highlight w:val="none"/>
          <w:lang w:val="en-US" w:eastAsia="zh-CN"/>
        </w:rPr>
        <w:t>预算153317</w:t>
      </w:r>
      <w:r>
        <w:rPr>
          <w:rFonts w:hint="eastAsia" w:ascii="Times New Roman" w:hAnsi="Times New Roman" w:eastAsia="仿宋" w:cs="仿宋"/>
          <w:color w:val="auto"/>
          <w:sz w:val="32"/>
          <w:szCs w:val="32"/>
          <w:highlight w:val="none"/>
        </w:rPr>
        <w:t>万元，同比增长</w:t>
      </w:r>
      <w:r>
        <w:rPr>
          <w:rFonts w:hint="eastAsia" w:ascii="Times New Roman" w:hAnsi="Times New Roman" w:eastAsia="仿宋" w:cs="仿宋"/>
          <w:color w:val="auto"/>
          <w:sz w:val="32"/>
          <w:szCs w:val="32"/>
          <w:highlight w:val="none"/>
          <w:lang w:val="en-US" w:eastAsia="zh-CN"/>
        </w:rPr>
        <w:t>1.96</w:t>
      </w:r>
      <w:r>
        <w:rPr>
          <w:rFonts w:hint="eastAsia" w:ascii="Times New Roman" w:hAnsi="Times New Roman" w:eastAsia="仿宋" w:cs="仿宋"/>
          <w:color w:val="auto"/>
          <w:sz w:val="32"/>
          <w:szCs w:val="32"/>
          <w:highlight w:val="none"/>
        </w:rPr>
        <w:t>%。</w:t>
      </w:r>
      <w:r>
        <w:rPr>
          <w:rFonts w:hint="eastAsia" w:ascii="Times New Roman" w:hAnsi="Times New Roman" w:eastAsia="仿宋" w:cs="仿宋"/>
          <w:color w:val="auto"/>
          <w:kern w:val="0"/>
          <w:sz w:val="32"/>
          <w:szCs w:val="32"/>
          <w:highlight w:val="none"/>
        </w:rPr>
        <w:t>其中：税收收入</w:t>
      </w:r>
      <w:r>
        <w:rPr>
          <w:rFonts w:hint="eastAsia" w:ascii="Times New Roman" w:hAnsi="Times New Roman" w:eastAsia="仿宋" w:cs="仿宋"/>
          <w:color w:val="auto"/>
          <w:kern w:val="0"/>
          <w:sz w:val="32"/>
          <w:szCs w:val="32"/>
          <w:highlight w:val="none"/>
          <w:lang w:val="en-US" w:eastAsia="zh-CN"/>
        </w:rPr>
        <w:t>63317</w:t>
      </w:r>
      <w:r>
        <w:rPr>
          <w:rFonts w:hint="eastAsia" w:ascii="Times New Roman" w:hAnsi="Times New Roman" w:eastAsia="仿宋" w:cs="仿宋"/>
          <w:color w:val="auto"/>
          <w:kern w:val="0"/>
          <w:sz w:val="32"/>
          <w:szCs w:val="32"/>
          <w:highlight w:val="none"/>
        </w:rPr>
        <w:t>万元，</w:t>
      </w:r>
      <w:r>
        <w:rPr>
          <w:rFonts w:hint="eastAsia" w:ascii="Times New Roman" w:hAnsi="Times New Roman" w:eastAsia="仿宋" w:cs="仿宋"/>
          <w:color w:val="auto"/>
          <w:kern w:val="0"/>
          <w:sz w:val="32"/>
          <w:szCs w:val="32"/>
          <w:highlight w:val="none"/>
          <w:lang w:val="en-US" w:eastAsia="zh-CN"/>
        </w:rPr>
        <w:t>同比</w:t>
      </w:r>
      <w:r>
        <w:rPr>
          <w:rFonts w:hint="eastAsia" w:ascii="Times New Roman" w:hAnsi="Times New Roman" w:eastAsia="仿宋" w:cs="仿宋"/>
          <w:color w:val="auto"/>
          <w:kern w:val="0"/>
          <w:sz w:val="32"/>
          <w:szCs w:val="32"/>
          <w:highlight w:val="none"/>
        </w:rPr>
        <w:t>增长</w:t>
      </w:r>
      <w:r>
        <w:rPr>
          <w:rFonts w:hint="eastAsia" w:ascii="Times New Roman" w:hAnsi="Times New Roman" w:eastAsia="仿宋" w:cs="仿宋"/>
          <w:color w:val="auto"/>
          <w:kern w:val="0"/>
          <w:sz w:val="32"/>
          <w:szCs w:val="32"/>
          <w:highlight w:val="none"/>
          <w:lang w:val="en-US" w:eastAsia="zh-CN"/>
        </w:rPr>
        <w:t>3.00</w:t>
      </w:r>
      <w:r>
        <w:rPr>
          <w:rFonts w:hint="eastAsia" w:ascii="Times New Roman" w:hAnsi="Times New Roman" w:eastAsia="仿宋" w:cs="仿宋"/>
          <w:color w:val="auto"/>
          <w:kern w:val="0"/>
          <w:sz w:val="32"/>
          <w:szCs w:val="32"/>
          <w:highlight w:val="none"/>
        </w:rPr>
        <w:t>%；非税</w:t>
      </w:r>
      <w:r>
        <w:rPr>
          <w:rFonts w:hint="eastAsia" w:ascii="Times New Roman" w:hAnsi="Times New Roman" w:eastAsia="仿宋" w:cs="仿宋"/>
          <w:color w:val="auto"/>
          <w:sz w:val="32"/>
          <w:szCs w:val="32"/>
          <w:highlight w:val="none"/>
        </w:rPr>
        <w:t>收入</w:t>
      </w:r>
      <w:r>
        <w:rPr>
          <w:rFonts w:hint="eastAsia" w:ascii="Times New Roman" w:hAnsi="Times New Roman" w:eastAsia="仿宋" w:cs="仿宋"/>
          <w:color w:val="auto"/>
          <w:sz w:val="32"/>
          <w:szCs w:val="32"/>
          <w:highlight w:val="none"/>
          <w:lang w:val="en-US" w:eastAsia="zh-CN"/>
        </w:rPr>
        <w:t>90000</w:t>
      </w:r>
      <w:r>
        <w:rPr>
          <w:rFonts w:hint="eastAsia" w:ascii="Times New Roman" w:hAnsi="Times New Roman" w:eastAsia="仿宋" w:cs="仿宋"/>
          <w:color w:val="auto"/>
          <w:kern w:val="0"/>
          <w:sz w:val="32"/>
          <w:szCs w:val="32"/>
          <w:highlight w:val="none"/>
        </w:rPr>
        <w:t>万元，</w:t>
      </w:r>
      <w:r>
        <w:rPr>
          <w:rFonts w:hint="eastAsia" w:ascii="Times New Roman" w:hAnsi="Times New Roman" w:eastAsia="仿宋" w:cs="仿宋"/>
          <w:color w:val="auto"/>
          <w:kern w:val="0"/>
          <w:sz w:val="32"/>
          <w:szCs w:val="32"/>
          <w:highlight w:val="none"/>
          <w:lang w:val="en-US" w:eastAsia="zh-CN"/>
        </w:rPr>
        <w:t>同比</w:t>
      </w:r>
      <w:r>
        <w:rPr>
          <w:rFonts w:hint="eastAsia" w:ascii="Times New Roman" w:hAnsi="Times New Roman" w:eastAsia="仿宋" w:cs="仿宋"/>
          <w:color w:val="auto"/>
          <w:kern w:val="0"/>
          <w:sz w:val="32"/>
          <w:szCs w:val="32"/>
          <w:highlight w:val="none"/>
        </w:rPr>
        <w:t>增长</w:t>
      </w:r>
      <w:r>
        <w:rPr>
          <w:rFonts w:hint="eastAsia" w:ascii="Times New Roman" w:hAnsi="Times New Roman" w:eastAsia="仿宋" w:cs="仿宋"/>
          <w:color w:val="auto"/>
          <w:kern w:val="0"/>
          <w:sz w:val="32"/>
          <w:szCs w:val="32"/>
          <w:highlight w:val="none"/>
          <w:lang w:val="en-US" w:eastAsia="zh-CN"/>
        </w:rPr>
        <w:t>1.24</w:t>
      </w:r>
      <w:r>
        <w:rPr>
          <w:rFonts w:hint="eastAsia" w:ascii="Times New Roman" w:hAnsi="Times New Roman" w:eastAsia="仿宋" w:cs="仿宋"/>
          <w:color w:val="auto"/>
          <w:kern w:val="0"/>
          <w:sz w:val="32"/>
          <w:szCs w:val="32"/>
          <w:highlight w:val="none"/>
        </w:rPr>
        <w:t>%。</w:t>
      </w:r>
      <w:r>
        <w:rPr>
          <w:rFonts w:hint="eastAsia" w:ascii="Times New Roman" w:hAnsi="Times New Roman" w:eastAsia="仿宋" w:cs="仿宋"/>
          <w:color w:val="auto"/>
          <w:sz w:val="32"/>
          <w:szCs w:val="32"/>
          <w:highlight w:val="none"/>
        </w:rPr>
        <w:t>一般公共预算收入加上</w:t>
      </w:r>
      <w:r>
        <w:rPr>
          <w:rFonts w:hint="eastAsia" w:ascii="Times New Roman" w:hAnsi="Times New Roman" w:eastAsia="仿宋" w:cs="仿宋"/>
          <w:color w:val="auto"/>
          <w:kern w:val="0"/>
          <w:sz w:val="32"/>
          <w:szCs w:val="32"/>
          <w:highlight w:val="none"/>
        </w:rPr>
        <w:t>返还性收入5529万元</w:t>
      </w:r>
      <w:r>
        <w:rPr>
          <w:rFonts w:hint="eastAsia" w:ascii="Times New Roman" w:hAnsi="Times New Roman" w:eastAsia="仿宋" w:cs="仿宋"/>
          <w:color w:val="auto"/>
          <w:kern w:val="0"/>
          <w:sz w:val="32"/>
          <w:szCs w:val="32"/>
          <w:highlight w:val="none"/>
          <w:lang w:eastAsia="zh-CN"/>
        </w:rPr>
        <w:t>、</w:t>
      </w:r>
      <w:r>
        <w:rPr>
          <w:rFonts w:hint="eastAsia" w:ascii="Times New Roman" w:hAnsi="Times New Roman" w:eastAsia="仿宋" w:cs="仿宋"/>
          <w:color w:val="auto"/>
          <w:kern w:val="0"/>
          <w:sz w:val="32"/>
          <w:szCs w:val="32"/>
          <w:highlight w:val="none"/>
        </w:rPr>
        <w:t>一般性转移支付收入</w:t>
      </w:r>
      <w:r>
        <w:rPr>
          <w:rFonts w:hint="eastAsia" w:ascii="Times New Roman" w:hAnsi="Times New Roman" w:eastAsia="仿宋" w:cs="仿宋"/>
          <w:color w:val="auto"/>
          <w:kern w:val="0"/>
          <w:sz w:val="32"/>
          <w:szCs w:val="32"/>
          <w:highlight w:val="none"/>
          <w:lang w:val="en-US" w:eastAsia="zh-CN"/>
        </w:rPr>
        <w:t>109783</w:t>
      </w:r>
      <w:r>
        <w:rPr>
          <w:rFonts w:hint="eastAsia" w:ascii="Times New Roman" w:hAnsi="Times New Roman" w:eastAsia="仿宋" w:cs="仿宋"/>
          <w:color w:val="auto"/>
          <w:kern w:val="0"/>
          <w:sz w:val="32"/>
          <w:szCs w:val="32"/>
          <w:highlight w:val="none"/>
        </w:rPr>
        <w:t>万元</w:t>
      </w:r>
      <w:r>
        <w:rPr>
          <w:rFonts w:hint="eastAsia" w:ascii="Times New Roman" w:hAnsi="Times New Roman" w:eastAsia="仿宋" w:cs="仿宋"/>
          <w:color w:val="auto"/>
          <w:kern w:val="0"/>
          <w:sz w:val="32"/>
          <w:szCs w:val="32"/>
          <w:highlight w:val="none"/>
          <w:lang w:eastAsia="zh-CN"/>
        </w:rPr>
        <w:t>、</w:t>
      </w:r>
      <w:r>
        <w:rPr>
          <w:rFonts w:hint="eastAsia" w:ascii="Times New Roman" w:hAnsi="Times New Roman" w:eastAsia="仿宋" w:cs="仿宋"/>
          <w:color w:val="auto"/>
          <w:kern w:val="0"/>
          <w:sz w:val="32"/>
          <w:szCs w:val="32"/>
          <w:highlight w:val="none"/>
        </w:rPr>
        <w:t>调入资金20000万元</w:t>
      </w:r>
      <w:r>
        <w:rPr>
          <w:rFonts w:hint="eastAsia" w:ascii="Times New Roman" w:hAnsi="Times New Roman" w:eastAsia="仿宋" w:cs="仿宋"/>
          <w:color w:val="auto"/>
          <w:kern w:val="0"/>
          <w:sz w:val="32"/>
          <w:szCs w:val="32"/>
          <w:highlight w:val="none"/>
          <w:lang w:eastAsia="zh-CN"/>
        </w:rPr>
        <w:t>、</w:t>
      </w:r>
      <w:r>
        <w:rPr>
          <w:rFonts w:hint="eastAsia" w:ascii="Times New Roman" w:hAnsi="Times New Roman" w:eastAsia="仿宋" w:cs="仿宋"/>
          <w:color w:val="auto"/>
          <w:sz w:val="32"/>
          <w:szCs w:val="32"/>
          <w:highlight w:val="none"/>
        </w:rPr>
        <w:t>收入总量</w:t>
      </w:r>
      <w:r>
        <w:rPr>
          <w:rFonts w:hint="eastAsia" w:ascii="Times New Roman" w:hAnsi="Times New Roman" w:eastAsia="仿宋" w:cs="仿宋"/>
          <w:color w:val="auto"/>
          <w:sz w:val="32"/>
          <w:szCs w:val="32"/>
          <w:highlight w:val="none"/>
          <w:lang w:val="en-US" w:eastAsia="zh-CN"/>
        </w:rPr>
        <w:t>288629</w:t>
      </w:r>
      <w:r>
        <w:rPr>
          <w:rFonts w:hint="eastAsia" w:ascii="Times New Roman" w:hAnsi="Times New Roman" w:eastAsia="仿宋" w:cs="仿宋"/>
          <w:color w:val="auto"/>
          <w:sz w:val="32"/>
          <w:szCs w:val="32"/>
          <w:highlight w:val="none"/>
        </w:rPr>
        <w:t>万元。扣除上解支出</w:t>
      </w:r>
      <w:r>
        <w:rPr>
          <w:rFonts w:hint="eastAsia" w:ascii="Times New Roman" w:hAnsi="Times New Roman" w:eastAsia="仿宋" w:cs="仿宋"/>
          <w:color w:val="auto"/>
          <w:sz w:val="32"/>
          <w:szCs w:val="32"/>
          <w:highlight w:val="none"/>
          <w:lang w:val="en-US" w:eastAsia="zh-CN"/>
        </w:rPr>
        <w:t>17285</w:t>
      </w:r>
      <w:r>
        <w:rPr>
          <w:rFonts w:hint="eastAsia" w:ascii="Times New Roman" w:hAnsi="Times New Roman" w:eastAsia="仿宋" w:cs="仿宋"/>
          <w:color w:val="auto"/>
          <w:sz w:val="32"/>
          <w:szCs w:val="32"/>
          <w:highlight w:val="none"/>
        </w:rPr>
        <w:t>万元</w:t>
      </w: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rPr>
        <w:t>一般债务还本支出</w:t>
      </w:r>
      <w:r>
        <w:rPr>
          <w:rFonts w:hint="eastAsia" w:ascii="Times New Roman" w:hAnsi="Times New Roman" w:eastAsia="仿宋" w:cs="仿宋"/>
          <w:color w:val="auto"/>
          <w:sz w:val="32"/>
          <w:szCs w:val="32"/>
          <w:highlight w:val="none"/>
          <w:lang w:val="en-US" w:eastAsia="zh-CN"/>
        </w:rPr>
        <w:t>5</w:t>
      </w:r>
      <w:r>
        <w:rPr>
          <w:rFonts w:hint="eastAsia" w:ascii="Times New Roman" w:hAnsi="Times New Roman" w:eastAsia="仿宋" w:cs="仿宋"/>
          <w:color w:val="auto"/>
          <w:sz w:val="32"/>
          <w:szCs w:val="32"/>
          <w:highlight w:val="none"/>
        </w:rPr>
        <w:t>00万元，全县当年可供安排财力总额为</w:t>
      </w:r>
      <w:r>
        <w:rPr>
          <w:rFonts w:hint="eastAsia" w:ascii="Times New Roman" w:hAnsi="Times New Roman" w:eastAsia="仿宋" w:cs="仿宋"/>
          <w:color w:val="auto"/>
          <w:sz w:val="32"/>
          <w:szCs w:val="32"/>
          <w:highlight w:val="none"/>
          <w:lang w:val="en-US" w:eastAsia="zh-CN"/>
        </w:rPr>
        <w:t>270844</w:t>
      </w:r>
      <w:r>
        <w:rPr>
          <w:rFonts w:hint="eastAsia" w:ascii="Times New Roman" w:hAnsi="Times New Roman" w:eastAsia="仿宋" w:cs="仿宋"/>
          <w:color w:val="auto"/>
          <w:sz w:val="32"/>
          <w:szCs w:val="32"/>
          <w:highlight w:val="none"/>
        </w:rPr>
        <w:t>万元。</w:t>
      </w:r>
    </w:p>
    <w:p>
      <w:pPr>
        <w:adjustRightInd w:val="0"/>
        <w:snapToGrid w:val="0"/>
        <w:spacing w:line="560" w:lineRule="exact"/>
        <w:ind w:firstLine="640" w:firstLineChars="200"/>
        <w:rPr>
          <w:rFonts w:ascii="Times New Roman" w:hAnsi="Times New Roman" w:eastAsia="仿宋" w:cs="仿宋"/>
          <w:color w:val="auto"/>
          <w:kern w:val="0"/>
          <w:sz w:val="32"/>
          <w:szCs w:val="32"/>
          <w:highlight w:val="none"/>
        </w:rPr>
      </w:pPr>
      <w:r>
        <w:rPr>
          <w:rFonts w:hint="eastAsia" w:ascii="Times New Roman" w:hAnsi="Times New Roman" w:eastAsia="楷体" w:cs="楷体"/>
          <w:bCs/>
          <w:color w:val="auto"/>
          <w:sz w:val="32"/>
          <w:szCs w:val="32"/>
          <w:highlight w:val="none"/>
        </w:rPr>
        <w:t>2．</w:t>
      </w:r>
      <w:r>
        <w:rPr>
          <w:rFonts w:hint="eastAsia" w:ascii="Times New Roman" w:hAnsi="Times New Roman" w:eastAsia="仿宋" w:cs="仿宋"/>
          <w:color w:val="auto"/>
          <w:sz w:val="32"/>
          <w:szCs w:val="32"/>
          <w:highlight w:val="none"/>
          <w:lang w:val="en-US" w:eastAsia="zh-CN"/>
        </w:rPr>
        <w:t>政府性基金预算。2026年我县政府性基金</w:t>
      </w:r>
      <w:r>
        <w:rPr>
          <w:rFonts w:hint="eastAsia" w:ascii="Times New Roman" w:hAnsi="Times New Roman" w:eastAsia="仿宋" w:cs="仿宋"/>
          <w:color w:val="auto"/>
          <w:sz w:val="32"/>
          <w:szCs w:val="32"/>
          <w:highlight w:val="none"/>
        </w:rPr>
        <w:t>收入</w:t>
      </w:r>
      <w:r>
        <w:rPr>
          <w:rFonts w:hint="eastAsia" w:ascii="Times New Roman" w:hAnsi="Times New Roman" w:eastAsia="仿宋" w:cs="仿宋"/>
          <w:color w:val="auto"/>
          <w:sz w:val="32"/>
          <w:szCs w:val="32"/>
          <w:highlight w:val="none"/>
          <w:lang w:val="en-US" w:eastAsia="zh-CN"/>
        </w:rPr>
        <w:t>预算</w:t>
      </w:r>
      <w:r>
        <w:rPr>
          <w:rFonts w:hint="eastAsia" w:ascii="Times New Roman" w:hAnsi="Times New Roman" w:eastAsia="仿宋" w:cs="仿宋"/>
          <w:color w:val="auto"/>
          <w:sz w:val="32"/>
          <w:szCs w:val="32"/>
          <w:highlight w:val="none"/>
        </w:rPr>
        <w:t>170000万元，</w:t>
      </w:r>
      <w:r>
        <w:rPr>
          <w:rFonts w:hint="eastAsia" w:ascii="Times New Roman" w:hAnsi="Times New Roman" w:eastAsia="仿宋" w:cs="仿宋"/>
          <w:color w:val="auto"/>
          <w:sz w:val="32"/>
          <w:szCs w:val="32"/>
          <w:highlight w:val="none"/>
          <w:lang w:val="en-US" w:eastAsia="zh-CN"/>
        </w:rPr>
        <w:t>与上年持平</w:t>
      </w:r>
      <w:r>
        <w:rPr>
          <w:rFonts w:hint="eastAsia" w:ascii="Times New Roman" w:hAnsi="Times New Roman" w:eastAsia="仿宋" w:cs="仿宋"/>
          <w:color w:val="auto"/>
          <w:sz w:val="32"/>
          <w:szCs w:val="32"/>
          <w:highlight w:val="none"/>
        </w:rPr>
        <w:t>。按照收支平衡原则，</w:t>
      </w:r>
      <w:r>
        <w:rPr>
          <w:rFonts w:hint="eastAsia" w:ascii="Times New Roman" w:hAnsi="Times New Roman" w:eastAsia="仿宋" w:cs="仿宋"/>
          <w:color w:val="auto"/>
          <w:sz w:val="32"/>
          <w:szCs w:val="32"/>
          <w:highlight w:val="none"/>
          <w:lang w:val="en-US" w:eastAsia="zh-CN"/>
        </w:rPr>
        <w:t>政府性基金</w:t>
      </w:r>
      <w:r>
        <w:rPr>
          <w:rFonts w:hint="eastAsia" w:ascii="Times New Roman" w:hAnsi="Times New Roman" w:eastAsia="仿宋" w:cs="仿宋"/>
          <w:color w:val="auto"/>
          <w:sz w:val="32"/>
          <w:szCs w:val="32"/>
          <w:highlight w:val="none"/>
        </w:rPr>
        <w:t>支出</w:t>
      </w:r>
      <w:r>
        <w:rPr>
          <w:rFonts w:hint="eastAsia" w:ascii="Times New Roman" w:hAnsi="Times New Roman" w:eastAsia="仿宋" w:cs="仿宋"/>
          <w:color w:val="auto"/>
          <w:sz w:val="32"/>
          <w:szCs w:val="32"/>
          <w:highlight w:val="none"/>
          <w:lang w:val="en-US" w:eastAsia="zh-CN"/>
        </w:rPr>
        <w:t>预算146410</w:t>
      </w:r>
      <w:r>
        <w:rPr>
          <w:rFonts w:hint="eastAsia" w:ascii="Times New Roman" w:hAnsi="Times New Roman" w:eastAsia="仿宋" w:cs="仿宋"/>
          <w:color w:val="auto"/>
          <w:sz w:val="32"/>
          <w:szCs w:val="32"/>
          <w:highlight w:val="none"/>
        </w:rPr>
        <w:t>万元</w:t>
      </w: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rPr>
        <w:t>地方政府专项债务还本</w:t>
      </w:r>
      <w:r>
        <w:rPr>
          <w:rFonts w:hint="eastAsia" w:ascii="Times New Roman" w:hAnsi="Times New Roman" w:eastAsia="仿宋" w:cs="仿宋"/>
          <w:color w:val="auto"/>
          <w:sz w:val="32"/>
          <w:szCs w:val="32"/>
          <w:highlight w:val="none"/>
          <w:lang w:val="en-US" w:eastAsia="zh-CN"/>
        </w:rPr>
        <w:t>3588</w:t>
      </w:r>
      <w:r>
        <w:rPr>
          <w:rFonts w:hint="eastAsia" w:ascii="Times New Roman" w:hAnsi="Times New Roman" w:eastAsia="仿宋" w:cs="仿宋"/>
          <w:color w:val="auto"/>
          <w:sz w:val="32"/>
          <w:szCs w:val="32"/>
          <w:highlight w:val="none"/>
        </w:rPr>
        <w:t>万元</w:t>
      </w: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rPr>
        <w:t>上解支出2万元</w:t>
      </w: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rPr>
        <w:t>调出资金20000万元。重点保障征地和拆迁补偿支出、市政基础设施建设、城乡建设用地增减挂钩、乡村振兴等基础设施建设。</w:t>
      </w:r>
    </w:p>
    <w:p>
      <w:pPr>
        <w:spacing w:line="560" w:lineRule="exact"/>
        <w:ind w:firstLine="640" w:firstLineChars="200"/>
        <w:rPr>
          <w:rFonts w:hint="default" w:ascii="Times New Roman" w:hAnsi="Times New Roman" w:eastAsia="楷体" w:cs="楷体"/>
          <w:snapToGrid w:val="0"/>
          <w:color w:val="auto"/>
          <w:kern w:val="0"/>
          <w:sz w:val="32"/>
          <w:szCs w:val="32"/>
          <w:highlight w:val="none"/>
          <w:lang w:val="en-US" w:eastAsia="zh-CN"/>
        </w:rPr>
      </w:pPr>
      <w:r>
        <w:rPr>
          <w:rFonts w:hint="eastAsia" w:ascii="Times New Roman" w:hAnsi="Times New Roman" w:eastAsia="楷体" w:cs="楷体"/>
          <w:snapToGrid w:val="0"/>
          <w:color w:val="auto"/>
          <w:kern w:val="0"/>
          <w:sz w:val="32"/>
          <w:szCs w:val="32"/>
          <w:highlight w:val="none"/>
        </w:rPr>
        <w:t>（</w:t>
      </w:r>
      <w:r>
        <w:rPr>
          <w:rFonts w:hint="eastAsia" w:ascii="Times New Roman" w:hAnsi="Times New Roman" w:eastAsia="楷体" w:cs="楷体"/>
          <w:snapToGrid w:val="0"/>
          <w:color w:val="auto"/>
          <w:kern w:val="0"/>
          <w:sz w:val="32"/>
          <w:szCs w:val="32"/>
          <w:highlight w:val="none"/>
          <w:lang w:val="en-US" w:eastAsia="zh-CN"/>
        </w:rPr>
        <w:t>四</w:t>
      </w:r>
      <w:r>
        <w:rPr>
          <w:rFonts w:hint="eastAsia" w:ascii="Times New Roman" w:hAnsi="Times New Roman" w:eastAsia="楷体" w:cs="楷体"/>
          <w:snapToGrid w:val="0"/>
          <w:color w:val="auto"/>
          <w:kern w:val="0"/>
          <w:sz w:val="32"/>
          <w:szCs w:val="32"/>
          <w:highlight w:val="none"/>
        </w:rPr>
        <w:t>）县本级财政预算</w:t>
      </w:r>
      <w:r>
        <w:rPr>
          <w:rFonts w:hint="eastAsia" w:ascii="Times New Roman" w:hAnsi="Times New Roman" w:eastAsia="楷体" w:cs="楷体"/>
          <w:snapToGrid w:val="0"/>
          <w:color w:val="auto"/>
          <w:kern w:val="0"/>
          <w:sz w:val="32"/>
          <w:szCs w:val="32"/>
          <w:highlight w:val="none"/>
          <w:lang w:eastAsia="zh-CN"/>
        </w:rPr>
        <w:t>：</w:t>
      </w:r>
      <w:r>
        <w:rPr>
          <w:rFonts w:hint="eastAsia" w:ascii="Times New Roman" w:hAnsi="Times New Roman" w:eastAsia="楷体" w:cs="楷体"/>
          <w:snapToGrid w:val="0"/>
          <w:color w:val="auto"/>
          <w:kern w:val="0"/>
          <w:sz w:val="32"/>
          <w:szCs w:val="32"/>
          <w:highlight w:val="none"/>
          <w:lang w:val="en-US" w:eastAsia="zh-CN"/>
        </w:rPr>
        <w:t>精准发力强统筹</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60" w:lineRule="exact"/>
        <w:ind w:firstLine="640" w:firstLineChars="200"/>
        <w:textAlignment w:val="auto"/>
        <w:rPr>
          <w:rFonts w:ascii="Times New Roman" w:hAnsi="Times New Roman" w:eastAsia="仿宋" w:cs="仿宋"/>
          <w:color w:val="auto"/>
          <w:kern w:val="0"/>
          <w:sz w:val="32"/>
          <w:szCs w:val="32"/>
          <w:highlight w:val="none"/>
        </w:rPr>
      </w:pPr>
      <w:r>
        <w:rPr>
          <w:rFonts w:hint="eastAsia" w:ascii="Times New Roman" w:hAnsi="Times New Roman" w:eastAsia="仿宋" w:cs="仿宋"/>
          <w:color w:val="auto"/>
          <w:spacing w:val="0"/>
          <w:kern w:val="0"/>
          <w:sz w:val="32"/>
          <w:szCs w:val="32"/>
          <w:highlight w:val="none"/>
          <w:lang w:eastAsia="zh-CN"/>
        </w:rPr>
        <w:t>1．</w:t>
      </w:r>
      <w:r>
        <w:rPr>
          <w:rFonts w:hint="eastAsia" w:ascii="Times New Roman" w:hAnsi="Times New Roman" w:eastAsia="仿宋" w:cs="仿宋"/>
          <w:color w:val="auto"/>
          <w:spacing w:val="0"/>
          <w:kern w:val="0"/>
          <w:sz w:val="32"/>
          <w:szCs w:val="32"/>
          <w:highlight w:val="none"/>
          <w:lang w:val="en-US" w:eastAsia="zh-CN" w:bidi="ar-SA"/>
        </w:rPr>
        <w:t>一般公共预算。</w:t>
      </w:r>
      <w:r>
        <w:rPr>
          <w:rFonts w:hint="eastAsia" w:ascii="Times New Roman" w:hAnsi="Times New Roman" w:eastAsia="仿宋" w:cs="仿宋"/>
          <w:color w:val="auto"/>
          <w:kern w:val="0"/>
          <w:sz w:val="32"/>
          <w:szCs w:val="32"/>
          <w:highlight w:val="none"/>
          <w:lang w:val="en-US" w:eastAsia="zh-CN"/>
        </w:rPr>
        <w:t>2026年县本级</w:t>
      </w:r>
      <w:r>
        <w:rPr>
          <w:rFonts w:hint="eastAsia" w:ascii="Times New Roman" w:hAnsi="Times New Roman" w:eastAsia="仿宋" w:cs="仿宋"/>
          <w:color w:val="auto"/>
          <w:kern w:val="0"/>
          <w:sz w:val="32"/>
          <w:szCs w:val="32"/>
          <w:highlight w:val="none"/>
        </w:rPr>
        <w:t>一般公</w:t>
      </w:r>
      <w:bookmarkStart w:id="4" w:name="_GoBack"/>
      <w:bookmarkEnd w:id="4"/>
      <w:r>
        <w:rPr>
          <w:rFonts w:hint="eastAsia" w:ascii="Times New Roman" w:hAnsi="Times New Roman" w:eastAsia="仿宋" w:cs="仿宋"/>
          <w:color w:val="auto"/>
          <w:kern w:val="0"/>
          <w:sz w:val="32"/>
          <w:szCs w:val="32"/>
          <w:highlight w:val="none"/>
        </w:rPr>
        <w:t>共预算收入预算</w:t>
      </w:r>
      <w:r>
        <w:rPr>
          <w:rFonts w:hint="eastAsia" w:ascii="Times New Roman" w:hAnsi="Times New Roman" w:eastAsia="仿宋" w:cs="仿宋"/>
          <w:color w:val="auto"/>
          <w:sz w:val="32"/>
          <w:szCs w:val="32"/>
          <w:highlight w:val="none"/>
        </w:rPr>
        <w:t>14</w:t>
      </w:r>
      <w:r>
        <w:rPr>
          <w:rFonts w:hint="eastAsia" w:ascii="Times New Roman" w:hAnsi="Times New Roman" w:eastAsia="仿宋" w:cs="仿宋"/>
          <w:color w:val="auto"/>
          <w:sz w:val="32"/>
          <w:szCs w:val="32"/>
          <w:highlight w:val="none"/>
          <w:lang w:val="en-US" w:eastAsia="zh-CN"/>
        </w:rPr>
        <w:t>8617</w:t>
      </w:r>
      <w:r>
        <w:rPr>
          <w:rFonts w:hint="eastAsia" w:ascii="Times New Roman" w:hAnsi="Times New Roman" w:eastAsia="仿宋" w:cs="仿宋"/>
          <w:color w:val="auto"/>
          <w:kern w:val="0"/>
          <w:sz w:val="32"/>
          <w:szCs w:val="32"/>
          <w:highlight w:val="none"/>
        </w:rPr>
        <w:t>万元，</w:t>
      </w:r>
      <w:r>
        <w:rPr>
          <w:rFonts w:hint="eastAsia" w:ascii="Times New Roman" w:hAnsi="Times New Roman" w:eastAsia="仿宋" w:cs="仿宋"/>
          <w:color w:val="auto"/>
          <w:sz w:val="32"/>
          <w:szCs w:val="32"/>
          <w:highlight w:val="none"/>
          <w:lang w:val="en-US" w:eastAsia="zh-CN"/>
        </w:rPr>
        <w:t>同比</w:t>
      </w:r>
      <w:r>
        <w:rPr>
          <w:rFonts w:hint="eastAsia" w:ascii="Times New Roman" w:hAnsi="Times New Roman" w:eastAsia="仿宋" w:cs="仿宋"/>
          <w:color w:val="auto"/>
          <w:sz w:val="32"/>
          <w:szCs w:val="32"/>
          <w:highlight w:val="none"/>
        </w:rPr>
        <w:t>增长</w:t>
      </w:r>
      <w:r>
        <w:rPr>
          <w:rFonts w:hint="eastAsia" w:ascii="Times New Roman" w:hAnsi="Times New Roman" w:eastAsia="仿宋" w:cs="仿宋"/>
          <w:color w:val="auto"/>
          <w:kern w:val="0"/>
          <w:sz w:val="32"/>
          <w:szCs w:val="32"/>
          <w:highlight w:val="none"/>
          <w:lang w:val="en-US" w:eastAsia="zh-CN"/>
        </w:rPr>
        <w:t>2.02</w:t>
      </w:r>
      <w:r>
        <w:rPr>
          <w:rFonts w:hint="eastAsia" w:ascii="Times New Roman" w:hAnsi="Times New Roman" w:eastAsia="仿宋" w:cs="仿宋"/>
          <w:color w:val="auto"/>
          <w:kern w:val="0"/>
          <w:sz w:val="32"/>
          <w:szCs w:val="32"/>
          <w:highlight w:val="none"/>
        </w:rPr>
        <w:t>%。其中：税收收入预算</w:t>
      </w:r>
      <w:r>
        <w:rPr>
          <w:rFonts w:hint="eastAsia" w:ascii="Times New Roman" w:hAnsi="Times New Roman" w:eastAsia="仿宋" w:cs="仿宋"/>
          <w:color w:val="auto"/>
          <w:kern w:val="0"/>
          <w:sz w:val="32"/>
          <w:szCs w:val="32"/>
          <w:highlight w:val="none"/>
          <w:lang w:val="en-US" w:eastAsia="zh-CN"/>
        </w:rPr>
        <w:t>59017</w:t>
      </w:r>
      <w:r>
        <w:rPr>
          <w:rFonts w:hint="eastAsia" w:ascii="Times New Roman" w:hAnsi="Times New Roman" w:eastAsia="仿宋" w:cs="仿宋"/>
          <w:color w:val="auto"/>
          <w:kern w:val="0"/>
          <w:sz w:val="32"/>
          <w:szCs w:val="32"/>
          <w:highlight w:val="none"/>
        </w:rPr>
        <w:t>万元，</w:t>
      </w:r>
      <w:r>
        <w:rPr>
          <w:rFonts w:hint="eastAsia" w:ascii="Times New Roman" w:hAnsi="Times New Roman" w:eastAsia="仿宋" w:cs="仿宋"/>
          <w:color w:val="auto"/>
          <w:sz w:val="32"/>
          <w:szCs w:val="32"/>
          <w:highlight w:val="none"/>
          <w:lang w:val="en-US" w:eastAsia="zh-CN"/>
        </w:rPr>
        <w:t>同比</w:t>
      </w:r>
      <w:r>
        <w:rPr>
          <w:rFonts w:hint="eastAsia" w:ascii="Times New Roman" w:hAnsi="Times New Roman" w:eastAsia="仿宋" w:cs="仿宋"/>
          <w:color w:val="auto"/>
          <w:sz w:val="32"/>
          <w:szCs w:val="32"/>
          <w:highlight w:val="none"/>
        </w:rPr>
        <w:t>增长</w:t>
      </w:r>
      <w:r>
        <w:rPr>
          <w:rFonts w:hint="eastAsia" w:ascii="Times New Roman" w:hAnsi="Times New Roman" w:eastAsia="仿宋" w:cs="仿宋"/>
          <w:color w:val="auto"/>
          <w:kern w:val="0"/>
          <w:sz w:val="32"/>
          <w:szCs w:val="32"/>
          <w:highlight w:val="none"/>
        </w:rPr>
        <w:t>3</w:t>
      </w:r>
      <w:r>
        <w:rPr>
          <w:rFonts w:hint="eastAsia" w:ascii="Times New Roman" w:hAnsi="Times New Roman" w:eastAsia="仿宋" w:cs="仿宋"/>
          <w:color w:val="auto"/>
          <w:kern w:val="0"/>
          <w:sz w:val="32"/>
          <w:szCs w:val="32"/>
          <w:highlight w:val="none"/>
          <w:lang w:val="en-US" w:eastAsia="zh-CN"/>
        </w:rPr>
        <w:t>.23</w:t>
      </w:r>
      <w:r>
        <w:rPr>
          <w:rFonts w:hint="eastAsia" w:ascii="Times New Roman" w:hAnsi="Times New Roman" w:eastAsia="仿宋" w:cs="仿宋"/>
          <w:color w:val="auto"/>
          <w:kern w:val="0"/>
          <w:sz w:val="32"/>
          <w:szCs w:val="32"/>
          <w:highlight w:val="none"/>
        </w:rPr>
        <w:t>%；非税</w:t>
      </w:r>
      <w:r>
        <w:rPr>
          <w:rFonts w:hint="eastAsia" w:ascii="Times New Roman" w:hAnsi="Times New Roman" w:eastAsia="仿宋" w:cs="仿宋"/>
          <w:color w:val="auto"/>
          <w:sz w:val="32"/>
          <w:szCs w:val="32"/>
          <w:highlight w:val="none"/>
        </w:rPr>
        <w:t>收入预算</w:t>
      </w:r>
      <w:r>
        <w:rPr>
          <w:rFonts w:hint="eastAsia" w:ascii="Times New Roman" w:hAnsi="Times New Roman" w:eastAsia="仿宋" w:cs="仿宋"/>
          <w:color w:val="auto"/>
          <w:kern w:val="0"/>
          <w:sz w:val="32"/>
          <w:szCs w:val="32"/>
          <w:highlight w:val="none"/>
        </w:rPr>
        <w:t>8</w:t>
      </w:r>
      <w:r>
        <w:rPr>
          <w:rFonts w:hint="eastAsia" w:ascii="Times New Roman" w:hAnsi="Times New Roman" w:eastAsia="仿宋" w:cs="仿宋"/>
          <w:color w:val="auto"/>
          <w:kern w:val="0"/>
          <w:sz w:val="32"/>
          <w:szCs w:val="32"/>
          <w:highlight w:val="none"/>
          <w:lang w:val="en-US" w:eastAsia="zh-CN"/>
        </w:rPr>
        <w:t>9600</w:t>
      </w:r>
      <w:r>
        <w:rPr>
          <w:rFonts w:hint="eastAsia" w:ascii="Times New Roman" w:hAnsi="Times New Roman" w:eastAsia="仿宋" w:cs="仿宋"/>
          <w:color w:val="auto"/>
          <w:kern w:val="0"/>
          <w:sz w:val="32"/>
          <w:szCs w:val="32"/>
          <w:highlight w:val="none"/>
        </w:rPr>
        <w:t>万元，</w:t>
      </w:r>
      <w:r>
        <w:rPr>
          <w:rFonts w:hint="eastAsia" w:ascii="Times New Roman" w:hAnsi="Times New Roman" w:eastAsia="仿宋" w:cs="仿宋"/>
          <w:color w:val="auto"/>
          <w:sz w:val="32"/>
          <w:szCs w:val="32"/>
          <w:highlight w:val="none"/>
          <w:lang w:val="en-US" w:eastAsia="zh-CN"/>
        </w:rPr>
        <w:t>同比</w:t>
      </w:r>
      <w:r>
        <w:rPr>
          <w:rFonts w:hint="eastAsia" w:ascii="Times New Roman" w:hAnsi="Times New Roman" w:eastAsia="仿宋" w:cs="仿宋"/>
          <w:color w:val="auto"/>
          <w:sz w:val="32"/>
          <w:szCs w:val="32"/>
          <w:highlight w:val="none"/>
        </w:rPr>
        <w:t>增长</w:t>
      </w:r>
      <w:r>
        <w:rPr>
          <w:rFonts w:hint="eastAsia" w:ascii="Times New Roman" w:hAnsi="Times New Roman" w:eastAsia="仿宋" w:cs="仿宋"/>
          <w:color w:val="auto"/>
          <w:kern w:val="0"/>
          <w:sz w:val="32"/>
          <w:szCs w:val="32"/>
          <w:highlight w:val="none"/>
          <w:lang w:val="en-US" w:eastAsia="zh-CN"/>
        </w:rPr>
        <w:t>1.24</w:t>
      </w:r>
      <w:r>
        <w:rPr>
          <w:rFonts w:hint="eastAsia" w:ascii="Times New Roman" w:hAnsi="Times New Roman" w:eastAsia="仿宋" w:cs="仿宋"/>
          <w:color w:val="auto"/>
          <w:kern w:val="0"/>
          <w:sz w:val="32"/>
          <w:szCs w:val="32"/>
          <w:highlight w:val="none"/>
        </w:rPr>
        <w:t>%。一般公共预算收入加上返还性收入、一般性转移支付收入</w:t>
      </w:r>
      <w:r>
        <w:rPr>
          <w:rFonts w:hint="eastAsia" w:ascii="Times New Roman" w:hAnsi="Times New Roman" w:eastAsia="仿宋" w:cs="仿宋"/>
          <w:color w:val="auto"/>
          <w:sz w:val="32"/>
          <w:szCs w:val="32"/>
          <w:highlight w:val="none"/>
        </w:rPr>
        <w:t>等，收入总量28</w:t>
      </w:r>
      <w:r>
        <w:rPr>
          <w:rFonts w:hint="eastAsia" w:ascii="Times New Roman" w:hAnsi="Times New Roman" w:eastAsia="仿宋" w:cs="仿宋"/>
          <w:color w:val="auto"/>
          <w:sz w:val="32"/>
          <w:szCs w:val="32"/>
          <w:highlight w:val="none"/>
          <w:lang w:val="en-US" w:eastAsia="zh-CN"/>
        </w:rPr>
        <w:t>3929</w:t>
      </w:r>
      <w:r>
        <w:rPr>
          <w:rFonts w:hint="eastAsia" w:ascii="Times New Roman" w:hAnsi="Times New Roman" w:eastAsia="仿宋" w:cs="仿宋"/>
          <w:color w:val="auto"/>
          <w:sz w:val="32"/>
          <w:szCs w:val="32"/>
          <w:highlight w:val="none"/>
        </w:rPr>
        <w:t>万元。</w:t>
      </w:r>
      <w:r>
        <w:rPr>
          <w:rFonts w:hint="eastAsia" w:ascii="Times New Roman" w:hAnsi="Times New Roman" w:eastAsia="仿宋" w:cs="仿宋"/>
          <w:color w:val="auto"/>
          <w:kern w:val="0"/>
          <w:sz w:val="32"/>
          <w:szCs w:val="32"/>
          <w:highlight w:val="none"/>
        </w:rPr>
        <w:t>按照收支平衡原则，扣除专项上解支出、补助下级支出后，县本级可供安排财力</w:t>
      </w:r>
      <w:r>
        <w:rPr>
          <w:rFonts w:hint="eastAsia" w:ascii="Times New Roman" w:hAnsi="Times New Roman" w:eastAsia="仿宋" w:cs="仿宋"/>
          <w:color w:val="auto"/>
          <w:kern w:val="0"/>
          <w:sz w:val="32"/>
          <w:szCs w:val="32"/>
          <w:highlight w:val="none"/>
          <w:lang w:val="en-US" w:eastAsia="zh-CN"/>
        </w:rPr>
        <w:t>总额为</w:t>
      </w:r>
      <w:r>
        <w:rPr>
          <w:rFonts w:hint="eastAsia" w:ascii="Times New Roman" w:hAnsi="Times New Roman" w:eastAsia="仿宋" w:cs="仿宋"/>
          <w:color w:val="auto"/>
          <w:sz w:val="32"/>
          <w:szCs w:val="32"/>
          <w:highlight w:val="none"/>
        </w:rPr>
        <w:t>24</w:t>
      </w:r>
      <w:r>
        <w:rPr>
          <w:rFonts w:hint="eastAsia" w:ascii="Times New Roman" w:hAnsi="Times New Roman" w:eastAsia="仿宋" w:cs="仿宋"/>
          <w:color w:val="auto"/>
          <w:sz w:val="32"/>
          <w:szCs w:val="32"/>
          <w:highlight w:val="none"/>
          <w:lang w:val="en-US" w:eastAsia="zh-CN"/>
        </w:rPr>
        <w:t>1705</w:t>
      </w:r>
      <w:r>
        <w:rPr>
          <w:rFonts w:hint="eastAsia" w:ascii="Times New Roman" w:hAnsi="Times New Roman" w:eastAsia="仿宋" w:cs="仿宋"/>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color w:val="auto"/>
          <w:highlight w:val="none"/>
          <w:lang w:eastAsia="zh-CN"/>
        </w:rPr>
      </w:pPr>
      <w:r>
        <w:rPr>
          <w:rFonts w:hint="eastAsia" w:ascii="Times New Roman" w:hAnsi="Times New Roman" w:eastAsia="仿宋" w:cs="仿宋"/>
          <w:color w:val="auto"/>
          <w:sz w:val="32"/>
          <w:szCs w:val="32"/>
          <w:highlight w:val="none"/>
          <w:lang w:val="en-US" w:eastAsia="zh-CN"/>
        </w:rPr>
        <w:t>2</w:t>
      </w:r>
      <w:r>
        <w:rPr>
          <w:rFonts w:hint="eastAsia" w:ascii="Times New Roman" w:hAnsi="Times New Roman" w:eastAsia="仿宋" w:cs="仿宋"/>
          <w:color w:val="auto"/>
          <w:kern w:val="0"/>
          <w:sz w:val="32"/>
          <w:szCs w:val="32"/>
          <w:highlight w:val="none"/>
          <w:lang w:eastAsia="zh-CN"/>
        </w:rPr>
        <w:t>．</w:t>
      </w:r>
      <w:r>
        <w:rPr>
          <w:rFonts w:hint="eastAsia" w:ascii="Times New Roman" w:hAnsi="Times New Roman" w:eastAsia="仿宋" w:cs="仿宋"/>
          <w:color w:val="auto"/>
          <w:spacing w:val="0"/>
          <w:kern w:val="0"/>
          <w:sz w:val="32"/>
          <w:szCs w:val="32"/>
          <w:highlight w:val="none"/>
          <w:lang w:eastAsia="zh-CN"/>
        </w:rPr>
        <w:t>政府性基金预算。</w:t>
      </w:r>
      <w:r>
        <w:rPr>
          <w:rFonts w:hint="eastAsia" w:ascii="Times New Roman" w:hAnsi="Times New Roman" w:eastAsia="仿宋" w:cs="仿宋"/>
          <w:color w:val="auto"/>
          <w:sz w:val="32"/>
          <w:szCs w:val="32"/>
          <w:highlight w:val="none"/>
          <w:lang w:val="en-US" w:eastAsia="zh-CN"/>
        </w:rPr>
        <w:t>2026年县本级政府性基金</w:t>
      </w:r>
      <w:r>
        <w:rPr>
          <w:rFonts w:hint="eastAsia" w:ascii="Times New Roman" w:hAnsi="Times New Roman" w:eastAsia="仿宋" w:cs="仿宋"/>
          <w:color w:val="auto"/>
          <w:sz w:val="32"/>
          <w:szCs w:val="32"/>
          <w:highlight w:val="none"/>
        </w:rPr>
        <w:t>收入预算170000万元，</w:t>
      </w:r>
      <w:r>
        <w:rPr>
          <w:rFonts w:hint="eastAsia" w:ascii="Times New Roman" w:hAnsi="Times New Roman" w:eastAsia="仿宋" w:cs="仿宋"/>
          <w:color w:val="auto"/>
          <w:sz w:val="32"/>
          <w:szCs w:val="32"/>
          <w:highlight w:val="none"/>
          <w:lang w:val="en-US" w:eastAsia="zh-CN"/>
        </w:rPr>
        <w:t>与上年预算持平</w:t>
      </w:r>
      <w:r>
        <w:rPr>
          <w:rFonts w:hint="eastAsia" w:ascii="Times New Roman" w:hAnsi="Times New Roman" w:eastAsia="仿宋" w:cs="仿宋"/>
          <w:color w:val="auto"/>
          <w:sz w:val="32"/>
          <w:szCs w:val="32"/>
          <w:highlight w:val="none"/>
        </w:rPr>
        <w:t>。按照收支平衡原则，支出预算14</w:t>
      </w:r>
      <w:r>
        <w:rPr>
          <w:rFonts w:hint="eastAsia" w:ascii="Times New Roman" w:hAnsi="Times New Roman" w:eastAsia="仿宋" w:cs="仿宋"/>
          <w:color w:val="auto"/>
          <w:sz w:val="32"/>
          <w:szCs w:val="32"/>
          <w:highlight w:val="none"/>
          <w:lang w:val="en-US" w:eastAsia="zh-CN"/>
        </w:rPr>
        <w:t>6410</w:t>
      </w:r>
      <w:r>
        <w:rPr>
          <w:rFonts w:hint="eastAsia" w:ascii="Times New Roman" w:hAnsi="Times New Roman" w:eastAsia="仿宋" w:cs="仿宋"/>
          <w:color w:val="auto"/>
          <w:sz w:val="32"/>
          <w:szCs w:val="32"/>
          <w:highlight w:val="none"/>
        </w:rPr>
        <w:t>万元，地方政府专项债务还本</w:t>
      </w:r>
      <w:r>
        <w:rPr>
          <w:rFonts w:hint="eastAsia" w:ascii="Times New Roman" w:hAnsi="Times New Roman" w:eastAsia="仿宋" w:cs="仿宋"/>
          <w:color w:val="auto"/>
          <w:sz w:val="32"/>
          <w:szCs w:val="32"/>
          <w:highlight w:val="none"/>
          <w:lang w:val="en-US" w:eastAsia="zh-CN"/>
        </w:rPr>
        <w:t>3588</w:t>
      </w:r>
      <w:r>
        <w:rPr>
          <w:rFonts w:hint="eastAsia" w:ascii="Times New Roman" w:hAnsi="Times New Roman" w:eastAsia="仿宋" w:cs="仿宋"/>
          <w:color w:val="auto"/>
          <w:sz w:val="32"/>
          <w:szCs w:val="32"/>
          <w:highlight w:val="none"/>
        </w:rPr>
        <w:t>万元，上解支出2万元，调出资金20000万元。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eastAsia="zh-CN"/>
        </w:rPr>
      </w:pPr>
      <w:r>
        <w:rPr>
          <w:rFonts w:hint="eastAsia" w:ascii="Times New Roman" w:hAnsi="Times New Roman" w:eastAsia="楷体" w:cs="楷体"/>
          <w:snapToGrid w:val="0"/>
          <w:color w:val="auto"/>
          <w:kern w:val="0"/>
          <w:sz w:val="32"/>
          <w:szCs w:val="32"/>
        </w:rPr>
        <w:t>（</w:t>
      </w:r>
      <w:r>
        <w:rPr>
          <w:rFonts w:hint="eastAsia" w:ascii="Times New Roman" w:hAnsi="Times New Roman" w:eastAsia="楷体" w:cs="楷体"/>
          <w:snapToGrid w:val="0"/>
          <w:color w:val="auto"/>
          <w:kern w:val="0"/>
          <w:sz w:val="32"/>
          <w:szCs w:val="32"/>
          <w:lang w:val="en-US" w:eastAsia="zh-CN"/>
        </w:rPr>
        <w:t>五</w:t>
      </w:r>
      <w:r>
        <w:rPr>
          <w:rFonts w:hint="eastAsia" w:ascii="Times New Roman" w:hAnsi="Times New Roman" w:eastAsia="楷体" w:cs="楷体"/>
          <w:snapToGrid w:val="0"/>
          <w:color w:val="auto"/>
          <w:kern w:val="0"/>
          <w:sz w:val="32"/>
          <w:szCs w:val="32"/>
        </w:rPr>
        <w:t>）“三保”</w:t>
      </w:r>
      <w:r>
        <w:rPr>
          <w:rFonts w:hint="eastAsia" w:ascii="Times New Roman" w:hAnsi="Times New Roman" w:eastAsia="仿宋" w:cs="仿宋"/>
          <w:color w:val="auto"/>
          <w:kern w:val="0"/>
          <w:sz w:val="32"/>
          <w:szCs w:val="32"/>
          <w:vertAlign w:val="superscript"/>
        </w:rPr>
        <w:t>注1</w:t>
      </w:r>
      <w:r>
        <w:rPr>
          <w:rFonts w:hint="eastAsia" w:ascii="Times New Roman" w:hAnsi="Times New Roman" w:eastAsia="仿宋" w:cs="仿宋"/>
          <w:color w:val="auto"/>
          <w:kern w:val="0"/>
          <w:sz w:val="32"/>
          <w:szCs w:val="32"/>
          <w:vertAlign w:val="superscript"/>
          <w:lang w:val="en-US" w:eastAsia="zh-CN"/>
        </w:rPr>
        <w:t>1</w:t>
      </w:r>
      <w:r>
        <w:rPr>
          <w:rFonts w:hint="eastAsia" w:ascii="Times New Roman" w:hAnsi="Times New Roman" w:eastAsia="楷体" w:cs="楷体"/>
          <w:snapToGrid w:val="0"/>
          <w:color w:val="auto"/>
          <w:kern w:val="0"/>
          <w:sz w:val="32"/>
          <w:szCs w:val="32"/>
        </w:rPr>
        <w:t>支出预算</w:t>
      </w:r>
      <w:r>
        <w:rPr>
          <w:rFonts w:hint="eastAsia" w:ascii="Times New Roman" w:hAnsi="Times New Roman" w:eastAsia="楷体" w:cs="楷体"/>
          <w:snapToGrid w:val="0"/>
          <w:color w:val="auto"/>
          <w:kern w:val="0"/>
          <w:sz w:val="32"/>
          <w:szCs w:val="32"/>
          <w:lang w:eastAsia="zh-CN"/>
        </w:rPr>
        <w:t>：</w:t>
      </w:r>
      <w:r>
        <w:rPr>
          <w:rFonts w:hint="eastAsia" w:ascii="Times New Roman" w:hAnsi="Times New Roman" w:eastAsia="楷体" w:cs="楷体"/>
          <w:snapToGrid w:val="0"/>
          <w:color w:val="auto"/>
          <w:kern w:val="0"/>
          <w:sz w:val="32"/>
          <w:szCs w:val="32"/>
          <w:lang w:val="en-US" w:eastAsia="zh-CN"/>
        </w:rPr>
        <w:t>优先保障守底线。</w:t>
      </w:r>
      <w:r>
        <w:rPr>
          <w:rFonts w:hint="eastAsia" w:ascii="Times New Roman" w:hAnsi="Times New Roman" w:eastAsia="仿宋" w:cs="仿宋"/>
          <w:b w:val="0"/>
          <w:color w:val="auto"/>
          <w:kern w:val="2"/>
          <w:sz w:val="32"/>
          <w:szCs w:val="32"/>
          <w:highlight w:val="none"/>
          <w:lang w:val="en-US" w:eastAsia="zh-CN" w:bidi="ar-SA"/>
        </w:rPr>
        <w:t>2026年全县“三保”支出预算总额181722万元，占一般公共预算总支出的62.96%，其中：保工资119202万元，占一般公共预算总支出的41.30%；保运转6558万元，占一般公共预算总支出的2.27%；保基本民生55962万元，占一般公共预算总支出的19.39%。预算执行中，</w:t>
      </w:r>
      <w:r>
        <w:rPr>
          <w:rFonts w:hint="default" w:ascii="Times New Roman" w:hAnsi="Times New Roman" w:eastAsia="仿宋" w:cs="Times New Roman"/>
          <w:color w:val="auto"/>
          <w:sz w:val="32"/>
          <w:szCs w:val="32"/>
          <w:lang w:val="en-US" w:eastAsia="zh-CN"/>
        </w:rPr>
        <w:t>严格落实</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三保</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支出优先顺序，在预算安排和库款拨付上予以重点保障。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2026年预算安排全面贯彻县委决策部署，一是收入安排积极稳妥，留有余地，实现收支平衡；二是支出结构持续优化，落实</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保三保、促发展</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保障顺序，强化统筹兼顾与重点突出；三是重点支出足额保障，推动教育、科技、社保等领域支出稳步增长，全额保障</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三保</w:t>
      </w:r>
      <w:r>
        <w:rPr>
          <w:rFonts w:hint="eastAsia"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支出和政府债务还本付息。</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ascii="Times New Roman" w:hAnsi="Times New Roman" w:eastAsia="仿宋" w:cs="仿宋"/>
          <w:color w:val="auto"/>
          <w:kern w:val="0"/>
          <w:sz w:val="32"/>
          <w:szCs w:val="32"/>
          <w:highlight w:val="none"/>
        </w:rPr>
      </w:pPr>
      <w:r>
        <w:rPr>
          <w:rFonts w:hint="eastAsia" w:ascii="Times New Roman" w:hAnsi="Times New Roman" w:eastAsia="仿宋" w:cs="仿宋"/>
          <w:color w:val="auto"/>
          <w:kern w:val="0"/>
          <w:sz w:val="32"/>
          <w:szCs w:val="32"/>
          <w:highlight w:val="none"/>
        </w:rPr>
        <w:t>以上财政预算草案，请予审查批准。</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四、202</w:t>
      </w:r>
      <w:r>
        <w:rPr>
          <w:rFonts w:hint="eastAsia" w:ascii="Times New Roman" w:hAnsi="Times New Roman" w:eastAsia="黑体"/>
          <w:sz w:val="32"/>
          <w:szCs w:val="32"/>
          <w:lang w:val="en-US" w:eastAsia="zh-CN"/>
        </w:rPr>
        <w:t>6</w:t>
      </w:r>
      <w:r>
        <w:rPr>
          <w:rFonts w:hint="eastAsia" w:ascii="Times New Roman" w:hAnsi="Times New Roman" w:eastAsia="黑体"/>
          <w:sz w:val="32"/>
          <w:szCs w:val="32"/>
        </w:rPr>
        <w:t>年财政工作重点</w:t>
      </w:r>
    </w:p>
    <w:p>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仿宋"/>
          <w:color w:val="auto"/>
          <w:sz w:val="32"/>
          <w:szCs w:val="32"/>
          <w:highlight w:val="none"/>
          <w:lang w:val="en-US" w:eastAsia="zh-CN"/>
        </w:rPr>
      </w:pPr>
      <w:r>
        <w:rPr>
          <w:rFonts w:hint="eastAsia" w:ascii="Times New Roman" w:hAnsi="Times New Roman" w:eastAsia="楷体"/>
          <w:color w:val="auto"/>
          <w:spacing w:val="-2"/>
          <w:kern w:val="0"/>
          <w:sz w:val="32"/>
          <w:szCs w:val="32"/>
          <w:highlight w:val="none"/>
          <w:lang w:val="en-US" w:eastAsia="zh-CN"/>
        </w:rPr>
        <w:t>（一）聚焦财源培植，</w:t>
      </w:r>
      <w:r>
        <w:rPr>
          <w:rFonts w:hint="eastAsia" w:ascii="Times New Roman" w:hAnsi="Times New Roman" w:eastAsia="楷体" w:cs="楷体"/>
          <w:bCs/>
          <w:color w:val="auto"/>
          <w:sz w:val="32"/>
          <w:szCs w:val="32"/>
          <w:lang w:val="en-US" w:eastAsia="zh-CN"/>
        </w:rPr>
        <w:t>夯实发展根基。</w:t>
      </w:r>
      <w:r>
        <w:rPr>
          <w:rFonts w:hint="default" w:ascii="Times New Roman" w:hAnsi="Times New Roman" w:eastAsia="仿宋" w:cs="Times New Roman"/>
          <w:color w:val="auto"/>
          <w:sz w:val="32"/>
          <w:szCs w:val="32"/>
          <w:lang w:val="en-US" w:eastAsia="zh-CN"/>
        </w:rPr>
        <w:t>全面落实减税降费政策，确保红利直达市场主体，优化涉企服务，清理规范涉企收费，助力中小微企业和个体工商户发展。整合产业扶持资金，重点投向主导产业和战略性新兴产业，发挥财政资金引导撬动作用，吸引社会资本投入，支持企业转型升级，培育新财源增长点。</w:t>
      </w:r>
    </w:p>
    <w:p>
      <w:pPr>
        <w:spacing w:beforeLines="0" w:afterLines="0"/>
        <w:ind w:firstLine="632" w:firstLineChars="200"/>
        <w:jc w:val="left"/>
        <w:rPr>
          <w:rFonts w:hint="default" w:ascii="Times New Roman" w:hAnsi="Times New Roman" w:eastAsia="仿宋" w:cs="仿宋"/>
          <w:color w:val="auto"/>
          <w:sz w:val="32"/>
          <w:szCs w:val="32"/>
          <w:highlight w:val="none"/>
          <w:lang w:val="en-US" w:eastAsia="zh-CN"/>
        </w:rPr>
      </w:pPr>
      <w:r>
        <w:rPr>
          <w:rFonts w:hint="eastAsia" w:ascii="Times New Roman" w:hAnsi="Times New Roman" w:eastAsia="楷体"/>
          <w:color w:val="auto"/>
          <w:spacing w:val="-2"/>
          <w:kern w:val="0"/>
          <w:sz w:val="32"/>
          <w:szCs w:val="32"/>
          <w:highlight w:val="none"/>
          <w:lang w:val="en-US" w:eastAsia="zh-CN"/>
        </w:rPr>
        <w:t>（二）聚焦民生改善</w:t>
      </w:r>
      <w:r>
        <w:rPr>
          <w:rFonts w:hint="eastAsia" w:ascii="Times New Roman" w:hAnsi="Times New Roman" w:eastAsia="楷体"/>
          <w:color w:val="auto"/>
          <w:spacing w:val="-2"/>
          <w:kern w:val="0"/>
          <w:sz w:val="32"/>
          <w:szCs w:val="32"/>
          <w:highlight w:val="none"/>
        </w:rPr>
        <w:t>，提</w:t>
      </w:r>
      <w:r>
        <w:rPr>
          <w:rFonts w:hint="eastAsia" w:ascii="Times New Roman" w:hAnsi="Times New Roman" w:eastAsia="楷体"/>
          <w:color w:val="auto"/>
          <w:spacing w:val="-2"/>
          <w:kern w:val="0"/>
          <w:sz w:val="32"/>
          <w:szCs w:val="32"/>
          <w:highlight w:val="none"/>
          <w:lang w:val="en-US" w:eastAsia="zh-CN"/>
        </w:rPr>
        <w:t>升</w:t>
      </w:r>
      <w:r>
        <w:rPr>
          <w:rFonts w:hint="eastAsia" w:ascii="Times New Roman" w:hAnsi="Times New Roman" w:eastAsia="楷体"/>
          <w:color w:val="auto"/>
          <w:spacing w:val="-2"/>
          <w:kern w:val="0"/>
          <w:sz w:val="32"/>
          <w:szCs w:val="32"/>
          <w:highlight w:val="none"/>
        </w:rPr>
        <w:t>统筹</w:t>
      </w:r>
      <w:r>
        <w:rPr>
          <w:rFonts w:hint="eastAsia" w:ascii="Times New Roman" w:hAnsi="Times New Roman" w:eastAsia="楷体"/>
          <w:color w:val="auto"/>
          <w:spacing w:val="-2"/>
          <w:kern w:val="0"/>
          <w:sz w:val="32"/>
          <w:szCs w:val="32"/>
          <w:highlight w:val="none"/>
          <w:lang w:val="en-US" w:eastAsia="zh-CN"/>
        </w:rPr>
        <w:t>效能</w:t>
      </w:r>
      <w:r>
        <w:rPr>
          <w:rFonts w:hint="eastAsia" w:ascii="Times New Roman" w:hAnsi="Times New Roman" w:eastAsia="楷体"/>
          <w:color w:val="auto"/>
          <w:spacing w:val="-2"/>
          <w:kern w:val="0"/>
          <w:sz w:val="32"/>
          <w:szCs w:val="32"/>
          <w:highlight w:val="none"/>
        </w:rPr>
        <w:t>。</w:t>
      </w:r>
      <w:r>
        <w:rPr>
          <w:rFonts w:hint="eastAsia" w:ascii="Times New Roman" w:hAnsi="Times New Roman" w:eastAsia="仿宋" w:cs="仿宋"/>
          <w:color w:val="auto"/>
          <w:sz w:val="32"/>
          <w:szCs w:val="32"/>
          <w:highlight w:val="none"/>
          <w:lang w:val="en-US" w:eastAsia="zh-CN"/>
        </w:rPr>
        <w:t>足额编制 “三保”预算，严格按保障序列拨付资金，坚决兜牢底线。坚持尽力而为、量力而行，统筹各类资金加大教育、文化、社保、卫生、农林水等领域投入，确保</w:t>
      </w:r>
      <w:r>
        <w:rPr>
          <w:rFonts w:hint="eastAsia" w:ascii="Times New Roman" w:hAnsi="Times New Roman" w:eastAsia="仿宋" w:cs="仿宋"/>
          <w:color w:val="auto"/>
          <w:sz w:val="32"/>
          <w:szCs w:val="32"/>
          <w:highlight w:val="none"/>
          <w:lang w:val="zh-CN" w:eastAsia="zh-CN"/>
        </w:rPr>
        <w:t>全</w:t>
      </w:r>
      <w:r>
        <w:rPr>
          <w:rFonts w:hint="eastAsia" w:ascii="Times New Roman" w:hAnsi="Times New Roman" w:eastAsia="仿宋" w:cs="仿宋"/>
          <w:color w:val="auto"/>
          <w:sz w:val="32"/>
          <w:szCs w:val="32"/>
          <w:highlight w:val="none"/>
          <w:lang w:val="en-US" w:eastAsia="zh-CN"/>
        </w:rPr>
        <w:t>县</w:t>
      </w:r>
      <w:r>
        <w:rPr>
          <w:rFonts w:hint="eastAsia" w:ascii="Times New Roman" w:hAnsi="Times New Roman" w:eastAsia="仿宋" w:cs="仿宋"/>
          <w:color w:val="auto"/>
          <w:sz w:val="32"/>
          <w:szCs w:val="32"/>
          <w:highlight w:val="none"/>
          <w:lang w:val="zh-CN" w:eastAsia="zh-CN"/>
        </w:rPr>
        <w:t>民生支出占一般公共预算支出的比重持续稳定在</w:t>
      </w:r>
      <w:r>
        <w:rPr>
          <w:rFonts w:hint="eastAsia" w:ascii="Times New Roman" w:hAnsi="Times New Roman" w:eastAsia="仿宋" w:cs="仿宋"/>
          <w:color w:val="auto"/>
          <w:sz w:val="32"/>
          <w:szCs w:val="32"/>
          <w:highlight w:val="none"/>
          <w:lang w:val="en-US" w:eastAsia="zh-CN"/>
        </w:rPr>
        <w:t>70</w:t>
      </w:r>
      <w:r>
        <w:rPr>
          <w:rFonts w:hint="eastAsia" w:ascii="Times New Roman" w:hAnsi="Times New Roman" w:eastAsia="仿宋" w:cs="仿宋"/>
          <w:color w:val="auto"/>
          <w:sz w:val="32"/>
          <w:szCs w:val="32"/>
          <w:highlight w:val="none"/>
          <w:lang w:val="zh-CN" w:eastAsia="zh-CN"/>
        </w:rPr>
        <w:t>%以上</w:t>
      </w:r>
      <w:r>
        <w:rPr>
          <w:rFonts w:hint="eastAsia" w:ascii="Times New Roman" w:hAnsi="Times New Roman" w:eastAsia="仿宋" w:cs="仿宋"/>
          <w:color w:val="auto"/>
          <w:sz w:val="32"/>
          <w:szCs w:val="32"/>
          <w:highlight w:val="none"/>
          <w:lang w:val="en-US" w:eastAsia="zh-CN"/>
        </w:rPr>
        <w:t>，</w:t>
      </w:r>
      <w:r>
        <w:rPr>
          <w:rFonts w:hint="default" w:ascii="Times New Roman" w:hAnsi="Times New Roman" w:eastAsia="仿宋" w:cs="仿宋"/>
          <w:color w:val="auto"/>
          <w:sz w:val="32"/>
          <w:szCs w:val="32"/>
          <w:highlight w:val="none"/>
          <w:lang w:val="en-US" w:eastAsia="zh-CN"/>
        </w:rPr>
        <w:t>增进民生福祉</w:t>
      </w:r>
      <w:r>
        <w:rPr>
          <w:rFonts w:hint="eastAsia" w:ascii="Times New Roman" w:hAnsi="Times New Roman" w:eastAsia="仿宋" w:cs="仿宋"/>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楷体"/>
          <w:color w:val="auto"/>
          <w:spacing w:val="-2"/>
          <w:kern w:val="0"/>
          <w:sz w:val="32"/>
          <w:szCs w:val="32"/>
          <w:highlight w:val="none"/>
          <w:lang w:val="en-US" w:eastAsia="zh-CN"/>
        </w:rPr>
        <w:t>（三）</w:t>
      </w:r>
      <w:r>
        <w:rPr>
          <w:rFonts w:hint="default" w:ascii="Times New Roman" w:hAnsi="Times New Roman" w:eastAsia="楷体" w:cs="楷体"/>
          <w:bCs/>
          <w:color w:val="auto"/>
          <w:sz w:val="32"/>
          <w:szCs w:val="32"/>
          <w:lang w:val="en-US" w:eastAsia="zh-CN"/>
        </w:rPr>
        <w:t>聚焦改革深化</w:t>
      </w:r>
      <w:r>
        <w:rPr>
          <w:rFonts w:hint="eastAsia" w:ascii="Times New Roman" w:hAnsi="Times New Roman" w:eastAsia="楷体"/>
          <w:color w:val="auto"/>
          <w:spacing w:val="-2"/>
          <w:kern w:val="0"/>
          <w:sz w:val="32"/>
          <w:szCs w:val="32"/>
          <w:highlight w:val="none"/>
          <w:lang w:val="en-US" w:eastAsia="zh-CN"/>
        </w:rPr>
        <w:t>，提高管理水平</w:t>
      </w:r>
      <w:r>
        <w:rPr>
          <w:rFonts w:hint="eastAsia" w:ascii="Times New Roman" w:hAnsi="Times New Roman" w:eastAsia="楷体_GB2312" w:cs="楷体_GB2312"/>
          <w:color w:val="auto"/>
          <w:sz w:val="32"/>
          <w:highlight w:val="none"/>
        </w:rPr>
        <w:t>。</w:t>
      </w:r>
      <w:r>
        <w:rPr>
          <w:rFonts w:hint="default" w:ascii="Times New Roman" w:hAnsi="Times New Roman" w:eastAsia="仿宋" w:cs="Times New Roman"/>
          <w:color w:val="auto"/>
          <w:sz w:val="32"/>
          <w:szCs w:val="32"/>
          <w:lang w:val="en-US" w:eastAsia="zh-CN"/>
        </w:rPr>
        <w:t>全面深化财税金融体制改革，深入推进零基预算，以零为基点审核支出必要性与合理性，按实际需求编制预算。加快预算管理一体化建设，实现财政资金全流程动态监控。将绩效理念融入预算全链条，建立资金分配与绩效结果挂钩机制，硬化预算约束，提升管理质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 w:cs="仿宋"/>
          <w:color w:val="auto"/>
          <w:kern w:val="0"/>
          <w:sz w:val="32"/>
          <w:szCs w:val="32"/>
          <w:highlight w:val="none"/>
        </w:rPr>
      </w:pPr>
      <w:r>
        <w:rPr>
          <w:rFonts w:hint="eastAsia" w:ascii="Times New Roman" w:hAnsi="Times New Roman" w:eastAsia="楷体"/>
          <w:color w:val="auto"/>
          <w:spacing w:val="-2"/>
          <w:kern w:val="0"/>
          <w:sz w:val="32"/>
          <w:szCs w:val="32"/>
          <w:highlight w:val="none"/>
        </w:rPr>
        <w:t>（四）</w:t>
      </w:r>
      <w:r>
        <w:rPr>
          <w:rFonts w:hint="default" w:ascii="Times New Roman" w:hAnsi="Times New Roman" w:eastAsia="楷体" w:cs="楷体"/>
          <w:bCs/>
          <w:color w:val="auto"/>
          <w:sz w:val="32"/>
          <w:szCs w:val="32"/>
          <w:lang w:val="en-US" w:eastAsia="zh-CN"/>
        </w:rPr>
        <w:t>聚焦风险防控，筑牢安全防线</w:t>
      </w:r>
      <w:r>
        <w:rPr>
          <w:rFonts w:hint="eastAsia" w:ascii="Times New Roman" w:hAnsi="Times New Roman" w:eastAsia="楷体"/>
          <w:color w:val="auto"/>
          <w:spacing w:val="-2"/>
          <w:kern w:val="0"/>
          <w:sz w:val="32"/>
          <w:szCs w:val="32"/>
          <w:highlight w:val="none"/>
        </w:rPr>
        <w:t>。</w:t>
      </w:r>
      <w:r>
        <w:rPr>
          <w:rFonts w:hint="eastAsia" w:ascii="Times New Roman" w:hAnsi="Times New Roman" w:eastAsia="仿宋"/>
          <w:color w:val="auto"/>
          <w:spacing w:val="-2"/>
          <w:kern w:val="0"/>
          <w:sz w:val="32"/>
          <w:szCs w:val="32"/>
          <w:highlight w:val="none"/>
          <w:lang w:val="en-US" w:eastAsia="zh-CN"/>
        </w:rPr>
        <w:t>将“三保”支出足额纳入年初预算，</w:t>
      </w:r>
      <w:r>
        <w:rPr>
          <w:rFonts w:hint="default" w:ascii="Times New Roman" w:hAnsi="Times New Roman" w:eastAsia="仿宋" w:cs="Times New Roman"/>
          <w:color w:val="auto"/>
          <w:sz w:val="32"/>
          <w:szCs w:val="32"/>
          <w:lang w:val="en-US" w:eastAsia="zh-CN"/>
        </w:rPr>
        <w:t>实行月通报机制强化执行监管。优化库款监测调度，坚决不新增暂付款，积极消化存量。健全财会监督体系，推动与审计、纪检等监督贯通协同，提升监督效能。足额安排政府债务还本付息资金，严格限额管理，坚决遏制新增隐性债务，抓实化解工作，守住不发生区域性、系统性风险底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b/>
          <w:color w:val="auto"/>
          <w:highlight w:val="none"/>
        </w:rPr>
      </w:pPr>
      <w:r>
        <w:rPr>
          <w:rFonts w:hint="default" w:ascii="Times New Roman" w:hAnsi="Times New Roman" w:eastAsia="仿宋" w:cs="Times New Roman"/>
          <w:color w:val="auto"/>
          <w:sz w:val="32"/>
          <w:szCs w:val="32"/>
          <w:lang w:val="en-US" w:eastAsia="zh-CN"/>
        </w:rPr>
        <w:t>各位代表：2026年财政工作任务艰巨、责任重大。我们将在县委坚强领导下，自觉接受县人大依法监督和县政协民主监督，坚持稳中求进</w:t>
      </w:r>
      <w:r>
        <w:rPr>
          <w:rFonts w:hint="eastAsia" w:ascii="Times New Roman" w:hAnsi="Times New Roman" w:eastAsia="仿宋" w:cs="Times New Roman"/>
          <w:color w:val="auto"/>
          <w:sz w:val="32"/>
          <w:szCs w:val="32"/>
          <w:lang w:val="en-US" w:eastAsia="zh-CN"/>
        </w:rPr>
        <w:t>，提质增效</w:t>
      </w:r>
      <w:r>
        <w:rPr>
          <w:rFonts w:hint="default" w:ascii="Times New Roman" w:hAnsi="Times New Roman" w:eastAsia="仿宋" w:cs="Times New Roman"/>
          <w:color w:val="auto"/>
          <w:sz w:val="32"/>
          <w:szCs w:val="32"/>
          <w:lang w:val="en-US" w:eastAsia="zh-CN"/>
        </w:rPr>
        <w:t>，实施更加积极的财政政策，实心干事、开拓创新，持续深化财税体制改革，</w:t>
      </w:r>
      <w:r>
        <w:rPr>
          <w:rFonts w:hint="eastAsia" w:ascii="Times New Roman" w:hAnsi="Times New Roman" w:eastAsia="仿宋" w:cs="仿宋"/>
          <w:color w:val="auto"/>
          <w:kern w:val="0"/>
          <w:sz w:val="32"/>
          <w:szCs w:val="32"/>
          <w:highlight w:val="none"/>
        </w:rPr>
        <w:t>为</w:t>
      </w:r>
      <w:r>
        <w:rPr>
          <w:rFonts w:hint="eastAsia" w:ascii="Times New Roman" w:hAnsi="Times New Roman" w:eastAsia="仿宋" w:cs="仿宋"/>
          <w:color w:val="auto"/>
          <w:kern w:val="0"/>
          <w:sz w:val="32"/>
          <w:szCs w:val="32"/>
          <w:highlight w:val="none"/>
          <w:lang w:val="en-US" w:eastAsia="zh-CN"/>
        </w:rPr>
        <w:t>构建“两核一带一线”四化同步、城乡融合发展新格局</w:t>
      </w:r>
      <w:r>
        <w:rPr>
          <w:rFonts w:hint="eastAsia" w:ascii="Times New Roman" w:hAnsi="Times New Roman" w:eastAsia="仿宋" w:cs="仿宋"/>
          <w:color w:val="auto"/>
          <w:kern w:val="0"/>
          <w:sz w:val="32"/>
          <w:szCs w:val="32"/>
          <w:highlight w:val="none"/>
        </w:rPr>
        <w:t>贡献财政力量！</w:t>
      </w:r>
    </w:p>
    <w:p>
      <w:pPr>
        <w:adjustRightInd w:val="0"/>
        <w:snapToGrid w:val="0"/>
        <w:spacing w:line="560" w:lineRule="exact"/>
        <w:jc w:val="center"/>
        <w:rPr>
          <w:rFonts w:ascii="Times New Roman" w:hAnsi="Times New Roman" w:eastAsia="方正小标宋简体" w:cs="方正小标宋简体"/>
          <w:sz w:val="40"/>
          <w:szCs w:val="40"/>
        </w:rPr>
      </w:pPr>
      <w:r>
        <w:rPr>
          <w:rFonts w:hint="eastAsia" w:ascii="Times New Roman" w:hAnsi="Times New Roman" w:eastAsia="仿宋_GB2312"/>
          <w:sz w:val="40"/>
          <w:szCs w:val="40"/>
        </w:rPr>
        <w:br w:type="page"/>
      </w:r>
      <w:r>
        <w:rPr>
          <w:rFonts w:hint="eastAsia" w:ascii="Times New Roman" w:hAnsi="Times New Roman" w:eastAsia="方正小标宋简体" w:cs="方正小标宋简体"/>
          <w:sz w:val="40"/>
          <w:szCs w:val="40"/>
        </w:rPr>
        <w:t>注</w:t>
      </w:r>
      <w:r>
        <w:rPr>
          <w:rFonts w:hint="eastAsia" w:ascii="Times New Roman" w:hAnsi="Times New Roman" w:eastAsia="方正小标宋简体" w:cs="方正小标宋简体"/>
          <w:sz w:val="40"/>
          <w:szCs w:val="40"/>
          <w:lang w:val="en-US" w:eastAsia="zh-CN"/>
        </w:rPr>
        <w:t xml:space="preserve">  </w:t>
      </w:r>
      <w:r>
        <w:rPr>
          <w:rFonts w:hint="eastAsia" w:ascii="Times New Roman" w:hAnsi="Times New Roman" w:eastAsia="方正小标宋简体" w:cs="方正小标宋简体"/>
          <w:sz w:val="40"/>
          <w:szCs w:val="40"/>
        </w:rPr>
        <w:t>解</w:t>
      </w:r>
    </w:p>
    <w:p>
      <w:pPr>
        <w:adjustRightInd w:val="0"/>
        <w:snapToGrid w:val="0"/>
        <w:spacing w:line="560" w:lineRule="exact"/>
        <w:jc w:val="center"/>
        <w:rPr>
          <w:rFonts w:ascii="Times New Roman" w:hAnsi="Times New Roman" w:eastAsia="仿宋_GB2312"/>
          <w:bCs/>
          <w:kern w:val="0"/>
          <w:sz w:val="32"/>
          <w:szCs w:val="32"/>
        </w:rPr>
      </w:pPr>
    </w:p>
    <w:p>
      <w:pPr>
        <w:adjustRightInd w:val="0"/>
        <w:snapToGrid w:val="0"/>
        <w:spacing w:line="560" w:lineRule="exact"/>
        <w:ind w:firstLine="632" w:firstLineChars="300"/>
        <w:rPr>
          <w:rFonts w:ascii="Times New Roman" w:hAnsi="Times New Roman" w:eastAsia="仿宋" w:cs="仿宋"/>
          <w:bCs/>
          <w:kern w:val="0"/>
          <w:sz w:val="32"/>
          <w:szCs w:val="32"/>
        </w:rPr>
      </w:pPr>
      <w:r>
        <w:rPr>
          <w:rFonts w:hint="eastAsia" w:ascii="Times New Roman" w:hAnsi="Times New Roman" w:eastAsia="仿宋" w:cs="仿宋"/>
          <w:b/>
          <w:bCs/>
          <w:kern w:val="0"/>
        </w:rPr>
        <w:t>注1</w:t>
      </w:r>
      <w:r>
        <w:rPr>
          <w:rFonts w:hint="eastAsia" w:ascii="Times New Roman" w:hAnsi="Times New Roman" w:eastAsia="仿宋" w:cs="仿宋"/>
          <w:b/>
          <w:bCs/>
          <w:kern w:val="0"/>
          <w:sz w:val="32"/>
          <w:szCs w:val="32"/>
        </w:rPr>
        <w:t>一般公共预算收入：</w:t>
      </w:r>
      <w:r>
        <w:rPr>
          <w:rFonts w:hint="eastAsia" w:ascii="Times New Roman" w:hAnsi="Times New Roman" w:eastAsia="仿宋" w:cs="仿宋"/>
          <w:bCs/>
          <w:kern w:val="0"/>
          <w:sz w:val="32"/>
          <w:szCs w:val="32"/>
        </w:rPr>
        <w:t>指实施分税制财政体制改革后，各级财政部门通过一定形式和程序组织并纳入本地区或本级预算管理的各项收入，包括税收收入和非税收入，其中：税收收入主要包括增值税、企业所得税、个人所得税等；非税收入主要包括纳入预算管理的行政事业性收费收入、罚没收入、专项收入、国有资源（资产）有偿使用收入等。</w:t>
      </w:r>
    </w:p>
    <w:p>
      <w:pPr>
        <w:pStyle w:val="9"/>
        <w:widowControl w:val="0"/>
        <w:adjustRightInd w:val="0"/>
        <w:snapToGrid w:val="0"/>
        <w:spacing w:line="560" w:lineRule="exact"/>
        <w:ind w:firstLine="689" w:firstLineChars="343"/>
        <w:jc w:val="both"/>
        <w:rPr>
          <w:rFonts w:ascii="Times New Roman" w:hAnsi="Times New Roman" w:eastAsia="仿宋" w:cs="仿宋"/>
          <w:b w:val="0"/>
          <w:sz w:val="32"/>
          <w:szCs w:val="32"/>
        </w:rPr>
      </w:pPr>
      <w:bookmarkStart w:id="0" w:name="_Toc188436665"/>
      <w:r>
        <w:rPr>
          <w:rFonts w:hint="eastAsia" w:ascii="Times New Roman" w:hAnsi="Times New Roman" w:eastAsia="仿宋" w:cs="仿宋"/>
        </w:rPr>
        <w:t>注2</w:t>
      </w:r>
      <w:r>
        <w:rPr>
          <w:rFonts w:hint="eastAsia" w:ascii="Times New Roman" w:hAnsi="Times New Roman" w:eastAsia="仿宋" w:cs="仿宋"/>
          <w:sz w:val="32"/>
          <w:szCs w:val="32"/>
        </w:rPr>
        <w:t>非税收入：</w:t>
      </w:r>
      <w:r>
        <w:rPr>
          <w:rFonts w:hint="eastAsia" w:ascii="Times New Roman" w:hAnsi="Times New Roman" w:eastAsia="仿宋" w:cs="仿宋"/>
          <w:b w:val="0"/>
          <w:sz w:val="32"/>
          <w:szCs w:val="32"/>
        </w:rPr>
        <w:t>指除税收以外，由各级政府、国家机关、事业单位、代行政府职能的社会团体及其他组织依法利用政府权力、政府信誉、国家资源、国有资产或提供特定公共服务、准公共服务取得并用于满足社会公共需要或准公共需要的财政资金，是政府财政收入的重要组成部分，是政府参与国民收入分配和再分配的一种形式。非税收入按照不同类别，分别纳入公共财政预算、政府性基金、国有资本经营预算、专户管理。非税收入主要包括：政府性基金收入、专项收入、行政事业性收费收入、罚没收入、国有资本经营收入、国有资源（资产）有偿使用收入、政府住房基金收入、其他收入。社会保障基金不纳入政府非税收入管理范围。</w:t>
      </w:r>
    </w:p>
    <w:p>
      <w:pPr>
        <w:adjustRightInd w:val="0"/>
        <w:snapToGrid w:val="0"/>
        <w:spacing w:line="560" w:lineRule="exact"/>
        <w:ind w:firstLine="736" w:firstLineChars="349"/>
        <w:rPr>
          <w:rFonts w:ascii="Times New Roman" w:hAnsi="Times New Roman" w:eastAsia="仿宋" w:cs="仿宋"/>
          <w:b/>
          <w:bCs/>
          <w:kern w:val="0"/>
        </w:rPr>
      </w:pPr>
      <w:r>
        <w:rPr>
          <w:rFonts w:hint="eastAsia" w:ascii="Times New Roman" w:hAnsi="Times New Roman" w:eastAsia="仿宋" w:cs="仿宋"/>
          <w:b/>
          <w:bCs/>
          <w:kern w:val="0"/>
        </w:rPr>
        <w:t>注3</w:t>
      </w:r>
      <w:r>
        <w:rPr>
          <w:rFonts w:hint="eastAsia" w:ascii="Times New Roman" w:hAnsi="Times New Roman" w:eastAsia="仿宋" w:cs="仿宋"/>
          <w:b/>
          <w:bCs/>
          <w:kern w:val="0"/>
          <w:sz w:val="32"/>
          <w:szCs w:val="32"/>
        </w:rPr>
        <w:t>上年结转项目：</w:t>
      </w:r>
      <w:r>
        <w:rPr>
          <w:rFonts w:hint="eastAsia" w:ascii="Times New Roman" w:hAnsi="Times New Roman" w:eastAsia="仿宋" w:cs="仿宋"/>
          <w:bCs/>
          <w:kern w:val="0"/>
          <w:sz w:val="32"/>
          <w:szCs w:val="32"/>
        </w:rPr>
        <w:t>指在上一预算年度内项目未全部完工或支出计划未实施，不能在当年实现支出而需在下一年度继续安排的项目。</w:t>
      </w:r>
    </w:p>
    <w:p>
      <w:pPr>
        <w:adjustRightInd w:val="0"/>
        <w:snapToGrid w:val="0"/>
        <w:spacing w:line="560" w:lineRule="exact"/>
        <w:ind w:firstLine="736" w:firstLineChars="349"/>
        <w:rPr>
          <w:rFonts w:hint="default" w:ascii="Times New Roman" w:hAnsi="Times New Roman" w:eastAsia="仿宋" w:cs="Times New Roman"/>
          <w:bCs/>
          <w:kern w:val="0"/>
          <w:sz w:val="32"/>
          <w:szCs w:val="32"/>
        </w:rPr>
      </w:pPr>
      <w:r>
        <w:rPr>
          <w:rFonts w:hint="eastAsia" w:ascii="Times New Roman" w:hAnsi="Times New Roman" w:eastAsia="仿宋" w:cs="仿宋"/>
          <w:b/>
          <w:bCs/>
          <w:kern w:val="0"/>
        </w:rPr>
        <w:t>注4</w:t>
      </w:r>
      <w:r>
        <w:rPr>
          <w:rFonts w:hint="eastAsia" w:ascii="Times New Roman" w:hAnsi="Times New Roman" w:eastAsia="仿宋" w:cs="仿宋"/>
          <w:b/>
          <w:bCs/>
          <w:kern w:val="0"/>
          <w:sz w:val="32"/>
          <w:szCs w:val="32"/>
        </w:rPr>
        <w:t>从政府性基金预算调入资金：</w:t>
      </w:r>
      <w:r>
        <w:rPr>
          <w:rFonts w:hint="default" w:ascii="Times New Roman" w:hAnsi="Times New Roman" w:eastAsia="仿宋" w:cs="Times New Roman"/>
          <w:bCs/>
          <w:kern w:val="0"/>
          <w:sz w:val="32"/>
          <w:szCs w:val="32"/>
        </w:rPr>
        <w:t>根据《国务院办公厅关于进一步做好盘活财政存量资金工作的通知》（国办发〔201</w:t>
      </w:r>
      <w:r>
        <w:rPr>
          <w:rFonts w:hint="eastAsia" w:ascii="Times New Roman" w:hAnsi="Times New Roman" w:eastAsia="仿宋" w:cs="Times New Roman"/>
          <w:bCs/>
          <w:kern w:val="0"/>
          <w:sz w:val="32"/>
          <w:szCs w:val="32"/>
          <w:lang w:val="en-US" w:eastAsia="zh-CN"/>
        </w:rPr>
        <w:t>4</w:t>
      </w:r>
      <w:r>
        <w:rPr>
          <w:rFonts w:hint="default"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lang w:val="en-US" w:eastAsia="zh-CN"/>
        </w:rPr>
        <w:t>70</w:t>
      </w:r>
      <w:r>
        <w:rPr>
          <w:rFonts w:hint="default" w:ascii="Times New Roman" w:hAnsi="Times New Roman" w:eastAsia="仿宋" w:cs="Times New Roman"/>
          <w:bCs/>
          <w:kern w:val="0"/>
          <w:sz w:val="32"/>
          <w:szCs w:val="32"/>
        </w:rPr>
        <w:t>号）《财政部关于推进地方盘活存量资金有关事项的通知》（财预〔2015〕15号）《四川省财政厅关于盘活财政存量资金有关事项的通知》（川财预〔2015〕21号）规定：政府性基金预算结转资金规模较大的，应调入一般公共预算统筹使用，调入的基金应补充预算稳定调节基金。每一项政府性基金结转资金规模一般不超过该项基金当年收入的30%。</w:t>
      </w:r>
    </w:p>
    <w:p>
      <w:pPr>
        <w:adjustRightInd w:val="0"/>
        <w:snapToGrid w:val="0"/>
        <w:spacing w:line="560" w:lineRule="exact"/>
        <w:ind w:firstLine="736" w:firstLineChars="349"/>
        <w:rPr>
          <w:rFonts w:ascii="Times New Roman" w:hAnsi="Times New Roman" w:eastAsia="仿宋" w:cs="仿宋"/>
          <w:b/>
          <w:bCs/>
          <w:kern w:val="0"/>
        </w:rPr>
      </w:pPr>
      <w:r>
        <w:rPr>
          <w:rFonts w:hint="eastAsia" w:ascii="Times New Roman" w:hAnsi="Times New Roman" w:eastAsia="仿宋" w:cs="仿宋"/>
          <w:b/>
          <w:bCs/>
          <w:kern w:val="0"/>
        </w:rPr>
        <w:t>注5</w:t>
      </w:r>
      <w:r>
        <w:rPr>
          <w:rFonts w:hint="eastAsia" w:ascii="Times New Roman" w:hAnsi="Times New Roman" w:eastAsia="仿宋" w:cs="仿宋"/>
          <w:b/>
          <w:bCs/>
          <w:kern w:val="0"/>
          <w:sz w:val="32"/>
          <w:szCs w:val="32"/>
        </w:rPr>
        <w:t>一般公共预算支出：</w:t>
      </w:r>
      <w:r>
        <w:rPr>
          <w:rFonts w:hint="eastAsia" w:ascii="Times New Roman" w:hAnsi="Times New Roman" w:eastAsia="仿宋" w:cs="仿宋"/>
          <w:bCs/>
          <w:kern w:val="0"/>
          <w:sz w:val="32"/>
          <w:szCs w:val="32"/>
        </w:rPr>
        <w:t>指通过一般公共预算收入统筹安排的支出。按新的政府收支分类科目，其功能分类范围主要包括：一般公共服务支出、外交支出、国防支出、公共安全支出、教育支出、科学技术支出、文化</w:t>
      </w:r>
      <w:r>
        <w:rPr>
          <w:rFonts w:hint="eastAsia" w:ascii="Times New Roman" w:hAnsi="Times New Roman" w:eastAsia="仿宋" w:cs="仿宋"/>
          <w:bCs/>
          <w:kern w:val="0"/>
          <w:sz w:val="32"/>
          <w:szCs w:val="32"/>
          <w:lang w:val="en-US" w:eastAsia="zh-CN"/>
        </w:rPr>
        <w:t>旅游</w:t>
      </w:r>
      <w:r>
        <w:rPr>
          <w:rFonts w:hint="eastAsia" w:ascii="Times New Roman" w:hAnsi="Times New Roman" w:eastAsia="仿宋" w:cs="仿宋"/>
          <w:bCs/>
          <w:kern w:val="0"/>
          <w:sz w:val="32"/>
          <w:szCs w:val="32"/>
        </w:rPr>
        <w:t>体育与传媒支出、社会保障和就业支出、</w:t>
      </w:r>
      <w:r>
        <w:rPr>
          <w:rFonts w:hint="eastAsia" w:ascii="Times New Roman" w:hAnsi="Times New Roman" w:eastAsia="仿宋" w:cs="仿宋"/>
          <w:bCs/>
          <w:kern w:val="0"/>
          <w:sz w:val="32"/>
          <w:szCs w:val="32"/>
          <w:lang w:val="en-US" w:eastAsia="zh-CN"/>
        </w:rPr>
        <w:t>卫生健康</w:t>
      </w:r>
      <w:r>
        <w:rPr>
          <w:rFonts w:hint="eastAsia" w:ascii="Times New Roman" w:hAnsi="Times New Roman" w:eastAsia="仿宋" w:cs="仿宋"/>
          <w:bCs/>
          <w:kern w:val="0"/>
          <w:sz w:val="32"/>
          <w:szCs w:val="32"/>
        </w:rPr>
        <w:t>支出、节能环保支出、城乡社区支出、农林水支出、交通运输支出、资源勘探工业信息等支出、商业服务业等支出、金融支出、援助其他地区支出</w:t>
      </w:r>
      <w:r>
        <w:rPr>
          <w:rFonts w:hint="eastAsia" w:ascii="Times New Roman" w:hAnsi="Times New Roman" w:eastAsia="仿宋" w:cs="仿宋"/>
          <w:bCs/>
          <w:kern w:val="0"/>
          <w:sz w:val="32"/>
          <w:szCs w:val="32"/>
          <w:lang w:eastAsia="zh-CN"/>
        </w:rPr>
        <w:t>、</w:t>
      </w:r>
      <w:r>
        <w:rPr>
          <w:rFonts w:hint="eastAsia" w:ascii="Times New Roman" w:hAnsi="Times New Roman" w:eastAsia="仿宋" w:cs="仿宋"/>
          <w:bCs/>
          <w:kern w:val="0"/>
          <w:sz w:val="32"/>
          <w:szCs w:val="32"/>
        </w:rPr>
        <w:t>自然资源海洋气象等支出、住房保障支出、粮油物资储备支出、灾害防治及应急</w:t>
      </w:r>
      <w:r>
        <w:rPr>
          <w:rFonts w:hint="eastAsia" w:ascii="Times New Roman" w:hAnsi="Times New Roman" w:eastAsia="仿宋" w:cs="仿宋"/>
          <w:bCs/>
          <w:kern w:val="0"/>
          <w:sz w:val="32"/>
          <w:szCs w:val="32"/>
          <w:lang w:val="en-US" w:eastAsia="zh-CN"/>
        </w:rPr>
        <w:t>管理支出</w:t>
      </w:r>
      <w:r>
        <w:rPr>
          <w:rFonts w:hint="eastAsia" w:ascii="Times New Roman" w:hAnsi="Times New Roman" w:eastAsia="仿宋" w:cs="仿宋"/>
          <w:bCs/>
          <w:kern w:val="0"/>
          <w:sz w:val="32"/>
          <w:szCs w:val="32"/>
          <w:lang w:eastAsia="zh-CN"/>
        </w:rPr>
        <w:t>、预备费、</w:t>
      </w:r>
      <w:r>
        <w:rPr>
          <w:rFonts w:hint="eastAsia" w:ascii="Times New Roman" w:hAnsi="Times New Roman" w:eastAsia="仿宋" w:cs="仿宋"/>
          <w:bCs/>
          <w:kern w:val="0"/>
          <w:sz w:val="32"/>
          <w:szCs w:val="32"/>
        </w:rPr>
        <w:t>债务付息支出、债务发行费用支出、其他支出等。</w:t>
      </w:r>
    </w:p>
    <w:p>
      <w:pPr>
        <w:pStyle w:val="9"/>
        <w:widowControl w:val="0"/>
        <w:snapToGrid w:val="0"/>
        <w:spacing w:line="560" w:lineRule="exact"/>
        <w:ind w:firstLine="689" w:firstLineChars="343"/>
        <w:jc w:val="both"/>
        <w:rPr>
          <w:rFonts w:ascii="Times New Roman" w:hAnsi="Times New Roman" w:eastAsia="仿宋" w:cs="仿宋"/>
          <w:b w:val="0"/>
          <w:sz w:val="32"/>
          <w:szCs w:val="32"/>
        </w:rPr>
      </w:pPr>
      <w:r>
        <w:rPr>
          <w:rFonts w:hint="eastAsia" w:ascii="Times New Roman" w:hAnsi="Times New Roman" w:eastAsia="仿宋" w:cs="仿宋"/>
        </w:rPr>
        <w:t>注6</w:t>
      </w:r>
      <w:bookmarkEnd w:id="0"/>
      <w:r>
        <w:rPr>
          <w:rFonts w:hint="eastAsia" w:ascii="Times New Roman" w:hAnsi="Times New Roman" w:eastAsia="仿宋" w:cs="仿宋"/>
          <w:sz w:val="32"/>
          <w:szCs w:val="32"/>
        </w:rPr>
        <w:t>政府性基金预算：</w:t>
      </w:r>
      <w:r>
        <w:rPr>
          <w:rFonts w:hint="eastAsia" w:ascii="Times New Roman" w:hAnsi="Times New Roman" w:eastAsia="仿宋" w:cs="仿宋"/>
          <w:b w:val="0"/>
          <w:sz w:val="32"/>
          <w:szCs w:val="32"/>
        </w:rPr>
        <w:t>根据《国务院关于加强预算外资金管理的决定》（国发〔1996〕29号）的有关规定，从1996年起将经国家批准征收的部分政府性基金（收费）和地方财政按国家规定收取的各项税费附加纳入财政预算管理。按照财政部的规定，政府性基金全额纳入预算管理，实行收支两条线，收入全额上缴国库，先收后支，专款专用；在预算上单独编列，自求平衡，结余结转下年继续使用。单独编列的政府性基金收支预算就称为基金预算，收入称为基金预算收入，支出称为基金预算支出。基金与公共财政收支项目相比，具有两个显著特征：（1）对应性。基金收入必须用于规定的支出项目，而规定的支出项目也主要以相应的基金收入为保证；（2）专项性。政府性基金通常是按具体项目或特定项目设立的，须保证专款专用。</w:t>
      </w:r>
    </w:p>
    <w:p>
      <w:pPr>
        <w:adjustRightInd w:val="0"/>
        <w:snapToGrid w:val="0"/>
        <w:spacing w:line="560" w:lineRule="exact"/>
        <w:ind w:firstLine="703" w:firstLineChars="350"/>
        <w:rPr>
          <w:rFonts w:ascii="Times New Roman" w:hAnsi="Times New Roman" w:eastAsia="仿宋" w:cs="仿宋"/>
          <w:b/>
          <w:bCs/>
          <w:kern w:val="0"/>
          <w:sz w:val="20"/>
          <w:szCs w:val="20"/>
        </w:rPr>
      </w:pPr>
      <w:bookmarkStart w:id="1" w:name="_Toc188436673"/>
      <w:r>
        <w:rPr>
          <w:rFonts w:hint="eastAsia" w:ascii="Times New Roman" w:hAnsi="Times New Roman" w:eastAsia="仿宋" w:cs="仿宋"/>
          <w:b/>
          <w:bCs/>
          <w:kern w:val="0"/>
          <w:sz w:val="20"/>
          <w:szCs w:val="20"/>
        </w:rPr>
        <w:t>注7</w:t>
      </w:r>
      <w:r>
        <w:rPr>
          <w:rFonts w:hint="eastAsia" w:ascii="Times New Roman" w:hAnsi="Times New Roman" w:eastAsia="仿宋" w:cs="仿宋"/>
          <w:b/>
          <w:sz w:val="32"/>
          <w:szCs w:val="32"/>
        </w:rPr>
        <w:t>全省30件民生实事</w:t>
      </w:r>
      <w:r>
        <w:rPr>
          <w:rFonts w:hint="eastAsia" w:ascii="Times New Roman" w:hAnsi="Times New Roman" w:eastAsia="仿宋" w:cs="仿宋"/>
          <w:b/>
          <w:bCs/>
          <w:kern w:val="0"/>
          <w:sz w:val="32"/>
          <w:szCs w:val="32"/>
        </w:rPr>
        <w:t>：</w:t>
      </w:r>
      <w:r>
        <w:rPr>
          <w:rFonts w:hint="eastAsia" w:ascii="Times New Roman" w:hAnsi="Times New Roman" w:eastAsia="仿宋" w:cs="仿宋"/>
          <w:sz w:val="32"/>
          <w:szCs w:val="32"/>
        </w:rPr>
        <w:t>为全市新生儿提供先天性心脏病免费筛查，为脱贫县新生儿提供两种遗传代谢病和听力筛查障碍免费筛查；持续扩大普惠托育服务供给，新增850个普惠性托位；新建、改扩建7所公办幼儿园，有效增加公办幼儿园学位；支持2个县（区）改造升级儿童救助保护阵地，优化临时监护、救助帮扶、关爱保护等服务；保障4.09万名进城务工人员随迁子女在流入地顺利接受义务教育；为4.41万名享受少数民族待遇县幼儿园在园儿童和其他地区普惠性幼儿园家庭经济困难儿童减免保教费；为2.55万名家庭经济困难的普通高中学生按平均每人每年2000元的标准发放助学金；落实农村教师生活待遇，为1.1万名符合条件的农村教师按每人每月不低于400元的标准发放生活补助；大力开展职业培训，促进高校毕业生、农民工、退役军人、就业困难人员等重点群体就业，实现城镇新增就业5.8万人、脱贫人口就业14.7万人；稳步提高全市城乡居民基本医疗保险财政补助标准，达到每人每年不低于670元；持续为全市457.72万名常住居民免费提供12项基本公共卫生服务，为1.19万名65岁及以上失能老年人免费上门提供康复护理指导、健康风险指导等服务；为5.73万名农村适龄妇女提供宫颈癌和乳腺癌筛查服务；提高养老金待遇水平，落实好国家养老保险政策，确保退休人员养老金、城乡居民养老保险待遇按时足额发放；改造100张农村公办养老机构床位，增强县级失能失智老年养护院和农村区域性养老服务中心护理功能；建设2个示范性老年助餐服务网络，为老年人提供方便可及、经济实惠、安全可靠的助餐服务；为2.01万名65岁及以上城乡独居老年人免费安装联网型独立感烟火灾报警器，鼓励有条件的地区拓展紧急呼救等服务功能，守护独居老年人平安；新开工改造城镇老旧小区179个，支持既有住宅增设电梯150部，持续改善居住环境，提升生活品质；适度提高城乡低保、特困供养等救助保障标准低限，为困难群众提供基本生活保障；提高重度残疾人护理补贴标准，一、二级重度残疾人护理补贴标准分别达到每人每月110元、80元；免费为经济困难群众和符合条件的当事人提供法律咨询服务2.8万人次、法律援助案件服务3700件；打造集安全示范街、示范校园、文化广场和安全标准化企业、应急救援队伍等于一体的2个省级安全乡镇（街道），增强基层风险防范能力；对全市30户受地质灾害威胁群众进行避险搬迁安置；加大食品安全抽检监测力度，市级食品抽检数量不少于1114批次，对抽检发现的不合格食品及时处置，处置率达到100%；免费开放公共图书馆12个、文化馆11个、美术馆1个、综合文化站（中心）186个、博物馆和纪念馆8个，免费或低收费开放公共体育场馆不少于13个，不断满足人民群众文化体育需求；新建和改建农村公路147公里，同步完善安全生命防护设施，提高道路互联互通水平；全面推进国道351线夹金山隧道建设，完成投资2.8亿元（宜宾无）；新建和改造机电提灌站124个，助力农民稳产增收；实施第三批乡村水务建设，完成共乐—五星集中供水工程等2处巩固提升工程；提升农村地区通信网络质量，新建4G基站、5G基站共59个（省统筹）；实施农村生活污水治理“千村示范工程”，完成72个行政村生活污水治理。</w:t>
      </w:r>
    </w:p>
    <w:bookmarkEnd w:id="1"/>
    <w:p>
      <w:pPr>
        <w:pStyle w:val="9"/>
        <w:widowControl w:val="0"/>
        <w:adjustRightInd w:val="0"/>
        <w:snapToGrid w:val="0"/>
        <w:spacing w:line="560" w:lineRule="exact"/>
        <w:ind w:firstLine="689" w:firstLineChars="343"/>
        <w:jc w:val="both"/>
        <w:rPr>
          <w:rFonts w:hint="eastAsia" w:ascii="Times New Roman" w:hAnsi="Times New Roman" w:eastAsia="仿宋" w:cs="仿宋"/>
          <w:b w:val="0"/>
          <w:sz w:val="32"/>
          <w:szCs w:val="32"/>
        </w:rPr>
      </w:pPr>
      <w:bookmarkStart w:id="2" w:name="_Toc188436680"/>
      <w:bookmarkStart w:id="3" w:name="_Toc188436660"/>
      <w:r>
        <w:rPr>
          <w:rFonts w:hint="eastAsia" w:ascii="Times New Roman" w:hAnsi="Times New Roman" w:eastAsia="仿宋" w:cs="仿宋"/>
        </w:rPr>
        <w:t>注</w:t>
      </w:r>
      <w:bookmarkEnd w:id="2"/>
      <w:r>
        <w:rPr>
          <w:rFonts w:hint="eastAsia" w:ascii="Times New Roman" w:hAnsi="Times New Roman" w:eastAsia="仿宋" w:cs="仿宋"/>
          <w:lang w:val="en-US" w:eastAsia="zh-CN"/>
        </w:rPr>
        <w:t>8</w:t>
      </w:r>
      <w:r>
        <w:rPr>
          <w:rFonts w:hint="eastAsia" w:ascii="Times New Roman" w:hAnsi="Times New Roman" w:eastAsia="仿宋" w:cs="仿宋"/>
          <w:sz w:val="32"/>
          <w:szCs w:val="32"/>
        </w:rPr>
        <w:t>财政预算绩效管理</w:t>
      </w:r>
      <w:r>
        <w:rPr>
          <w:rFonts w:hint="eastAsia" w:ascii="Times New Roman" w:hAnsi="Times New Roman" w:eastAsia="仿宋" w:cs="仿宋"/>
          <w:sz w:val="32"/>
          <w:szCs w:val="32"/>
          <w:lang w:eastAsia="zh-CN"/>
        </w:rPr>
        <w:t>：</w:t>
      </w:r>
      <w:r>
        <w:rPr>
          <w:rFonts w:hint="eastAsia" w:ascii="Times New Roman" w:hAnsi="Times New Roman" w:eastAsia="仿宋" w:cs="仿宋"/>
          <w:b w:val="0"/>
          <w:sz w:val="32"/>
          <w:szCs w:val="32"/>
        </w:rPr>
        <w:t>以一级政府财政预算收入和支出为对象，以政府财政预算在一定时期内所达到的总体产出和结果为内容，以促进政府透明、责任、高效履职为目的所开展的绩效管理活动。</w:t>
      </w:r>
    </w:p>
    <w:p>
      <w:pPr>
        <w:adjustRightInd w:val="0"/>
        <w:snapToGrid w:val="0"/>
        <w:spacing w:line="560" w:lineRule="exact"/>
        <w:ind w:firstLine="738" w:firstLineChars="350"/>
        <w:rPr>
          <w:rFonts w:hint="eastAsia" w:ascii="Times New Roman" w:hAnsi="Times New Roman" w:eastAsia="仿宋" w:cs="仿宋"/>
          <w:sz w:val="32"/>
          <w:szCs w:val="32"/>
        </w:rPr>
      </w:pPr>
      <w:r>
        <w:rPr>
          <w:rFonts w:hint="eastAsia" w:ascii="Times New Roman" w:hAnsi="Times New Roman" w:eastAsia="仿宋" w:cs="仿宋"/>
          <w:b/>
          <w:bCs/>
          <w:kern w:val="0"/>
        </w:rPr>
        <w:t>注</w:t>
      </w:r>
      <w:r>
        <w:rPr>
          <w:rFonts w:hint="eastAsia" w:ascii="Times New Roman" w:hAnsi="Times New Roman" w:eastAsia="仿宋" w:cs="仿宋"/>
          <w:b/>
          <w:bCs/>
          <w:kern w:val="0"/>
          <w:lang w:val="en-US" w:eastAsia="zh-CN"/>
        </w:rPr>
        <w:t>9</w:t>
      </w:r>
      <w:r>
        <w:rPr>
          <w:rFonts w:hint="eastAsia" w:ascii="Times New Roman" w:hAnsi="Times New Roman" w:eastAsia="仿宋" w:cs="仿宋"/>
          <w:b/>
          <w:sz w:val="32"/>
          <w:szCs w:val="32"/>
        </w:rPr>
        <w:t>地方政府性债务：</w:t>
      </w:r>
      <w:r>
        <w:rPr>
          <w:rFonts w:hint="eastAsia" w:ascii="Times New Roman" w:hAnsi="Times New Roman" w:eastAsia="仿宋" w:cs="仿宋"/>
          <w:sz w:val="32"/>
          <w:szCs w:val="32"/>
        </w:rPr>
        <w:t>地方政府性债务分为地方政府负有偿还责任的债务、地方政府负有担保责任的债务和地方政府可能承担一定救助责任的其他相关债务。其中：地方政府负有偿还责任的债务是指地方政府（含政府部门和机构）、经费补助事业单位、公用事业单位、政府融资平台公司和其他相关单位举借，确定由财政资金偿还的债务；地方政府负有担保责任的债务是指因地方政府提供直接或间接担保，当债务人无法偿还债务时，政府负有连带偿债责任的债务；地方政府可能承担一定救助责任的其他相关债务是指政府融资平台公司、经费补助事业单位和公用事业单位为公益性项目举借，由非财政资金偿还，且地方政府未提供担保的债务（不含拖欠其他单位和个人的债务），政府在法律上对该类债务不承担偿债责任，但当债务人出现债务危机时，政府可能需要承担救助责任。</w:t>
      </w:r>
    </w:p>
    <w:p>
      <w:pPr>
        <w:adjustRightInd w:val="0"/>
        <w:snapToGrid w:val="0"/>
        <w:spacing w:line="560" w:lineRule="exact"/>
        <w:ind w:firstLine="738" w:firstLineChars="350"/>
        <w:rPr>
          <w:rFonts w:hint="eastAsia" w:ascii="Times New Roman" w:hAnsi="Times New Roman" w:eastAsia="仿宋" w:cs="仿宋"/>
          <w:b w:val="0"/>
          <w:bCs/>
          <w:kern w:val="0"/>
          <w:sz w:val="32"/>
          <w:szCs w:val="32"/>
          <w:lang w:val="en-US" w:eastAsia="zh-CN" w:bidi="ar-SA"/>
        </w:rPr>
      </w:pPr>
      <w:r>
        <w:rPr>
          <w:rFonts w:hint="eastAsia" w:ascii="Times New Roman" w:hAnsi="Times New Roman" w:eastAsia="仿宋" w:cs="仿宋"/>
          <w:b/>
          <w:bCs/>
          <w:kern w:val="0"/>
        </w:rPr>
        <w:t>注</w:t>
      </w:r>
      <w:r>
        <w:rPr>
          <w:rFonts w:hint="eastAsia" w:ascii="Times New Roman" w:hAnsi="Times New Roman" w:eastAsia="仿宋" w:cs="仿宋"/>
          <w:b/>
          <w:bCs/>
          <w:kern w:val="0"/>
          <w:lang w:val="en-US" w:eastAsia="zh-CN"/>
        </w:rPr>
        <w:t>10</w:t>
      </w:r>
      <w:r>
        <w:rPr>
          <w:rFonts w:hint="eastAsia" w:ascii="Times New Roman" w:hAnsi="Times New Roman" w:eastAsia="仿宋" w:cs="仿宋"/>
          <w:b/>
          <w:sz w:val="32"/>
          <w:szCs w:val="32"/>
          <w:lang w:val="en-US" w:eastAsia="zh-CN"/>
        </w:rPr>
        <w:t>零基预算</w:t>
      </w:r>
      <w:r>
        <w:rPr>
          <w:rFonts w:hint="eastAsia" w:ascii="Times New Roman" w:hAnsi="Times New Roman" w:eastAsia="仿宋" w:cs="仿宋"/>
          <w:b/>
          <w:sz w:val="32"/>
          <w:szCs w:val="32"/>
        </w:rPr>
        <w:t>：</w:t>
      </w:r>
      <w:r>
        <w:rPr>
          <w:rFonts w:hint="eastAsia" w:ascii="Times New Roman" w:hAnsi="Times New Roman" w:eastAsia="仿宋" w:cs="仿宋"/>
          <w:b w:val="0"/>
          <w:bCs/>
          <w:kern w:val="0"/>
          <w:sz w:val="32"/>
          <w:szCs w:val="32"/>
          <w:lang w:val="en-US" w:eastAsia="zh-CN" w:bidi="ar-SA"/>
        </w:rPr>
        <w:t>零基预算是指不考虑过去的预算项目和收支水平，以零为基点编制的预算，具体指不受以往预算安排情况的影响，一切从实际需要出发，逐项审议预算年度内各项费用的内容及其开支标准，结合财力情况，在综合平衡的基础上编制预算的一种科学的现代预算编制方法。</w:t>
      </w:r>
    </w:p>
    <w:p>
      <w:pPr>
        <w:pStyle w:val="9"/>
        <w:widowControl w:val="0"/>
        <w:adjustRightInd w:val="0"/>
        <w:snapToGrid w:val="0"/>
        <w:spacing w:line="560" w:lineRule="exact"/>
        <w:ind w:firstLine="738" w:firstLineChars="350"/>
        <w:jc w:val="both"/>
        <w:rPr>
          <w:rFonts w:ascii="Times New Roman" w:hAnsi="Times New Roman" w:eastAsia="仿宋" w:cs="仿宋"/>
          <w:b w:val="0"/>
          <w:sz w:val="32"/>
          <w:szCs w:val="32"/>
        </w:rPr>
      </w:pPr>
      <w:r>
        <w:rPr>
          <w:rFonts w:hint="eastAsia" w:ascii="Times New Roman" w:hAnsi="Times New Roman" w:eastAsia="仿宋" w:cs="仿宋"/>
          <w:sz w:val="21"/>
          <w:szCs w:val="24"/>
        </w:rPr>
        <w:t>注1</w:t>
      </w:r>
      <w:bookmarkEnd w:id="3"/>
      <w:r>
        <w:rPr>
          <w:rFonts w:hint="eastAsia" w:ascii="Times New Roman" w:hAnsi="Times New Roman" w:eastAsia="仿宋" w:cs="仿宋"/>
          <w:sz w:val="21"/>
          <w:szCs w:val="24"/>
          <w:lang w:val="en-US" w:eastAsia="zh-CN"/>
        </w:rPr>
        <w:t>1</w:t>
      </w:r>
      <w:r>
        <w:rPr>
          <w:rFonts w:hint="eastAsia" w:ascii="Times New Roman" w:hAnsi="Times New Roman" w:eastAsia="仿宋" w:cs="仿宋"/>
          <w:sz w:val="32"/>
          <w:szCs w:val="32"/>
        </w:rPr>
        <w:t>“三保”支出需特别说明的情况：</w:t>
      </w:r>
      <w:r>
        <w:rPr>
          <w:rFonts w:hint="eastAsia" w:ascii="Times New Roman" w:hAnsi="Times New Roman" w:eastAsia="仿宋" w:cs="仿宋"/>
          <w:b w:val="0"/>
          <w:sz w:val="32"/>
          <w:szCs w:val="32"/>
        </w:rPr>
        <w:t>根据《四川省财政厅关于使用预算管理一体化系统编制2025年“三保”支出预算有关事项的通知》（川财预〔2024〕66号）文件规定，基础绩效奖（2024年以前列入）不再属于2025年“三保”保障范围。</w:t>
      </w:r>
    </w:p>
    <w:p>
      <w:pPr>
        <w:pStyle w:val="9"/>
        <w:widowControl w:val="0"/>
        <w:adjustRightInd w:val="0"/>
        <w:snapToGrid w:val="0"/>
        <w:spacing w:line="560" w:lineRule="exact"/>
        <w:ind w:firstLine="1120" w:firstLineChars="350"/>
        <w:jc w:val="both"/>
        <w:rPr>
          <w:rFonts w:ascii="Times New Roman" w:hAnsi="Times New Roman" w:eastAsia="仿宋" w:cs="仿宋"/>
          <w:b w:val="0"/>
          <w:sz w:val="32"/>
          <w:szCs w:val="32"/>
        </w:rPr>
      </w:pPr>
    </w:p>
    <w:sectPr>
      <w:footerReference r:id="rId5" w:type="default"/>
      <w:pgSz w:w="11906" w:h="16838"/>
      <w:pgMar w:top="2098" w:right="1474" w:bottom="1984" w:left="1587" w:header="851" w:footer="1474" w:gutter="0"/>
      <w:cols w:space="0" w:num="1"/>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0">
    <w:p/>
  </w:endnote>
  <w:endnote w:type="continuationSeparator" w:id="11">
    <w:p/>
  </w:endnote>
  <w:endnote w:id="0">
    <w:p>
      <w:pPr>
        <w:pStyle w:val="6"/>
      </w:pPr>
    </w:p>
  </w:endnote>
  <w:endnote w:id="1">
    <w:p>
      <w:pPr>
        <w:pStyle w:val="6"/>
      </w:pPr>
    </w:p>
  </w:endnote>
  <w:endnote w:id="2">
    <w:p>
      <w:pPr>
        <w:pStyle w:val="6"/>
      </w:pPr>
    </w:p>
  </w:endnote>
  <w:endnote w:id="3">
    <w:p>
      <w:pPr>
        <w:pStyle w:val="6"/>
      </w:pPr>
    </w:p>
  </w:endnote>
  <w:endnote w:id="4">
    <w:p>
      <w:pPr>
        <w:pStyle w:val="6"/>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小标宋">
    <w:altName w:val="宋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4" name="文本框 1"/>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a:effectLst/>
                    </wps:spPr>
                    <wps:txbx>
                      <w:txbxContent>
                        <w:p>
                          <w:pPr>
                            <w:pStyle w:val="7"/>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wrap="none" lIns="0" tIns="0" rIns="0" bIns="0">
                      <a:spAutoFit/>
                    </wps:bodyPr>
                  </wps:wsp>
                </a:graphicData>
              </a:graphic>
            </wp:anchor>
          </w:drawing>
        </mc:Choice>
        <mc:Fallback>
          <w:pict>
            <v:shape id="文本框 1"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bziEn0QAAAAMBAAAPAAAAAAAAAAEAIAAAACIAAABkcnMvZG93bnJl&#10;di54bWxQSwECFAAUAAAACACHTuJANeuifssBAACZAwAADgAAAAAAAAABACAAAAAgAQAAZHJzL2Uy&#10;b0RvYy54bWxQSwUGAAAAAAYABgBZAQAAXQUAAAAA&#10;">
              <v:fill on="f" focussize="0,0"/>
              <v:stroke on="f"/>
              <v:imagedata o:title=""/>
              <o:lock v:ext="edit" aspectratio="f"/>
              <v:textbox inset="0mm,0mm,0mm,0mm" style="mso-fit-shape-to-text:t;">
                <w:txbxContent>
                  <w:p>
                    <w:pPr>
                      <w:pStyle w:val="7"/>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A974FE"/>
    <w:multiLevelType w:val="singleLevel"/>
    <w:tmpl w:val="4AA974FE"/>
    <w:lvl w:ilvl="0" w:tentative="0">
      <w:start w:val="1"/>
      <w:numFmt w:val="chineseCounting"/>
      <w:suff w:val="nothing"/>
      <w:lvlText w:val="（%1）"/>
      <w:lvlJc w:val="left"/>
      <w:rPr>
        <w:rFonts w:hint="eastAsia" w:ascii="楷体" w:hAnsi="楷体" w:eastAsia="楷体" w:cs="楷体"/>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footnotePr>
    <w:footnote w:id="0"/>
    <w:footnote w:id="1"/>
  </w:footnotePr>
  <w:endnotePr>
    <w:endnote w:id="10"/>
    <w:endnote w:id="1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Zjc2MDgzZmZmYmU3MWRhOWVlNWU1MjFhNWFlNDYifQ=="/>
  </w:docVars>
  <w:rsids>
    <w:rsidRoot w:val="00172A27"/>
    <w:rsid w:val="00000E87"/>
    <w:rsid w:val="00006EED"/>
    <w:rsid w:val="00014B89"/>
    <w:rsid w:val="00024611"/>
    <w:rsid w:val="0003249A"/>
    <w:rsid w:val="00036CBA"/>
    <w:rsid w:val="00037AF4"/>
    <w:rsid w:val="000406EC"/>
    <w:rsid w:val="0004157F"/>
    <w:rsid w:val="00042D55"/>
    <w:rsid w:val="00047920"/>
    <w:rsid w:val="00070B9B"/>
    <w:rsid w:val="00073C6A"/>
    <w:rsid w:val="000869C9"/>
    <w:rsid w:val="000913D7"/>
    <w:rsid w:val="0009410E"/>
    <w:rsid w:val="000961A8"/>
    <w:rsid w:val="000971E6"/>
    <w:rsid w:val="000971ED"/>
    <w:rsid w:val="000A13F0"/>
    <w:rsid w:val="000A4655"/>
    <w:rsid w:val="000B71AC"/>
    <w:rsid w:val="000C1011"/>
    <w:rsid w:val="000C4F0B"/>
    <w:rsid w:val="000C55D9"/>
    <w:rsid w:val="000E3C2F"/>
    <w:rsid w:val="000E57E9"/>
    <w:rsid w:val="000F50FB"/>
    <w:rsid w:val="0010354B"/>
    <w:rsid w:val="00107D9E"/>
    <w:rsid w:val="00110C33"/>
    <w:rsid w:val="0011190F"/>
    <w:rsid w:val="00112F75"/>
    <w:rsid w:val="00116379"/>
    <w:rsid w:val="0012425B"/>
    <w:rsid w:val="00125688"/>
    <w:rsid w:val="00131F35"/>
    <w:rsid w:val="0014193C"/>
    <w:rsid w:val="00142D06"/>
    <w:rsid w:val="001469B2"/>
    <w:rsid w:val="00146A48"/>
    <w:rsid w:val="00147F22"/>
    <w:rsid w:val="0015054F"/>
    <w:rsid w:val="001521DC"/>
    <w:rsid w:val="00166CBB"/>
    <w:rsid w:val="001771A8"/>
    <w:rsid w:val="00184FFC"/>
    <w:rsid w:val="00193A3D"/>
    <w:rsid w:val="001A1FED"/>
    <w:rsid w:val="001A4086"/>
    <w:rsid w:val="001A60E0"/>
    <w:rsid w:val="001A7718"/>
    <w:rsid w:val="001A79E1"/>
    <w:rsid w:val="001B2EF6"/>
    <w:rsid w:val="001B46D6"/>
    <w:rsid w:val="001B565E"/>
    <w:rsid w:val="001C145A"/>
    <w:rsid w:val="001C236A"/>
    <w:rsid w:val="001C24BD"/>
    <w:rsid w:val="001D2132"/>
    <w:rsid w:val="001D5A99"/>
    <w:rsid w:val="001E3541"/>
    <w:rsid w:val="001E7C1C"/>
    <w:rsid w:val="00204BAD"/>
    <w:rsid w:val="0021307F"/>
    <w:rsid w:val="00221992"/>
    <w:rsid w:val="002249B1"/>
    <w:rsid w:val="002266C3"/>
    <w:rsid w:val="00227F99"/>
    <w:rsid w:val="00231F01"/>
    <w:rsid w:val="00232E52"/>
    <w:rsid w:val="002417CE"/>
    <w:rsid w:val="002606F6"/>
    <w:rsid w:val="002638AB"/>
    <w:rsid w:val="0026499B"/>
    <w:rsid w:val="00265CB1"/>
    <w:rsid w:val="002662F3"/>
    <w:rsid w:val="00271E49"/>
    <w:rsid w:val="002804F3"/>
    <w:rsid w:val="0028525F"/>
    <w:rsid w:val="00290B55"/>
    <w:rsid w:val="00290B5A"/>
    <w:rsid w:val="00294B07"/>
    <w:rsid w:val="002A41F7"/>
    <w:rsid w:val="002A52A5"/>
    <w:rsid w:val="002A64FC"/>
    <w:rsid w:val="002A7F92"/>
    <w:rsid w:val="002B2F95"/>
    <w:rsid w:val="002B5E50"/>
    <w:rsid w:val="002B68F5"/>
    <w:rsid w:val="002B6FA7"/>
    <w:rsid w:val="002C6422"/>
    <w:rsid w:val="002D045B"/>
    <w:rsid w:val="002D05DC"/>
    <w:rsid w:val="002D4B26"/>
    <w:rsid w:val="002E1568"/>
    <w:rsid w:val="002E3148"/>
    <w:rsid w:val="002F235D"/>
    <w:rsid w:val="002F3E8D"/>
    <w:rsid w:val="002F57B6"/>
    <w:rsid w:val="002F662F"/>
    <w:rsid w:val="00304378"/>
    <w:rsid w:val="00306109"/>
    <w:rsid w:val="00306D78"/>
    <w:rsid w:val="003116D3"/>
    <w:rsid w:val="00315CE4"/>
    <w:rsid w:val="00321CE4"/>
    <w:rsid w:val="00332CB2"/>
    <w:rsid w:val="00333626"/>
    <w:rsid w:val="00334311"/>
    <w:rsid w:val="0034022B"/>
    <w:rsid w:val="003410AA"/>
    <w:rsid w:val="003462EF"/>
    <w:rsid w:val="003466E1"/>
    <w:rsid w:val="00352EEF"/>
    <w:rsid w:val="00356264"/>
    <w:rsid w:val="00362F0A"/>
    <w:rsid w:val="00370520"/>
    <w:rsid w:val="00370888"/>
    <w:rsid w:val="00371D7D"/>
    <w:rsid w:val="00395559"/>
    <w:rsid w:val="003A04D8"/>
    <w:rsid w:val="003A2463"/>
    <w:rsid w:val="003A7113"/>
    <w:rsid w:val="003B02E9"/>
    <w:rsid w:val="003C3B2D"/>
    <w:rsid w:val="003C6A82"/>
    <w:rsid w:val="003E087E"/>
    <w:rsid w:val="003F12A9"/>
    <w:rsid w:val="003F1654"/>
    <w:rsid w:val="003F5492"/>
    <w:rsid w:val="003F7F42"/>
    <w:rsid w:val="0040223D"/>
    <w:rsid w:val="00427D95"/>
    <w:rsid w:val="004333FF"/>
    <w:rsid w:val="004403EC"/>
    <w:rsid w:val="00443C7C"/>
    <w:rsid w:val="0045266C"/>
    <w:rsid w:val="00454692"/>
    <w:rsid w:val="004574D3"/>
    <w:rsid w:val="00460B15"/>
    <w:rsid w:val="004625AD"/>
    <w:rsid w:val="00490807"/>
    <w:rsid w:val="004943DC"/>
    <w:rsid w:val="004A18B7"/>
    <w:rsid w:val="004A1E49"/>
    <w:rsid w:val="004A6F23"/>
    <w:rsid w:val="004B2119"/>
    <w:rsid w:val="004B4202"/>
    <w:rsid w:val="004D2A84"/>
    <w:rsid w:val="004E0C21"/>
    <w:rsid w:val="004E193F"/>
    <w:rsid w:val="004E2FFC"/>
    <w:rsid w:val="004E78B0"/>
    <w:rsid w:val="005061C6"/>
    <w:rsid w:val="005061CD"/>
    <w:rsid w:val="00511A67"/>
    <w:rsid w:val="0051764A"/>
    <w:rsid w:val="005176E1"/>
    <w:rsid w:val="00522DC2"/>
    <w:rsid w:val="00524521"/>
    <w:rsid w:val="005265B1"/>
    <w:rsid w:val="00533D9A"/>
    <w:rsid w:val="00534966"/>
    <w:rsid w:val="00534C4B"/>
    <w:rsid w:val="00536EC1"/>
    <w:rsid w:val="00550CEE"/>
    <w:rsid w:val="00551436"/>
    <w:rsid w:val="00551F7B"/>
    <w:rsid w:val="005544E2"/>
    <w:rsid w:val="00561179"/>
    <w:rsid w:val="00564218"/>
    <w:rsid w:val="005754B6"/>
    <w:rsid w:val="00575ACE"/>
    <w:rsid w:val="00582C99"/>
    <w:rsid w:val="00582EEB"/>
    <w:rsid w:val="00585E42"/>
    <w:rsid w:val="00592897"/>
    <w:rsid w:val="005962B0"/>
    <w:rsid w:val="005A380D"/>
    <w:rsid w:val="005B25B5"/>
    <w:rsid w:val="005B7F7B"/>
    <w:rsid w:val="005C0F26"/>
    <w:rsid w:val="005D1744"/>
    <w:rsid w:val="005E4014"/>
    <w:rsid w:val="005F678A"/>
    <w:rsid w:val="00602F71"/>
    <w:rsid w:val="00605CD8"/>
    <w:rsid w:val="006400F3"/>
    <w:rsid w:val="0065619A"/>
    <w:rsid w:val="0065740C"/>
    <w:rsid w:val="00662646"/>
    <w:rsid w:val="00664FC0"/>
    <w:rsid w:val="00673586"/>
    <w:rsid w:val="00674FEF"/>
    <w:rsid w:val="00680F29"/>
    <w:rsid w:val="00690E63"/>
    <w:rsid w:val="006A2177"/>
    <w:rsid w:val="006B3C13"/>
    <w:rsid w:val="006B7356"/>
    <w:rsid w:val="006C2976"/>
    <w:rsid w:val="006D01E1"/>
    <w:rsid w:val="006D7650"/>
    <w:rsid w:val="006E1B3E"/>
    <w:rsid w:val="006F26ED"/>
    <w:rsid w:val="006F37CD"/>
    <w:rsid w:val="006F4345"/>
    <w:rsid w:val="007020F1"/>
    <w:rsid w:val="007174AD"/>
    <w:rsid w:val="00721E81"/>
    <w:rsid w:val="00746571"/>
    <w:rsid w:val="00753523"/>
    <w:rsid w:val="00757B41"/>
    <w:rsid w:val="00760370"/>
    <w:rsid w:val="007661BC"/>
    <w:rsid w:val="007714E9"/>
    <w:rsid w:val="0077357B"/>
    <w:rsid w:val="00775311"/>
    <w:rsid w:val="007775BB"/>
    <w:rsid w:val="00784CD9"/>
    <w:rsid w:val="00796161"/>
    <w:rsid w:val="007964C3"/>
    <w:rsid w:val="007B13DB"/>
    <w:rsid w:val="007B33FF"/>
    <w:rsid w:val="007C0009"/>
    <w:rsid w:val="007C4E65"/>
    <w:rsid w:val="007C73C4"/>
    <w:rsid w:val="007D230D"/>
    <w:rsid w:val="007E7A84"/>
    <w:rsid w:val="007F204B"/>
    <w:rsid w:val="007F58B2"/>
    <w:rsid w:val="007F623D"/>
    <w:rsid w:val="0080039B"/>
    <w:rsid w:val="00801304"/>
    <w:rsid w:val="00801BCB"/>
    <w:rsid w:val="00801F5A"/>
    <w:rsid w:val="00802A16"/>
    <w:rsid w:val="0081071E"/>
    <w:rsid w:val="00834F45"/>
    <w:rsid w:val="008511A9"/>
    <w:rsid w:val="008522CF"/>
    <w:rsid w:val="00856EED"/>
    <w:rsid w:val="00861373"/>
    <w:rsid w:val="00862CB4"/>
    <w:rsid w:val="00863549"/>
    <w:rsid w:val="0086696B"/>
    <w:rsid w:val="00877C7B"/>
    <w:rsid w:val="00881385"/>
    <w:rsid w:val="00885BC2"/>
    <w:rsid w:val="00886B0F"/>
    <w:rsid w:val="0089121C"/>
    <w:rsid w:val="00897053"/>
    <w:rsid w:val="008A00D2"/>
    <w:rsid w:val="008A4C4A"/>
    <w:rsid w:val="008B2A48"/>
    <w:rsid w:val="008B6C6E"/>
    <w:rsid w:val="008B7927"/>
    <w:rsid w:val="008C1DD6"/>
    <w:rsid w:val="008C3D75"/>
    <w:rsid w:val="008C5B47"/>
    <w:rsid w:val="008D1D2A"/>
    <w:rsid w:val="008D530B"/>
    <w:rsid w:val="008D5A32"/>
    <w:rsid w:val="008E30DE"/>
    <w:rsid w:val="008F4607"/>
    <w:rsid w:val="008F7941"/>
    <w:rsid w:val="00902D93"/>
    <w:rsid w:val="00902ED3"/>
    <w:rsid w:val="00904A09"/>
    <w:rsid w:val="00905B1B"/>
    <w:rsid w:val="009116CF"/>
    <w:rsid w:val="00921EC2"/>
    <w:rsid w:val="00925622"/>
    <w:rsid w:val="00925DBF"/>
    <w:rsid w:val="00931224"/>
    <w:rsid w:val="009326CB"/>
    <w:rsid w:val="00934A1D"/>
    <w:rsid w:val="00945939"/>
    <w:rsid w:val="00957394"/>
    <w:rsid w:val="0095790D"/>
    <w:rsid w:val="0096408C"/>
    <w:rsid w:val="0097126D"/>
    <w:rsid w:val="00993DE6"/>
    <w:rsid w:val="00994E1E"/>
    <w:rsid w:val="00996E09"/>
    <w:rsid w:val="009A5430"/>
    <w:rsid w:val="009A6231"/>
    <w:rsid w:val="009B7858"/>
    <w:rsid w:val="009C7734"/>
    <w:rsid w:val="009E0A96"/>
    <w:rsid w:val="009E2D6B"/>
    <w:rsid w:val="009E5CC4"/>
    <w:rsid w:val="009F36DC"/>
    <w:rsid w:val="009F4307"/>
    <w:rsid w:val="00A072DF"/>
    <w:rsid w:val="00A15128"/>
    <w:rsid w:val="00A17794"/>
    <w:rsid w:val="00A4242E"/>
    <w:rsid w:val="00A42771"/>
    <w:rsid w:val="00A5142D"/>
    <w:rsid w:val="00A52926"/>
    <w:rsid w:val="00A5356F"/>
    <w:rsid w:val="00A54C52"/>
    <w:rsid w:val="00A614D4"/>
    <w:rsid w:val="00A64865"/>
    <w:rsid w:val="00A67189"/>
    <w:rsid w:val="00A80149"/>
    <w:rsid w:val="00AA03EB"/>
    <w:rsid w:val="00AA059B"/>
    <w:rsid w:val="00AA50F1"/>
    <w:rsid w:val="00AC6197"/>
    <w:rsid w:val="00AD3FA9"/>
    <w:rsid w:val="00AD74B6"/>
    <w:rsid w:val="00AE032B"/>
    <w:rsid w:val="00AF2984"/>
    <w:rsid w:val="00B0114D"/>
    <w:rsid w:val="00B05448"/>
    <w:rsid w:val="00B069E8"/>
    <w:rsid w:val="00B22383"/>
    <w:rsid w:val="00B25D85"/>
    <w:rsid w:val="00B37F12"/>
    <w:rsid w:val="00B4165D"/>
    <w:rsid w:val="00B42141"/>
    <w:rsid w:val="00B53DF8"/>
    <w:rsid w:val="00B57B2D"/>
    <w:rsid w:val="00B62FED"/>
    <w:rsid w:val="00B731C2"/>
    <w:rsid w:val="00B8247D"/>
    <w:rsid w:val="00B84CF5"/>
    <w:rsid w:val="00B935E4"/>
    <w:rsid w:val="00B95968"/>
    <w:rsid w:val="00BA035D"/>
    <w:rsid w:val="00BA1405"/>
    <w:rsid w:val="00BA448B"/>
    <w:rsid w:val="00BD02E8"/>
    <w:rsid w:val="00BD5F03"/>
    <w:rsid w:val="00BD63D7"/>
    <w:rsid w:val="00BE677C"/>
    <w:rsid w:val="00BF4617"/>
    <w:rsid w:val="00BF54B7"/>
    <w:rsid w:val="00BF7890"/>
    <w:rsid w:val="00C10B82"/>
    <w:rsid w:val="00C11BBD"/>
    <w:rsid w:val="00C12B30"/>
    <w:rsid w:val="00C157A8"/>
    <w:rsid w:val="00C161A5"/>
    <w:rsid w:val="00C17F6D"/>
    <w:rsid w:val="00C2096E"/>
    <w:rsid w:val="00C20A92"/>
    <w:rsid w:val="00C262B2"/>
    <w:rsid w:val="00C26997"/>
    <w:rsid w:val="00C3198A"/>
    <w:rsid w:val="00C46681"/>
    <w:rsid w:val="00C623C8"/>
    <w:rsid w:val="00C64512"/>
    <w:rsid w:val="00C660CE"/>
    <w:rsid w:val="00C76D66"/>
    <w:rsid w:val="00C84C8A"/>
    <w:rsid w:val="00C86403"/>
    <w:rsid w:val="00C9078B"/>
    <w:rsid w:val="00C908A7"/>
    <w:rsid w:val="00C935BC"/>
    <w:rsid w:val="00C97832"/>
    <w:rsid w:val="00C97872"/>
    <w:rsid w:val="00C97EEF"/>
    <w:rsid w:val="00CA4517"/>
    <w:rsid w:val="00CB2763"/>
    <w:rsid w:val="00CB6615"/>
    <w:rsid w:val="00CC0119"/>
    <w:rsid w:val="00CC08D7"/>
    <w:rsid w:val="00CC4102"/>
    <w:rsid w:val="00CC4175"/>
    <w:rsid w:val="00CC5C37"/>
    <w:rsid w:val="00CE1A1F"/>
    <w:rsid w:val="00CE5B1C"/>
    <w:rsid w:val="00CF1BAD"/>
    <w:rsid w:val="00CF6449"/>
    <w:rsid w:val="00CF6B98"/>
    <w:rsid w:val="00D01C8B"/>
    <w:rsid w:val="00D07733"/>
    <w:rsid w:val="00D14027"/>
    <w:rsid w:val="00D22EAD"/>
    <w:rsid w:val="00D4216C"/>
    <w:rsid w:val="00D443DE"/>
    <w:rsid w:val="00D45BDC"/>
    <w:rsid w:val="00D45FFD"/>
    <w:rsid w:val="00D644BF"/>
    <w:rsid w:val="00D67603"/>
    <w:rsid w:val="00D677C6"/>
    <w:rsid w:val="00D85971"/>
    <w:rsid w:val="00D9125D"/>
    <w:rsid w:val="00D965D6"/>
    <w:rsid w:val="00DA18AD"/>
    <w:rsid w:val="00DB50E5"/>
    <w:rsid w:val="00DC4E33"/>
    <w:rsid w:val="00DD381F"/>
    <w:rsid w:val="00DD43F0"/>
    <w:rsid w:val="00DD65C4"/>
    <w:rsid w:val="00DD6F11"/>
    <w:rsid w:val="00DD7CA7"/>
    <w:rsid w:val="00DE377A"/>
    <w:rsid w:val="00DE5D94"/>
    <w:rsid w:val="00DF2A80"/>
    <w:rsid w:val="00DF385C"/>
    <w:rsid w:val="00DF3BA5"/>
    <w:rsid w:val="00DF49AD"/>
    <w:rsid w:val="00DF542C"/>
    <w:rsid w:val="00E05845"/>
    <w:rsid w:val="00E20F4B"/>
    <w:rsid w:val="00E227B3"/>
    <w:rsid w:val="00E27D62"/>
    <w:rsid w:val="00E327C8"/>
    <w:rsid w:val="00E42F94"/>
    <w:rsid w:val="00E459E9"/>
    <w:rsid w:val="00E56BFF"/>
    <w:rsid w:val="00E62470"/>
    <w:rsid w:val="00E63997"/>
    <w:rsid w:val="00E67CEF"/>
    <w:rsid w:val="00E72C5E"/>
    <w:rsid w:val="00E7310A"/>
    <w:rsid w:val="00E74209"/>
    <w:rsid w:val="00E77116"/>
    <w:rsid w:val="00E875F5"/>
    <w:rsid w:val="00E95460"/>
    <w:rsid w:val="00E95CDA"/>
    <w:rsid w:val="00EA3ADB"/>
    <w:rsid w:val="00EA4674"/>
    <w:rsid w:val="00EB17E2"/>
    <w:rsid w:val="00EB1A5C"/>
    <w:rsid w:val="00EB40C8"/>
    <w:rsid w:val="00EB78AC"/>
    <w:rsid w:val="00EC311E"/>
    <w:rsid w:val="00EC73FB"/>
    <w:rsid w:val="00ED4FEA"/>
    <w:rsid w:val="00ED5F2C"/>
    <w:rsid w:val="00EE362E"/>
    <w:rsid w:val="00EE7095"/>
    <w:rsid w:val="00EF5A55"/>
    <w:rsid w:val="00EF5FEE"/>
    <w:rsid w:val="00F0083B"/>
    <w:rsid w:val="00F008B1"/>
    <w:rsid w:val="00F0098F"/>
    <w:rsid w:val="00F010A2"/>
    <w:rsid w:val="00F133F9"/>
    <w:rsid w:val="00F22C97"/>
    <w:rsid w:val="00F420D4"/>
    <w:rsid w:val="00F44EFE"/>
    <w:rsid w:val="00F46E7B"/>
    <w:rsid w:val="00F533AC"/>
    <w:rsid w:val="00F60123"/>
    <w:rsid w:val="00F61371"/>
    <w:rsid w:val="00F6337B"/>
    <w:rsid w:val="00F70AD0"/>
    <w:rsid w:val="00F75FB5"/>
    <w:rsid w:val="00F77290"/>
    <w:rsid w:val="00F817F3"/>
    <w:rsid w:val="00F82200"/>
    <w:rsid w:val="00F90582"/>
    <w:rsid w:val="00F93E6E"/>
    <w:rsid w:val="00FA482D"/>
    <w:rsid w:val="00FA590B"/>
    <w:rsid w:val="00FB10A3"/>
    <w:rsid w:val="00FB331A"/>
    <w:rsid w:val="00FC27C5"/>
    <w:rsid w:val="00FC2D1B"/>
    <w:rsid w:val="00FF0355"/>
    <w:rsid w:val="00FF5003"/>
    <w:rsid w:val="00FF63EC"/>
    <w:rsid w:val="00FF657F"/>
    <w:rsid w:val="010F03E8"/>
    <w:rsid w:val="021D229B"/>
    <w:rsid w:val="023837EA"/>
    <w:rsid w:val="030460D9"/>
    <w:rsid w:val="03FA4742"/>
    <w:rsid w:val="049D2060"/>
    <w:rsid w:val="05123C0E"/>
    <w:rsid w:val="057D5184"/>
    <w:rsid w:val="06FE7F2C"/>
    <w:rsid w:val="071309DA"/>
    <w:rsid w:val="07536F83"/>
    <w:rsid w:val="07CE3362"/>
    <w:rsid w:val="080B32ED"/>
    <w:rsid w:val="09286797"/>
    <w:rsid w:val="09F61E11"/>
    <w:rsid w:val="0A503BA8"/>
    <w:rsid w:val="0A5C3FA2"/>
    <w:rsid w:val="0B901144"/>
    <w:rsid w:val="0BD25EA5"/>
    <w:rsid w:val="0BFB417F"/>
    <w:rsid w:val="0BFC430C"/>
    <w:rsid w:val="0BFD64CA"/>
    <w:rsid w:val="0C6150C0"/>
    <w:rsid w:val="0CA43F83"/>
    <w:rsid w:val="0E682167"/>
    <w:rsid w:val="0F6459AD"/>
    <w:rsid w:val="10593667"/>
    <w:rsid w:val="10644410"/>
    <w:rsid w:val="10A36E3F"/>
    <w:rsid w:val="10D11093"/>
    <w:rsid w:val="10EB1368"/>
    <w:rsid w:val="11D94728"/>
    <w:rsid w:val="11E71C7F"/>
    <w:rsid w:val="11F82934"/>
    <w:rsid w:val="12912D5A"/>
    <w:rsid w:val="13427DB4"/>
    <w:rsid w:val="13991433"/>
    <w:rsid w:val="14372C83"/>
    <w:rsid w:val="145A4FE1"/>
    <w:rsid w:val="14EE63B3"/>
    <w:rsid w:val="151536A1"/>
    <w:rsid w:val="157262EB"/>
    <w:rsid w:val="15E1348B"/>
    <w:rsid w:val="160C5935"/>
    <w:rsid w:val="16200EFF"/>
    <w:rsid w:val="16813ECF"/>
    <w:rsid w:val="16E9738F"/>
    <w:rsid w:val="16F37A0C"/>
    <w:rsid w:val="17787ED3"/>
    <w:rsid w:val="180D7567"/>
    <w:rsid w:val="18501936"/>
    <w:rsid w:val="186653D0"/>
    <w:rsid w:val="19AC57E4"/>
    <w:rsid w:val="19BE79A5"/>
    <w:rsid w:val="1A2E4C5F"/>
    <w:rsid w:val="1AD522D3"/>
    <w:rsid w:val="1B067919"/>
    <w:rsid w:val="1B3137F7"/>
    <w:rsid w:val="1B373664"/>
    <w:rsid w:val="1B5B5729"/>
    <w:rsid w:val="1C00329D"/>
    <w:rsid w:val="1C521A88"/>
    <w:rsid w:val="1CBA6AED"/>
    <w:rsid w:val="1CD06430"/>
    <w:rsid w:val="1D30743C"/>
    <w:rsid w:val="1EA17B80"/>
    <w:rsid w:val="1EF1664C"/>
    <w:rsid w:val="20112AEE"/>
    <w:rsid w:val="20844573"/>
    <w:rsid w:val="208E3E2C"/>
    <w:rsid w:val="21AF4261"/>
    <w:rsid w:val="21E0264C"/>
    <w:rsid w:val="220C07F6"/>
    <w:rsid w:val="22173F5B"/>
    <w:rsid w:val="22CA1B74"/>
    <w:rsid w:val="22CF5918"/>
    <w:rsid w:val="22DD4148"/>
    <w:rsid w:val="22E41131"/>
    <w:rsid w:val="233B38A6"/>
    <w:rsid w:val="238F2AAE"/>
    <w:rsid w:val="245108BA"/>
    <w:rsid w:val="25062D4E"/>
    <w:rsid w:val="258B7398"/>
    <w:rsid w:val="25BE5DAD"/>
    <w:rsid w:val="25D66724"/>
    <w:rsid w:val="265E1035"/>
    <w:rsid w:val="26655286"/>
    <w:rsid w:val="27053F7F"/>
    <w:rsid w:val="27432012"/>
    <w:rsid w:val="276F1E3C"/>
    <w:rsid w:val="27B34984"/>
    <w:rsid w:val="28910199"/>
    <w:rsid w:val="289B7905"/>
    <w:rsid w:val="290765A5"/>
    <w:rsid w:val="294814D1"/>
    <w:rsid w:val="29EB56E3"/>
    <w:rsid w:val="2A6724AE"/>
    <w:rsid w:val="2AF3793F"/>
    <w:rsid w:val="2B7D1EF0"/>
    <w:rsid w:val="2B8A026B"/>
    <w:rsid w:val="2BEF7F55"/>
    <w:rsid w:val="2C307768"/>
    <w:rsid w:val="2C520AC7"/>
    <w:rsid w:val="2C9F2AB9"/>
    <w:rsid w:val="2CC23840"/>
    <w:rsid w:val="2D952BBF"/>
    <w:rsid w:val="2DD536C3"/>
    <w:rsid w:val="2DEF1FB4"/>
    <w:rsid w:val="2E615BD8"/>
    <w:rsid w:val="2EB96D85"/>
    <w:rsid w:val="2EF266DA"/>
    <w:rsid w:val="2F4E2ECB"/>
    <w:rsid w:val="2F546A4D"/>
    <w:rsid w:val="2FD04F64"/>
    <w:rsid w:val="30AD3D12"/>
    <w:rsid w:val="3122111B"/>
    <w:rsid w:val="3164240A"/>
    <w:rsid w:val="318A78AF"/>
    <w:rsid w:val="32454D73"/>
    <w:rsid w:val="3313710D"/>
    <w:rsid w:val="33D031CE"/>
    <w:rsid w:val="34052A0C"/>
    <w:rsid w:val="340622E0"/>
    <w:rsid w:val="34A363B8"/>
    <w:rsid w:val="35166FED"/>
    <w:rsid w:val="35731BF7"/>
    <w:rsid w:val="35976224"/>
    <w:rsid w:val="35DD33C6"/>
    <w:rsid w:val="36A45274"/>
    <w:rsid w:val="36D3294D"/>
    <w:rsid w:val="37702329"/>
    <w:rsid w:val="37977D73"/>
    <w:rsid w:val="380F7BCF"/>
    <w:rsid w:val="386012D7"/>
    <w:rsid w:val="38932BD8"/>
    <w:rsid w:val="39A85A7E"/>
    <w:rsid w:val="3A142ECF"/>
    <w:rsid w:val="3A72639D"/>
    <w:rsid w:val="3AEA3B00"/>
    <w:rsid w:val="3B0A55D6"/>
    <w:rsid w:val="3B455D93"/>
    <w:rsid w:val="3BEB0B99"/>
    <w:rsid w:val="3C3542C8"/>
    <w:rsid w:val="3CC30FE1"/>
    <w:rsid w:val="3CD30663"/>
    <w:rsid w:val="3D3411F9"/>
    <w:rsid w:val="3D4B5DA5"/>
    <w:rsid w:val="3D883BC0"/>
    <w:rsid w:val="3DBC3228"/>
    <w:rsid w:val="3E6D793E"/>
    <w:rsid w:val="3EAE3C47"/>
    <w:rsid w:val="3EC62D97"/>
    <w:rsid w:val="3F347201"/>
    <w:rsid w:val="3F384ACC"/>
    <w:rsid w:val="400C0C7E"/>
    <w:rsid w:val="4019655C"/>
    <w:rsid w:val="409F1F9E"/>
    <w:rsid w:val="40DA0A3B"/>
    <w:rsid w:val="41254E28"/>
    <w:rsid w:val="41867E15"/>
    <w:rsid w:val="41D212D7"/>
    <w:rsid w:val="42265D45"/>
    <w:rsid w:val="42552AD5"/>
    <w:rsid w:val="4272319A"/>
    <w:rsid w:val="42DD03F7"/>
    <w:rsid w:val="432A14C1"/>
    <w:rsid w:val="43453E21"/>
    <w:rsid w:val="43686B13"/>
    <w:rsid w:val="439719AC"/>
    <w:rsid w:val="4467501D"/>
    <w:rsid w:val="447E774A"/>
    <w:rsid w:val="44A3581D"/>
    <w:rsid w:val="44B813D4"/>
    <w:rsid w:val="452B2AE3"/>
    <w:rsid w:val="4530648A"/>
    <w:rsid w:val="455E4590"/>
    <w:rsid w:val="458750A0"/>
    <w:rsid w:val="462B6277"/>
    <w:rsid w:val="464C55F4"/>
    <w:rsid w:val="46560EA5"/>
    <w:rsid w:val="47044693"/>
    <w:rsid w:val="47055DA6"/>
    <w:rsid w:val="47216726"/>
    <w:rsid w:val="478F0922"/>
    <w:rsid w:val="48367619"/>
    <w:rsid w:val="491347CE"/>
    <w:rsid w:val="495A5CA3"/>
    <w:rsid w:val="4965179D"/>
    <w:rsid w:val="496B11BA"/>
    <w:rsid w:val="4A16431E"/>
    <w:rsid w:val="4A4519AA"/>
    <w:rsid w:val="4A856613"/>
    <w:rsid w:val="4BB77D94"/>
    <w:rsid w:val="4BE2491D"/>
    <w:rsid w:val="4C20442F"/>
    <w:rsid w:val="4C4D181C"/>
    <w:rsid w:val="4CEE34FF"/>
    <w:rsid w:val="4D904700"/>
    <w:rsid w:val="4DB051F6"/>
    <w:rsid w:val="4DE12EA6"/>
    <w:rsid w:val="4E216727"/>
    <w:rsid w:val="4E351802"/>
    <w:rsid w:val="4E9F6067"/>
    <w:rsid w:val="4EBF395A"/>
    <w:rsid w:val="4EDB48F7"/>
    <w:rsid w:val="4EEC62AD"/>
    <w:rsid w:val="4F162F8F"/>
    <w:rsid w:val="4FDA5594"/>
    <w:rsid w:val="50126B47"/>
    <w:rsid w:val="501A2F43"/>
    <w:rsid w:val="50712076"/>
    <w:rsid w:val="50A46739"/>
    <w:rsid w:val="50DE3097"/>
    <w:rsid w:val="51514940"/>
    <w:rsid w:val="51D3373F"/>
    <w:rsid w:val="52532D98"/>
    <w:rsid w:val="52AF5A26"/>
    <w:rsid w:val="52B65FBF"/>
    <w:rsid w:val="530F2AA4"/>
    <w:rsid w:val="54125029"/>
    <w:rsid w:val="54411159"/>
    <w:rsid w:val="55980194"/>
    <w:rsid w:val="559E368B"/>
    <w:rsid w:val="56600DAA"/>
    <w:rsid w:val="56C64F21"/>
    <w:rsid w:val="56DB7764"/>
    <w:rsid w:val="56E20175"/>
    <w:rsid w:val="57405F9D"/>
    <w:rsid w:val="57945B81"/>
    <w:rsid w:val="57AD03DC"/>
    <w:rsid w:val="587753D7"/>
    <w:rsid w:val="58B05B42"/>
    <w:rsid w:val="58DD7CCA"/>
    <w:rsid w:val="58F00CE5"/>
    <w:rsid w:val="58FA5A38"/>
    <w:rsid w:val="590760D5"/>
    <w:rsid w:val="594327A5"/>
    <w:rsid w:val="595C149F"/>
    <w:rsid w:val="595E430C"/>
    <w:rsid w:val="59772FCB"/>
    <w:rsid w:val="5B214E12"/>
    <w:rsid w:val="5BA4375D"/>
    <w:rsid w:val="5C217C66"/>
    <w:rsid w:val="5C85277F"/>
    <w:rsid w:val="5CED5D1A"/>
    <w:rsid w:val="5D015BB7"/>
    <w:rsid w:val="5D414205"/>
    <w:rsid w:val="5D5A20A0"/>
    <w:rsid w:val="5D6972B8"/>
    <w:rsid w:val="5DA35DEF"/>
    <w:rsid w:val="5DCE5755"/>
    <w:rsid w:val="5DED2C36"/>
    <w:rsid w:val="5E52364B"/>
    <w:rsid w:val="5E6962DA"/>
    <w:rsid w:val="5E6E5EEB"/>
    <w:rsid w:val="5EA22A81"/>
    <w:rsid w:val="5F4C2735"/>
    <w:rsid w:val="5F6366B5"/>
    <w:rsid w:val="60B57848"/>
    <w:rsid w:val="60BB345F"/>
    <w:rsid w:val="61A409C1"/>
    <w:rsid w:val="61C164A8"/>
    <w:rsid w:val="61E91241"/>
    <w:rsid w:val="620752CE"/>
    <w:rsid w:val="622D4955"/>
    <w:rsid w:val="6249062A"/>
    <w:rsid w:val="62D90A3C"/>
    <w:rsid w:val="62FD5363"/>
    <w:rsid w:val="63790013"/>
    <w:rsid w:val="63A252D2"/>
    <w:rsid w:val="63D841CD"/>
    <w:rsid w:val="63EC1521"/>
    <w:rsid w:val="640D4784"/>
    <w:rsid w:val="650B4D22"/>
    <w:rsid w:val="65742F3E"/>
    <w:rsid w:val="65D02ABE"/>
    <w:rsid w:val="66314F92"/>
    <w:rsid w:val="665A2878"/>
    <w:rsid w:val="668A127E"/>
    <w:rsid w:val="668E0FAC"/>
    <w:rsid w:val="66A06D96"/>
    <w:rsid w:val="66AF612B"/>
    <w:rsid w:val="66C82972"/>
    <w:rsid w:val="66D47E98"/>
    <w:rsid w:val="66E74270"/>
    <w:rsid w:val="6723175B"/>
    <w:rsid w:val="6772165B"/>
    <w:rsid w:val="67C25F42"/>
    <w:rsid w:val="687234C5"/>
    <w:rsid w:val="688A6716"/>
    <w:rsid w:val="689A6AB9"/>
    <w:rsid w:val="69256789"/>
    <w:rsid w:val="69714CE1"/>
    <w:rsid w:val="69C064B2"/>
    <w:rsid w:val="69E435DD"/>
    <w:rsid w:val="69EE246A"/>
    <w:rsid w:val="6A230EEB"/>
    <w:rsid w:val="6A2A1B79"/>
    <w:rsid w:val="6AAE7699"/>
    <w:rsid w:val="6B8F22D3"/>
    <w:rsid w:val="6CEC129F"/>
    <w:rsid w:val="6CEC4DC1"/>
    <w:rsid w:val="6D024E0B"/>
    <w:rsid w:val="6DA106DD"/>
    <w:rsid w:val="6E1B516C"/>
    <w:rsid w:val="6E1C57C3"/>
    <w:rsid w:val="6E9E2DA7"/>
    <w:rsid w:val="6EC8627A"/>
    <w:rsid w:val="6EE61F1E"/>
    <w:rsid w:val="705010E2"/>
    <w:rsid w:val="70B65447"/>
    <w:rsid w:val="70F424F6"/>
    <w:rsid w:val="71BF0D70"/>
    <w:rsid w:val="71E5315F"/>
    <w:rsid w:val="72186EA3"/>
    <w:rsid w:val="723D3A22"/>
    <w:rsid w:val="726F1D07"/>
    <w:rsid w:val="72AF4A85"/>
    <w:rsid w:val="73814F28"/>
    <w:rsid w:val="73C277D8"/>
    <w:rsid w:val="749572DE"/>
    <w:rsid w:val="74E85709"/>
    <w:rsid w:val="74EB416B"/>
    <w:rsid w:val="74EE274E"/>
    <w:rsid w:val="75287D2D"/>
    <w:rsid w:val="752C42C8"/>
    <w:rsid w:val="762C31CE"/>
    <w:rsid w:val="76932CC2"/>
    <w:rsid w:val="76FD0318"/>
    <w:rsid w:val="7713658B"/>
    <w:rsid w:val="773D4C26"/>
    <w:rsid w:val="77566CC7"/>
    <w:rsid w:val="780C2FB1"/>
    <w:rsid w:val="78280044"/>
    <w:rsid w:val="797A2078"/>
    <w:rsid w:val="798071F3"/>
    <w:rsid w:val="79F914C3"/>
    <w:rsid w:val="7A141449"/>
    <w:rsid w:val="7AC506D3"/>
    <w:rsid w:val="7C9D7072"/>
    <w:rsid w:val="7CEC4AEA"/>
    <w:rsid w:val="7D0D0D18"/>
    <w:rsid w:val="7D2B143A"/>
    <w:rsid w:val="7D2E259D"/>
    <w:rsid w:val="7DAA5057"/>
    <w:rsid w:val="7DAF27D3"/>
    <w:rsid w:val="7DEB3451"/>
    <w:rsid w:val="7DF34C50"/>
    <w:rsid w:val="7E7C7C68"/>
    <w:rsid w:val="7E7E6CDE"/>
    <w:rsid w:val="7EBE4D7B"/>
    <w:rsid w:val="7F127358"/>
    <w:rsid w:val="7F487437"/>
    <w:rsid w:val="7FAA43DE"/>
    <w:rsid w:val="7FC437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spacing w:before="100" w:beforeAutospacing="1" w:after="100" w:afterAutospacing="1"/>
      <w:jc w:val="left"/>
      <w:outlineLvl w:val="3"/>
    </w:pPr>
    <w:rPr>
      <w:rFonts w:ascii="宋体" w:hAnsi="宋体"/>
      <w:b/>
      <w:kern w:val="0"/>
      <w:sz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Salutation"/>
    <w:basedOn w:val="1"/>
    <w:next w:val="1"/>
    <w:link w:val="18"/>
    <w:qFormat/>
    <w:uiPriority w:val="0"/>
    <w:rPr>
      <w:rFonts w:ascii="Calibri" w:hAnsi="Calibri" w:eastAsia="宋体" w:cs="Times New Roman"/>
      <w:b/>
      <w:bCs/>
      <w:sz w:val="36"/>
      <w:szCs w:val="36"/>
    </w:rPr>
  </w:style>
  <w:style w:type="paragraph" w:styleId="4">
    <w:name w:val="Body Text Indent"/>
    <w:basedOn w:val="1"/>
    <w:qFormat/>
    <w:uiPriority w:val="0"/>
    <w:pPr>
      <w:spacing w:after="120"/>
      <w:ind w:left="420" w:leftChars="200"/>
    </w:pPr>
  </w:style>
  <w:style w:type="paragraph" w:styleId="5">
    <w:name w:val="Plain Text"/>
    <w:basedOn w:val="1"/>
    <w:qFormat/>
    <w:uiPriority w:val="0"/>
    <w:pPr>
      <w:widowControl w:val="0"/>
      <w:spacing w:before="0" w:after="0"/>
      <w:ind w:left="0" w:right="0"/>
      <w:jc w:val="both"/>
    </w:pPr>
    <w:rPr>
      <w:rFonts w:ascii="宋体" w:hAnsi="Courier New" w:eastAsia="宋体" w:cs="Times New Roman"/>
      <w:kern w:val="2"/>
      <w:sz w:val="21"/>
      <w:szCs w:val="24"/>
      <w:lang w:val="en-US" w:eastAsia="zh-CN" w:bidi="ar-SA"/>
    </w:rPr>
  </w:style>
  <w:style w:type="paragraph" w:styleId="6">
    <w:name w:val="endnote text"/>
    <w:basedOn w:val="1"/>
    <w:semiHidden/>
    <w:qFormat/>
    <w:uiPriority w:val="0"/>
    <w:pPr>
      <w:snapToGrid w:val="0"/>
      <w:jc w:val="left"/>
    </w:pPr>
  </w:style>
  <w:style w:type="paragraph" w:styleId="7">
    <w:name w:val="footer"/>
    <w:basedOn w:val="1"/>
    <w:link w:val="17"/>
    <w:semiHidden/>
    <w:unhideWhenUsed/>
    <w:qFormat/>
    <w:uiPriority w:val="99"/>
    <w:pPr>
      <w:tabs>
        <w:tab w:val="center" w:pos="4153"/>
        <w:tab w:val="right" w:pos="8306"/>
      </w:tabs>
      <w:snapToGrid w:val="0"/>
      <w:jc w:val="left"/>
    </w:pPr>
    <w:rPr>
      <w:sz w:val="18"/>
      <w:szCs w:val="18"/>
    </w:rPr>
  </w:style>
  <w:style w:type="paragraph" w:styleId="8">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b/>
      <w:bCs/>
      <w:kern w:val="0"/>
      <w:sz w:val="20"/>
      <w:szCs w:val="20"/>
    </w:rPr>
  </w:style>
  <w:style w:type="paragraph" w:styleId="10">
    <w:name w:val="Normal (Web)"/>
    <w:basedOn w:val="1"/>
    <w:qFormat/>
    <w:uiPriority w:val="0"/>
    <w:pPr>
      <w:spacing w:before="100" w:beforeAutospacing="1" w:after="100" w:afterAutospacing="1"/>
      <w:jc w:val="left"/>
    </w:pPr>
    <w:rPr>
      <w:rFonts w:ascii="Calibri" w:hAnsi="Calibri"/>
      <w:kern w:val="0"/>
      <w:sz w:val="24"/>
    </w:rPr>
  </w:style>
  <w:style w:type="paragraph" w:styleId="11">
    <w:name w:val="Body Text First Indent 2"/>
    <w:basedOn w:val="4"/>
    <w:qFormat/>
    <w:uiPriority w:val="0"/>
    <w:pPr>
      <w:ind w:firstLine="420" w:firstLineChars="200"/>
    </w:pPr>
  </w:style>
  <w:style w:type="character" w:styleId="14">
    <w:name w:val="endnote reference"/>
    <w:basedOn w:val="13"/>
    <w:semiHidden/>
    <w:qFormat/>
    <w:uiPriority w:val="0"/>
    <w:rPr>
      <w:vertAlign w:val="superscript"/>
    </w:rPr>
  </w:style>
  <w:style w:type="character" w:styleId="15">
    <w:name w:val="page number"/>
    <w:basedOn w:val="13"/>
    <w:qFormat/>
    <w:uiPriority w:val="0"/>
  </w:style>
  <w:style w:type="character" w:customStyle="1" w:styleId="16">
    <w:name w:val="页眉 Char"/>
    <w:basedOn w:val="13"/>
    <w:link w:val="8"/>
    <w:semiHidden/>
    <w:qFormat/>
    <w:uiPriority w:val="99"/>
    <w:rPr>
      <w:sz w:val="18"/>
      <w:szCs w:val="18"/>
    </w:rPr>
  </w:style>
  <w:style w:type="character" w:customStyle="1" w:styleId="17">
    <w:name w:val="页脚 Char"/>
    <w:basedOn w:val="13"/>
    <w:link w:val="7"/>
    <w:semiHidden/>
    <w:qFormat/>
    <w:uiPriority w:val="99"/>
    <w:rPr>
      <w:sz w:val="18"/>
      <w:szCs w:val="18"/>
    </w:rPr>
  </w:style>
  <w:style w:type="character" w:customStyle="1" w:styleId="18">
    <w:name w:val="称呼 Char"/>
    <w:basedOn w:val="13"/>
    <w:link w:val="3"/>
    <w:qFormat/>
    <w:uiPriority w:val="0"/>
    <w:rPr>
      <w:rFonts w:ascii="Calibri" w:hAnsi="Calibri" w:eastAsia="宋体" w:cs="Times New Roman"/>
      <w:b/>
      <w:bCs/>
      <w:sz w:val="36"/>
      <w:szCs w:val="36"/>
    </w:rPr>
  </w:style>
  <w:style w:type="paragraph" w:customStyle="1" w:styleId="19">
    <w:name w:val="图表目录1"/>
    <w:basedOn w:val="1"/>
    <w:next w:val="1"/>
    <w:qFormat/>
    <w:uiPriority w:val="0"/>
    <w:pPr>
      <w:ind w:left="200" w:leftChars="200" w:hanging="200" w:hangingChars="200"/>
    </w:pPr>
    <w:rPr>
      <w:rFonts w:hint="eastAsia" w:ascii="Calibri" w:hAnsi="Calibri"/>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9151</Words>
  <Characters>10046</Characters>
  <Lines>72</Lines>
  <Paragraphs>20</Paragraphs>
  <TotalTime>70</TotalTime>
  <ScaleCrop>false</ScaleCrop>
  <LinksUpToDate>false</LinksUpToDate>
  <CharactersWithSpaces>10051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2023-12-19T09:53:00Z</dcterms:created>
  <dc:creator>admin</dc:creator>
  <cp:lastModifiedBy>Lenovo</cp:lastModifiedBy>
  <cp:lastPrinted>2025-12-19T07:58:00Z</cp:lastPrinted>
  <dcterms:modified xsi:type="dcterms:W3CDTF">2025-12-23T02:10:40Z</dcterms:modified>
  <cp:revision>390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58F239E7C97449FB918AD2DC175F6675_13</vt:lpwstr>
  </property>
  <property fmtid="{D5CDD505-2E9C-101B-9397-08002B2CF9AE}" pid="4" name="KSOTemplateDocerSaveRecord">
    <vt:lpwstr>eyJoZGlkIjoiNGFmNWRkYzZkOTAxYThjMGY5MWI1ZWVhZDE5MWU4Y2YiLCJ1c2VySWQiOiI2MjAxMjE0MDQifQ==</vt:lpwstr>
  </property>
</Properties>
</file>