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720" w:lineRule="exact"/>
        <w:ind w:left="0" w:leftChars="0" w:firstLine="0" w:firstLineChars="0"/>
        <w:jc w:val="both"/>
        <w:textAlignment w:val="auto"/>
        <w:rPr>
          <w:rFonts w:hint="eastAsia" w:ascii="Times New Roman" w:hAnsi="Times New Roman" w:eastAsia="方正小标宋简体" w:cs="Times New Roman"/>
          <w:b w:val="0"/>
          <w:bCs w:val="0"/>
          <w:color w:val="auto"/>
          <w:sz w:val="44"/>
          <w:szCs w:val="44"/>
          <w:shd w:val="clear" w:color="auto" w:fill="auto"/>
        </w:rPr>
      </w:pPr>
      <w:r>
        <w:rPr>
          <w:rFonts w:ascii="宋体" w:hAnsi="宋体" w:cs="宋体"/>
          <w:kern w:val="0"/>
          <w:sz w:val="24"/>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200660</wp:posOffset>
                </wp:positionV>
                <wp:extent cx="1714500" cy="720090"/>
                <wp:effectExtent l="4445" t="4445" r="14605" b="18415"/>
                <wp:wrapNone/>
                <wp:docPr id="2" name="文本框 2"/>
                <wp:cNvGraphicFramePr/>
                <a:graphic xmlns:a="http://schemas.openxmlformats.org/drawingml/2006/main">
                  <a:graphicData uri="http://schemas.microsoft.com/office/word/2010/wordprocessingShape">
                    <wps:wsp>
                      <wps:cNvSpPr txBox="1"/>
                      <wps:spPr>
                        <a:xfrm>
                          <a:off x="0" y="0"/>
                          <a:ext cx="1714500" cy="72009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spacing w:line="480" w:lineRule="atLeast"/>
                              <w:jc w:val="distribute"/>
                              <w:textAlignment w:val="auto"/>
                              <w:rPr>
                                <w:rFonts w:hint="default" w:ascii="Times New Roman" w:hAnsi="Times New Roman" w:eastAsia="方正黑体简体" w:cs="Times New Roman"/>
                                <w:spacing w:val="0"/>
                                <w:sz w:val="28"/>
                                <w:szCs w:val="28"/>
                              </w:rPr>
                            </w:pPr>
                            <w:r>
                              <w:rPr>
                                <w:rFonts w:hint="default" w:ascii="Times New Roman" w:hAnsi="Times New Roman" w:eastAsia="方正黑体简体" w:cs="Times New Roman"/>
                                <w:spacing w:val="0"/>
                                <w:sz w:val="28"/>
                                <w:szCs w:val="28"/>
                              </w:rPr>
                              <w:t>长宁县十七届人大</w:t>
                            </w:r>
                          </w:p>
                          <w:p>
                            <w:pPr>
                              <w:keepNext w:val="0"/>
                              <w:keepLines w:val="0"/>
                              <w:pageBreakBefore w:val="0"/>
                              <w:widowControl w:val="0"/>
                              <w:kinsoku/>
                              <w:wordWrap/>
                              <w:overflowPunct/>
                              <w:topLinePunct w:val="0"/>
                              <w:autoSpaceDE/>
                              <w:autoSpaceDN/>
                              <w:bidi w:val="0"/>
                              <w:adjustRightInd w:val="0"/>
                              <w:snapToGrid w:val="0"/>
                              <w:spacing w:line="480" w:lineRule="atLeast"/>
                              <w:jc w:val="distribute"/>
                              <w:textAlignment w:val="auto"/>
                              <w:rPr>
                                <w:rFonts w:hint="eastAsia"/>
                                <w:lang w:val="en-US" w:eastAsia="zh-CN"/>
                              </w:rPr>
                            </w:pPr>
                            <w:r>
                              <w:rPr>
                                <w:rFonts w:hint="eastAsia" w:eastAsia="方正黑体简体" w:cs="Times New Roman"/>
                                <w:spacing w:val="0"/>
                                <w:sz w:val="28"/>
                                <w:szCs w:val="28"/>
                                <w:lang w:val="en-US" w:eastAsia="zh-CN"/>
                              </w:rPr>
                              <w:t>六</w:t>
                            </w:r>
                            <w:r>
                              <w:rPr>
                                <w:rFonts w:hint="default" w:ascii="Times New Roman" w:hAnsi="Times New Roman" w:eastAsia="方正黑体简体" w:cs="Times New Roman"/>
                                <w:spacing w:val="0"/>
                                <w:sz w:val="28"/>
                                <w:szCs w:val="28"/>
                              </w:rPr>
                              <w:t>次会议文件（</w:t>
                            </w:r>
                            <w:r>
                              <w:rPr>
                                <w:rFonts w:hint="eastAsia" w:ascii="Times New Roman" w:hAnsi="Times New Roman" w:eastAsia="方正黑体简体" w:cs="Times New Roman"/>
                                <w:spacing w:val="0"/>
                                <w:sz w:val="28"/>
                                <w:szCs w:val="28"/>
                                <w:lang w:eastAsia="zh-CN"/>
                              </w:rPr>
                              <w:t>四</w:t>
                            </w:r>
                            <w:r>
                              <w:rPr>
                                <w:rFonts w:hint="default" w:ascii="Times New Roman" w:hAnsi="Times New Roman" w:eastAsia="方正黑体简体" w:cs="Times New Roman"/>
                                <w:spacing w:val="0"/>
                                <w:sz w:val="28"/>
                                <w:szCs w:val="28"/>
                              </w:rPr>
                              <w:t>）</w:t>
                            </w:r>
                          </w:p>
                          <w:p>
                            <w:pPr>
                              <w:spacing w:line="480" w:lineRule="exact"/>
                              <w:ind w:left="112" w:hanging="140" w:hangingChars="50"/>
                              <w:rPr>
                                <w:rFonts w:hint="eastAsia" w:ascii="仿宋_GB2312" w:hAnsi="宋体"/>
                                <w:color w:val="000000"/>
                                <w:spacing w:val="0"/>
                                <w:sz w:val="28"/>
                                <w:szCs w:val="28"/>
                                <w:lang w:eastAsia="zh-CN"/>
                              </w:rPr>
                            </w:pPr>
                          </w:p>
                          <w:p>
                            <w:pPr>
                              <w:spacing w:line="480" w:lineRule="exact"/>
                              <w:ind w:left="112" w:hanging="99" w:hangingChars="50"/>
                              <w:rPr>
                                <w:rFonts w:hint="eastAsia" w:ascii="仿宋_GB2312" w:hAnsi="宋体" w:eastAsia="仿宋_GB2312"/>
                                <w:color w:val="000000"/>
                                <w:spacing w:val="20"/>
                                <w:sz w:val="28"/>
                                <w:szCs w:val="28"/>
                                <w:lang w:val="en-US" w:eastAsia="zh-CN"/>
                              </w:rPr>
                            </w:pPr>
                            <w:r>
                              <w:rPr>
                                <w:rFonts w:hint="eastAsia" w:ascii="楷体_GB2312" w:hAnsi="楷体_GB2312" w:eastAsia="楷体_GB2312" w:cs="楷体_GB2312"/>
                                <w:sz w:val="21"/>
                                <w:szCs w:val="21"/>
                                <w:lang w:val="en-US" w:eastAsia="zh-CN"/>
                              </w:rPr>
                              <w:t>提示：报告正文加粗部分为大会口头报告内容提示：报告正文加粗部分为大会口头报告内容提示：报告正文加粗部分为大会口头报告内容</w:t>
                            </w:r>
                          </w:p>
                        </w:txbxContent>
                      </wps:txbx>
                      <wps:bodyPr upright="1"/>
                    </wps:wsp>
                  </a:graphicData>
                </a:graphic>
              </wp:anchor>
            </w:drawing>
          </mc:Choice>
          <mc:Fallback>
            <w:pict>
              <v:shape id="_x0000_s1026" o:spid="_x0000_s1026" o:spt="202" type="#_x0000_t202" style="position:absolute;left:0pt;margin-left:-0.9pt;margin-top:15.8pt;height:56.7pt;width:135pt;z-index:251660288;mso-width-relative:page;mso-height-relative:page;" fillcolor="#FFFFFF" filled="t" stroked="t" coordsize="21600,21600" o:gfxdata="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xXckU9cAAAAJAQAADwAAAAAAAAABACAAAAAiAAAAZHJzL2Rvd25yZXYueG1sUEsBAhQAFAAAAAgA&#10;h07iQNb7ukjtAQAA6AMAAA4AAAAAAAAAAQAgAAAAJgEAAGRycy9lMm9Eb2MueG1sUEsFBgAAAAAG&#10;AAYAWQEAAIUFAAAAAA==&#10;">
                <v:fill on="t" focussize="0,0"/>
                <v:stroke color="#FFFFFF" joinstyle="miter"/>
                <v:imagedata o:title=""/>
                <o:lock v:ext="edit" aspectratio="f"/>
                <v:textbox>
                  <w:txbxContent>
                    <w:p>
                      <w:pPr>
                        <w:keepNext w:val="0"/>
                        <w:keepLines w:val="0"/>
                        <w:pageBreakBefore w:val="0"/>
                        <w:widowControl w:val="0"/>
                        <w:kinsoku/>
                        <w:wordWrap/>
                        <w:overflowPunct/>
                        <w:topLinePunct w:val="0"/>
                        <w:autoSpaceDE/>
                        <w:autoSpaceDN/>
                        <w:bidi w:val="0"/>
                        <w:adjustRightInd w:val="0"/>
                        <w:snapToGrid w:val="0"/>
                        <w:spacing w:line="480" w:lineRule="atLeast"/>
                        <w:jc w:val="distribute"/>
                        <w:textAlignment w:val="auto"/>
                        <w:rPr>
                          <w:rFonts w:hint="default" w:ascii="Times New Roman" w:hAnsi="Times New Roman" w:eastAsia="方正黑体简体" w:cs="Times New Roman"/>
                          <w:spacing w:val="0"/>
                          <w:sz w:val="28"/>
                          <w:szCs w:val="28"/>
                        </w:rPr>
                      </w:pPr>
                      <w:r>
                        <w:rPr>
                          <w:rFonts w:hint="default" w:ascii="Times New Roman" w:hAnsi="Times New Roman" w:eastAsia="方正黑体简体" w:cs="Times New Roman"/>
                          <w:spacing w:val="0"/>
                          <w:sz w:val="28"/>
                          <w:szCs w:val="28"/>
                        </w:rPr>
                        <w:t>长宁县十七届人大</w:t>
                      </w:r>
                    </w:p>
                    <w:p>
                      <w:pPr>
                        <w:keepNext w:val="0"/>
                        <w:keepLines w:val="0"/>
                        <w:pageBreakBefore w:val="0"/>
                        <w:widowControl w:val="0"/>
                        <w:kinsoku/>
                        <w:wordWrap/>
                        <w:overflowPunct/>
                        <w:topLinePunct w:val="0"/>
                        <w:autoSpaceDE/>
                        <w:autoSpaceDN/>
                        <w:bidi w:val="0"/>
                        <w:adjustRightInd w:val="0"/>
                        <w:snapToGrid w:val="0"/>
                        <w:spacing w:line="480" w:lineRule="atLeast"/>
                        <w:jc w:val="distribute"/>
                        <w:textAlignment w:val="auto"/>
                        <w:rPr>
                          <w:rFonts w:hint="eastAsia"/>
                          <w:lang w:val="en-US" w:eastAsia="zh-CN"/>
                        </w:rPr>
                      </w:pPr>
                      <w:r>
                        <w:rPr>
                          <w:rFonts w:hint="eastAsia" w:eastAsia="方正黑体简体" w:cs="Times New Roman"/>
                          <w:spacing w:val="0"/>
                          <w:sz w:val="28"/>
                          <w:szCs w:val="28"/>
                          <w:lang w:val="en-US" w:eastAsia="zh-CN"/>
                        </w:rPr>
                        <w:t>六</w:t>
                      </w:r>
                      <w:r>
                        <w:rPr>
                          <w:rFonts w:hint="default" w:ascii="Times New Roman" w:hAnsi="Times New Roman" w:eastAsia="方正黑体简体" w:cs="Times New Roman"/>
                          <w:spacing w:val="0"/>
                          <w:sz w:val="28"/>
                          <w:szCs w:val="28"/>
                        </w:rPr>
                        <w:t>次会议文件（</w:t>
                      </w:r>
                      <w:r>
                        <w:rPr>
                          <w:rFonts w:hint="eastAsia" w:ascii="Times New Roman" w:hAnsi="Times New Roman" w:eastAsia="方正黑体简体" w:cs="Times New Roman"/>
                          <w:spacing w:val="0"/>
                          <w:sz w:val="28"/>
                          <w:szCs w:val="28"/>
                          <w:lang w:eastAsia="zh-CN"/>
                        </w:rPr>
                        <w:t>四</w:t>
                      </w:r>
                      <w:r>
                        <w:rPr>
                          <w:rFonts w:hint="default" w:ascii="Times New Roman" w:hAnsi="Times New Roman" w:eastAsia="方正黑体简体" w:cs="Times New Roman"/>
                          <w:spacing w:val="0"/>
                          <w:sz w:val="28"/>
                          <w:szCs w:val="28"/>
                        </w:rPr>
                        <w:t>）</w:t>
                      </w:r>
                    </w:p>
                    <w:p>
                      <w:pPr>
                        <w:spacing w:line="480" w:lineRule="exact"/>
                        <w:ind w:left="112" w:hanging="140" w:hangingChars="50"/>
                        <w:rPr>
                          <w:rFonts w:hint="eastAsia" w:ascii="仿宋_GB2312" w:hAnsi="宋体"/>
                          <w:color w:val="000000"/>
                          <w:spacing w:val="0"/>
                          <w:sz w:val="28"/>
                          <w:szCs w:val="28"/>
                          <w:lang w:eastAsia="zh-CN"/>
                        </w:rPr>
                      </w:pPr>
                    </w:p>
                    <w:p>
                      <w:pPr>
                        <w:spacing w:line="480" w:lineRule="exact"/>
                        <w:ind w:left="112" w:hanging="99" w:hangingChars="50"/>
                        <w:rPr>
                          <w:rFonts w:hint="eastAsia" w:ascii="仿宋_GB2312" w:hAnsi="宋体" w:eastAsia="仿宋_GB2312"/>
                          <w:color w:val="000000"/>
                          <w:spacing w:val="20"/>
                          <w:sz w:val="28"/>
                          <w:szCs w:val="28"/>
                          <w:lang w:val="en-US" w:eastAsia="zh-CN"/>
                        </w:rPr>
                      </w:pPr>
                      <w:r>
                        <w:rPr>
                          <w:rFonts w:hint="eastAsia" w:ascii="楷体_GB2312" w:hAnsi="楷体_GB2312" w:eastAsia="楷体_GB2312" w:cs="楷体_GB2312"/>
                          <w:sz w:val="21"/>
                          <w:szCs w:val="21"/>
                          <w:lang w:val="en-US" w:eastAsia="zh-CN"/>
                        </w:rPr>
                        <w:t>提示：报告正文加粗部分为大会口头报告内容提示：报告正文加粗部分为大会口头报告内容提示：报告正文加粗部分为大会口头报告内容</w:t>
                      </w:r>
                    </w:p>
                  </w:txbxContent>
                </v:textbox>
              </v:shape>
            </w:pict>
          </mc:Fallback>
        </mc:AlternateContent>
      </w:r>
    </w:p>
    <w:p>
      <w:pPr>
        <w:keepNext w:val="0"/>
        <w:keepLines w:val="0"/>
        <w:pageBreakBefore w:val="0"/>
        <w:widowControl w:val="0"/>
        <w:kinsoku/>
        <w:wordWrap/>
        <w:overflowPunct/>
        <w:topLinePunct w:val="0"/>
        <w:autoSpaceDE/>
        <w:autoSpaceDN/>
        <w:bidi w:val="0"/>
        <w:adjustRightInd w:val="0"/>
        <w:snapToGrid w:val="0"/>
        <w:spacing w:line="720" w:lineRule="exact"/>
        <w:ind w:left="0" w:leftChars="0" w:firstLine="0" w:firstLineChars="0"/>
        <w:jc w:val="center"/>
        <w:textAlignment w:val="auto"/>
        <w:rPr>
          <w:rFonts w:hint="eastAsia" w:ascii="Times New Roman" w:hAnsi="Times New Roman" w:eastAsia="方正小标宋简体" w:cs="Times New Roman"/>
          <w:b w:val="0"/>
          <w:bCs w:val="0"/>
          <w:color w:val="auto"/>
          <w:sz w:val="44"/>
          <w:szCs w:val="44"/>
          <w:shd w:val="clear" w:color="auto" w:fill="auto"/>
        </w:rPr>
      </w:pPr>
    </w:p>
    <w:p>
      <w:pPr>
        <w:keepNext w:val="0"/>
        <w:keepLines w:val="0"/>
        <w:pageBreakBefore w:val="0"/>
        <w:widowControl w:val="0"/>
        <w:kinsoku/>
        <w:wordWrap/>
        <w:overflowPunct/>
        <w:topLinePunct w:val="0"/>
        <w:autoSpaceDE/>
        <w:autoSpaceDN/>
        <w:bidi w:val="0"/>
        <w:adjustRightInd w:val="0"/>
        <w:snapToGrid w:val="0"/>
        <w:spacing w:line="720" w:lineRule="exact"/>
        <w:ind w:left="0" w:leftChars="0" w:firstLine="0" w:firstLineChars="0"/>
        <w:jc w:val="both"/>
        <w:textAlignment w:val="auto"/>
        <w:rPr>
          <w:rFonts w:hint="eastAsia" w:ascii="Times New Roman" w:hAnsi="Times New Roman" w:eastAsia="方正小标宋简体" w:cs="Times New Roman"/>
          <w:b w:val="0"/>
          <w:bCs w:val="0"/>
          <w:color w:val="auto"/>
          <w:sz w:val="44"/>
          <w:szCs w:val="44"/>
          <w:shd w:val="clear" w:color="auto" w:fill="auto"/>
        </w:rPr>
      </w:pPr>
    </w:p>
    <w:p>
      <w:pPr>
        <w:keepNext w:val="0"/>
        <w:keepLines w:val="0"/>
        <w:pageBreakBefore w:val="0"/>
        <w:widowControl w:val="0"/>
        <w:kinsoku/>
        <w:wordWrap/>
        <w:overflowPunct/>
        <w:topLinePunct w:val="0"/>
        <w:autoSpaceDE/>
        <w:autoSpaceDN/>
        <w:bidi w:val="0"/>
        <w:adjustRightInd w:val="0"/>
        <w:snapToGrid w:val="0"/>
        <w:spacing w:line="720" w:lineRule="exact"/>
        <w:ind w:left="0" w:leftChars="0" w:firstLine="0" w:firstLineChars="0"/>
        <w:jc w:val="center"/>
        <w:textAlignment w:val="auto"/>
        <w:rPr>
          <w:rFonts w:hint="eastAsia" w:ascii="Times New Roman" w:hAnsi="Times New Roman" w:eastAsia="方正小标宋简体" w:cs="Times New Roman"/>
          <w:b w:val="0"/>
          <w:bCs w:val="0"/>
          <w:color w:val="auto"/>
          <w:sz w:val="44"/>
          <w:szCs w:val="44"/>
          <w:shd w:val="clear" w:color="auto" w:fill="auto"/>
        </w:rPr>
      </w:pPr>
    </w:p>
    <w:p>
      <w:pPr>
        <w:keepNext w:val="0"/>
        <w:keepLines w:val="0"/>
        <w:pageBreakBefore w:val="0"/>
        <w:widowControl w:val="0"/>
        <w:kinsoku/>
        <w:wordWrap/>
        <w:overflowPunct/>
        <w:topLinePunct w:val="0"/>
        <w:autoSpaceDE/>
        <w:autoSpaceDN/>
        <w:bidi w:val="0"/>
        <w:adjustRightInd w:val="0"/>
        <w:snapToGrid w:val="0"/>
        <w:spacing w:line="720" w:lineRule="exact"/>
        <w:ind w:left="0" w:leftChars="0" w:firstLine="0" w:firstLineChars="0"/>
        <w:jc w:val="center"/>
        <w:textAlignment w:val="auto"/>
        <w:rPr>
          <w:rFonts w:hint="eastAsia" w:ascii="方正小标宋简体" w:hAnsi="方正小标宋简体" w:eastAsia="方正小标宋简体" w:cs="方正小标宋简体"/>
          <w:b w:val="0"/>
          <w:bCs w:val="0"/>
          <w:color w:val="auto"/>
          <w:sz w:val="44"/>
          <w:szCs w:val="44"/>
          <w:shd w:val="clear" w:color="auto" w:fill="auto"/>
        </w:rPr>
      </w:pPr>
      <w:r>
        <w:rPr>
          <w:rFonts w:hint="eastAsia" w:ascii="方正小标宋简体" w:hAnsi="方正小标宋简体" w:eastAsia="方正小标宋简体" w:cs="方正小标宋简体"/>
          <w:b w:val="0"/>
          <w:bCs w:val="0"/>
          <w:color w:val="auto"/>
          <w:sz w:val="44"/>
          <w:szCs w:val="44"/>
          <w:shd w:val="clear" w:color="auto" w:fill="auto"/>
          <w:lang w:eastAsia="zh-CN"/>
        </w:rPr>
        <w:t>关于</w:t>
      </w:r>
      <w:r>
        <w:rPr>
          <w:rFonts w:hint="eastAsia" w:ascii="方正小标宋简体" w:hAnsi="方正小标宋简体" w:eastAsia="方正小标宋简体" w:cs="方正小标宋简体"/>
          <w:b w:val="0"/>
          <w:bCs w:val="0"/>
          <w:color w:val="auto"/>
          <w:sz w:val="44"/>
          <w:szCs w:val="44"/>
          <w:shd w:val="clear" w:color="auto" w:fill="auto"/>
        </w:rPr>
        <w:t>长宁县20</w:t>
      </w:r>
      <w:r>
        <w:rPr>
          <w:rFonts w:hint="eastAsia" w:ascii="方正小标宋简体" w:hAnsi="方正小标宋简体" w:eastAsia="方正小标宋简体" w:cs="方正小标宋简体"/>
          <w:b w:val="0"/>
          <w:bCs w:val="0"/>
          <w:color w:val="auto"/>
          <w:sz w:val="44"/>
          <w:szCs w:val="44"/>
          <w:shd w:val="clear" w:color="auto" w:fill="auto"/>
          <w:lang w:val="en-US" w:eastAsia="zh-CN"/>
        </w:rPr>
        <w:t>25</w:t>
      </w:r>
      <w:r>
        <w:rPr>
          <w:rFonts w:hint="eastAsia" w:ascii="方正小标宋简体" w:hAnsi="方正小标宋简体" w:eastAsia="方正小标宋简体" w:cs="方正小标宋简体"/>
          <w:b w:val="0"/>
          <w:bCs w:val="0"/>
          <w:color w:val="auto"/>
          <w:sz w:val="44"/>
          <w:szCs w:val="44"/>
          <w:shd w:val="clear" w:color="auto" w:fill="auto"/>
        </w:rPr>
        <w:t>年财政预算执行情况及</w:t>
      </w:r>
    </w:p>
    <w:p>
      <w:pPr>
        <w:keepNext w:val="0"/>
        <w:keepLines w:val="0"/>
        <w:pageBreakBefore w:val="0"/>
        <w:widowControl w:val="0"/>
        <w:kinsoku/>
        <w:wordWrap/>
        <w:overflowPunct/>
        <w:topLinePunct w:val="0"/>
        <w:autoSpaceDE/>
        <w:autoSpaceDN/>
        <w:bidi w:val="0"/>
        <w:adjustRightInd w:val="0"/>
        <w:snapToGrid w:val="0"/>
        <w:spacing w:line="720" w:lineRule="exact"/>
        <w:ind w:left="0" w:leftChars="0" w:firstLine="0" w:firstLineChars="0"/>
        <w:jc w:val="center"/>
        <w:textAlignment w:val="auto"/>
        <w:rPr>
          <w:rFonts w:hint="eastAsia" w:ascii="方正小标宋简体" w:hAnsi="方正小标宋简体" w:eastAsia="方正小标宋简体" w:cs="方正小标宋简体"/>
          <w:b w:val="0"/>
          <w:bCs w:val="0"/>
          <w:color w:val="auto"/>
          <w:sz w:val="44"/>
          <w:szCs w:val="44"/>
          <w:shd w:val="clear" w:color="auto" w:fill="auto"/>
          <w:lang w:val="en-US" w:eastAsia="zh-CN"/>
        </w:rPr>
      </w:pPr>
      <w:r>
        <w:rPr>
          <w:rFonts w:hint="eastAsia" w:ascii="方正小标宋简体" w:hAnsi="方正小标宋简体" w:eastAsia="方正小标宋简体" w:cs="方正小标宋简体"/>
          <w:b w:val="0"/>
          <w:bCs w:val="0"/>
          <w:color w:val="auto"/>
          <w:sz w:val="44"/>
          <w:szCs w:val="44"/>
          <w:shd w:val="clear" w:color="auto" w:fill="auto"/>
        </w:rPr>
        <w:t>20</w:t>
      </w:r>
      <w:r>
        <w:rPr>
          <w:rFonts w:hint="eastAsia" w:ascii="方正小标宋简体" w:hAnsi="方正小标宋简体" w:eastAsia="方正小标宋简体" w:cs="方正小标宋简体"/>
          <w:b w:val="0"/>
          <w:bCs w:val="0"/>
          <w:color w:val="auto"/>
          <w:sz w:val="44"/>
          <w:szCs w:val="44"/>
          <w:shd w:val="clear" w:color="auto" w:fill="auto"/>
          <w:lang w:val="en-US" w:eastAsia="zh-CN"/>
        </w:rPr>
        <w:t>26</w:t>
      </w:r>
      <w:r>
        <w:rPr>
          <w:rFonts w:hint="eastAsia" w:ascii="方正小标宋简体" w:hAnsi="方正小标宋简体" w:eastAsia="方正小标宋简体" w:cs="方正小标宋简体"/>
          <w:b w:val="0"/>
          <w:bCs w:val="0"/>
          <w:color w:val="auto"/>
          <w:sz w:val="44"/>
          <w:szCs w:val="44"/>
          <w:shd w:val="clear" w:color="auto" w:fill="auto"/>
        </w:rPr>
        <w:t>年财政预算草案的报告</w:t>
      </w:r>
      <w:r>
        <w:rPr>
          <w:rFonts w:hint="eastAsia" w:ascii="方正小标宋简体" w:hAnsi="方正小标宋简体" w:eastAsia="方正小标宋简体" w:cs="方正小标宋简体"/>
          <w:b w:val="0"/>
          <w:bCs w:val="0"/>
          <w:color w:val="auto"/>
          <w:sz w:val="44"/>
          <w:szCs w:val="44"/>
          <w:shd w:val="clear" w:color="auto" w:fill="auto"/>
          <w:lang w:eastAsia="zh-CN"/>
        </w:rPr>
        <w:t>（</w:t>
      </w:r>
      <w:r>
        <w:rPr>
          <w:rFonts w:hint="eastAsia" w:ascii="方正小标宋简体" w:hAnsi="方正小标宋简体" w:eastAsia="方正小标宋简体" w:cs="方正小标宋简体"/>
          <w:b w:val="0"/>
          <w:bCs w:val="0"/>
          <w:color w:val="auto"/>
          <w:sz w:val="44"/>
          <w:szCs w:val="44"/>
          <w:shd w:val="clear" w:color="auto" w:fill="auto"/>
          <w:lang w:val="en-US" w:eastAsia="zh-CN"/>
        </w:rPr>
        <w:t>书面）</w:t>
      </w:r>
    </w:p>
    <w:p>
      <w:pPr>
        <w:keepNext w:val="0"/>
        <w:keepLines w:val="0"/>
        <w:pageBreakBefore w:val="0"/>
        <w:widowControl w:val="0"/>
        <w:kinsoku/>
        <w:wordWrap/>
        <w:overflowPunct/>
        <w:topLinePunct w:val="0"/>
        <w:autoSpaceDE/>
        <w:autoSpaceDN/>
        <w:bidi w:val="0"/>
        <w:adjustRightInd w:val="0"/>
        <w:snapToGrid w:val="0"/>
        <w:spacing w:line="720" w:lineRule="exact"/>
        <w:ind w:left="0" w:leftChars="0" w:firstLine="0" w:firstLineChars="0"/>
        <w:jc w:val="center"/>
        <w:textAlignment w:val="auto"/>
        <w:rPr>
          <w:rFonts w:hint="eastAsia" w:ascii="楷体_GB2312" w:hAnsi="楷体_GB2312" w:eastAsia="楷体_GB2312" w:cs="楷体_GB2312"/>
          <w:b w:val="0"/>
          <w:bCs w:val="0"/>
          <w:color w:val="000000"/>
          <w:spacing w:val="-14"/>
        </w:rPr>
      </w:pPr>
      <w:r>
        <w:rPr>
          <w:rFonts w:hint="eastAsia" w:ascii="楷体_GB2312" w:hAnsi="楷体_GB2312" w:eastAsia="楷体_GB2312" w:cs="楷体_GB2312"/>
          <w:b w:val="0"/>
          <w:bCs w:val="0"/>
          <w:color w:val="000000"/>
          <w:spacing w:val="-14"/>
        </w:rPr>
        <w:t>20</w:t>
      </w:r>
      <w:r>
        <w:rPr>
          <w:rFonts w:hint="eastAsia" w:ascii="楷体_GB2312" w:hAnsi="楷体_GB2312" w:eastAsia="楷体_GB2312" w:cs="楷体_GB2312"/>
          <w:b w:val="0"/>
          <w:bCs w:val="0"/>
          <w:color w:val="000000"/>
          <w:spacing w:val="-14"/>
          <w:lang w:val="en-US" w:eastAsia="zh-CN"/>
        </w:rPr>
        <w:t>26</w:t>
      </w:r>
      <w:r>
        <w:rPr>
          <w:rFonts w:hint="eastAsia" w:ascii="楷体_GB2312" w:hAnsi="楷体_GB2312" w:eastAsia="楷体_GB2312" w:cs="楷体_GB2312"/>
          <w:b w:val="0"/>
          <w:bCs w:val="0"/>
          <w:color w:val="000000"/>
          <w:spacing w:val="-14"/>
        </w:rPr>
        <w:t>年</w:t>
      </w:r>
      <w:r>
        <w:rPr>
          <w:rFonts w:hint="eastAsia" w:ascii="楷体_GB2312" w:hAnsi="楷体_GB2312" w:eastAsia="楷体_GB2312" w:cs="楷体_GB2312"/>
          <w:b w:val="0"/>
          <w:bCs w:val="0"/>
          <w:color w:val="000000"/>
          <w:spacing w:val="-14"/>
          <w:lang w:val="en-US" w:eastAsia="zh-CN"/>
        </w:rPr>
        <w:t>1</w:t>
      </w:r>
      <w:r>
        <w:rPr>
          <w:rFonts w:hint="eastAsia" w:ascii="楷体_GB2312" w:hAnsi="楷体_GB2312" w:eastAsia="楷体_GB2312" w:cs="楷体_GB2312"/>
          <w:b w:val="0"/>
          <w:bCs w:val="0"/>
          <w:color w:val="000000"/>
          <w:spacing w:val="-14"/>
        </w:rPr>
        <w:t>月</w:t>
      </w:r>
      <w:r>
        <w:rPr>
          <w:rFonts w:hint="eastAsia" w:ascii="楷体_GB2312" w:hAnsi="楷体_GB2312" w:eastAsia="楷体_GB2312" w:cs="楷体_GB2312"/>
          <w:b w:val="0"/>
          <w:bCs w:val="0"/>
          <w:color w:val="000000"/>
          <w:spacing w:val="-14"/>
          <w:lang w:val="en-US" w:eastAsia="zh-CN"/>
        </w:rPr>
        <w:t>26</w:t>
      </w:r>
      <w:r>
        <w:rPr>
          <w:rFonts w:hint="eastAsia" w:ascii="楷体_GB2312" w:hAnsi="楷体_GB2312" w:eastAsia="楷体_GB2312" w:cs="楷体_GB2312"/>
          <w:b w:val="0"/>
          <w:bCs w:val="0"/>
          <w:color w:val="000000"/>
          <w:spacing w:val="-14"/>
        </w:rPr>
        <w:t>日</w:t>
      </w:r>
    </w:p>
    <w:p>
      <w:pPr>
        <w:pStyle w:val="2"/>
        <w:ind w:firstLine="3504" w:firstLineChars="1200"/>
        <w:jc w:val="both"/>
        <w:rPr>
          <w:rFonts w:hint="eastAsia" w:eastAsia="楷体_GB2312"/>
          <w:lang w:val="en-US" w:eastAsia="zh-CN"/>
        </w:rPr>
      </w:pPr>
      <w:r>
        <w:rPr>
          <w:rFonts w:hint="eastAsia" w:ascii="楷体_GB2312" w:hAnsi="楷体_GB2312" w:eastAsia="楷体_GB2312" w:cs="楷体_GB2312"/>
          <w:b w:val="0"/>
          <w:bCs w:val="0"/>
          <w:color w:val="000000"/>
          <w:spacing w:val="-14"/>
          <w:lang w:eastAsia="zh-CN"/>
        </w:rPr>
        <w:t>长宁县财政局</w:t>
      </w:r>
    </w:p>
    <w:p>
      <w:pPr>
        <w:pStyle w:val="20"/>
        <w:widowControl/>
        <w:ind w:firstLine="0" w:firstLineChars="0"/>
        <w:rPr>
          <w:rFonts w:hint="eastAsia" w:eastAsia="仿宋_GB2312"/>
          <w:b w:val="0"/>
          <w:color w:val="auto"/>
          <w:lang w:eastAsia="zh-CN"/>
        </w:rPr>
      </w:pPr>
    </w:p>
    <w:p>
      <w:pPr>
        <w:pStyle w:val="20"/>
        <w:pageBreakBefore w:val="0"/>
        <w:widowControl/>
        <w:kinsoku/>
        <w:wordWrap/>
        <w:overflowPunct w:val="0"/>
        <w:topLinePunct w:val="0"/>
        <w:autoSpaceDE/>
        <w:autoSpaceDN/>
        <w:bidi w:val="0"/>
        <w:spacing w:line="560" w:lineRule="exact"/>
        <w:ind w:firstLine="0" w:firstLineChars="0"/>
        <w:textAlignment w:val="auto"/>
        <w:rPr>
          <w:b w:val="0"/>
          <w:color w:val="auto"/>
          <w:spacing w:val="0"/>
        </w:rPr>
      </w:pPr>
      <w:r>
        <w:rPr>
          <w:b w:val="0"/>
          <w:color w:val="auto"/>
          <w:spacing w:val="0"/>
        </w:rPr>
        <w:t>各位代表：</w:t>
      </w:r>
    </w:p>
    <w:p>
      <w:pPr>
        <w:pStyle w:val="2"/>
        <w:pageBreakBefore w:val="0"/>
        <w:widowControl/>
        <w:kinsoku/>
        <w:wordWrap/>
        <w:overflowPunct w:val="0"/>
        <w:topLinePunct w:val="0"/>
        <w:autoSpaceDE/>
        <w:autoSpaceDN/>
        <w:bidi w:val="0"/>
        <w:spacing w:line="560" w:lineRule="exact"/>
        <w:textAlignment w:val="auto"/>
        <w:rPr>
          <w:b w:val="0"/>
          <w:color w:val="auto"/>
          <w:spacing w:val="0"/>
        </w:rPr>
      </w:pPr>
      <w:r>
        <w:rPr>
          <w:b w:val="0"/>
          <w:color w:val="auto"/>
          <w:spacing w:val="0"/>
          <w:highlight w:val="none"/>
        </w:rPr>
        <w:t>受县政府委托，现将长宁县</w:t>
      </w:r>
      <w:r>
        <w:rPr>
          <w:rFonts w:hint="eastAsia" w:ascii="仿宋_GB2312" w:hAnsi="仿宋_GB2312" w:eastAsia="仿宋_GB2312" w:cs="仿宋_GB2312"/>
          <w:b w:val="0"/>
          <w:color w:val="auto"/>
          <w:spacing w:val="0"/>
          <w:highlight w:val="none"/>
        </w:rPr>
        <w:t>2025</w:t>
      </w:r>
      <w:r>
        <w:rPr>
          <w:b w:val="0"/>
          <w:color w:val="auto"/>
          <w:spacing w:val="0"/>
          <w:highlight w:val="none"/>
        </w:rPr>
        <w:t>年预算执行情况和</w:t>
      </w:r>
      <w:r>
        <w:rPr>
          <w:rFonts w:hint="eastAsia" w:ascii="仿宋_GB2312" w:hAnsi="仿宋_GB2312" w:eastAsia="仿宋_GB2312" w:cs="仿宋_GB2312"/>
          <w:b w:val="0"/>
          <w:color w:val="auto"/>
          <w:spacing w:val="0"/>
          <w:highlight w:val="none"/>
        </w:rPr>
        <w:t>2026</w:t>
      </w:r>
      <w:r>
        <w:rPr>
          <w:b w:val="0"/>
          <w:color w:val="auto"/>
          <w:spacing w:val="0"/>
          <w:highlight w:val="none"/>
        </w:rPr>
        <w:t>年预算草案提请大会审查，并请各位委员提出意见</w:t>
      </w:r>
      <w:r>
        <w:rPr>
          <w:b w:val="0"/>
          <w:color w:val="auto"/>
          <w:spacing w:val="0"/>
        </w:rPr>
        <w:t>。</w:t>
      </w:r>
    </w:p>
    <w:p>
      <w:pPr>
        <w:pStyle w:val="3"/>
        <w:pageBreakBefore w:val="0"/>
        <w:widowControl/>
        <w:numPr>
          <w:ilvl w:val="0"/>
          <w:numId w:val="1"/>
        </w:numPr>
        <w:kinsoku/>
        <w:wordWrap/>
        <w:overflowPunct w:val="0"/>
        <w:topLinePunct w:val="0"/>
        <w:autoSpaceDE/>
        <w:autoSpaceDN/>
        <w:bidi w:val="0"/>
        <w:spacing w:beforeLines="0" w:afterLines="0" w:line="560" w:lineRule="exact"/>
        <w:ind w:left="0" w:leftChars="0" w:firstLine="640" w:firstLineChars="0"/>
        <w:textAlignment w:val="auto"/>
        <w:rPr>
          <w:rFonts w:hint="eastAsia" w:ascii="黑体" w:hAnsi="黑体" w:eastAsia="黑体" w:cs="黑体"/>
          <w:b w:val="0"/>
          <w:spacing w:val="0"/>
        </w:rPr>
      </w:pPr>
      <w:r>
        <w:rPr>
          <w:rFonts w:hint="eastAsia" w:ascii="黑体" w:hAnsi="黑体" w:eastAsia="黑体" w:cs="黑体"/>
          <w:spacing w:val="0"/>
        </w:rPr>
        <w:t>2025年财政预算执行情况</w:t>
      </w:r>
    </w:p>
    <w:p>
      <w:pPr>
        <w:pStyle w:val="2"/>
        <w:pageBreakBefore w:val="0"/>
        <w:widowControl/>
        <w:kinsoku/>
        <w:wordWrap/>
        <w:overflowPunct w:val="0"/>
        <w:topLinePunct w:val="0"/>
        <w:autoSpaceDE/>
        <w:autoSpaceDN/>
        <w:bidi w:val="0"/>
        <w:spacing w:line="560" w:lineRule="exact"/>
        <w:textAlignment w:val="auto"/>
        <w:rPr>
          <w:b w:val="0"/>
          <w:color w:val="auto"/>
          <w:spacing w:val="0"/>
          <w:highlight w:val="none"/>
        </w:rPr>
      </w:pPr>
      <w:r>
        <w:rPr>
          <w:rFonts w:hint="eastAsia" w:ascii="仿宋_GB2312" w:hAnsi="仿宋_GB2312" w:eastAsia="仿宋_GB2312" w:cs="仿宋_GB2312"/>
          <w:b w:val="0"/>
          <w:color w:val="auto"/>
          <w:spacing w:val="0"/>
          <w:highlight w:val="none"/>
        </w:rPr>
        <w:t>2025</w:t>
      </w:r>
      <w:r>
        <w:rPr>
          <w:b w:val="0"/>
          <w:color w:val="auto"/>
          <w:spacing w:val="0"/>
          <w:highlight w:val="none"/>
        </w:rPr>
        <w:t>年是实现“十四五”规划目标的收官之年，也是承前启后、推动高质量发展的关键一年。县财政局始终坚持以习近平新时代中国特色社会主义思想为指导，全面贯彻</w:t>
      </w:r>
      <w:r>
        <w:rPr>
          <w:rFonts w:hint="eastAsia"/>
          <w:b w:val="0"/>
          <w:color w:val="auto"/>
          <w:spacing w:val="0"/>
          <w:highlight w:val="none"/>
        </w:rPr>
        <w:t>党的二十大和二十届历次全会</w:t>
      </w:r>
      <w:r>
        <w:rPr>
          <w:b w:val="0"/>
          <w:color w:val="auto"/>
          <w:spacing w:val="0"/>
          <w:highlight w:val="none"/>
        </w:rPr>
        <w:t>精神，深入落实习</w:t>
      </w:r>
      <w:bookmarkStart w:id="0" w:name="_GoBack"/>
      <w:bookmarkEnd w:id="0"/>
      <w:r>
        <w:rPr>
          <w:b w:val="0"/>
          <w:color w:val="auto"/>
          <w:spacing w:val="0"/>
          <w:highlight w:val="none"/>
        </w:rPr>
        <w:t>近平总书记来川来宜视察重要指示精神，在县委的坚强领导下，在县人大和县政协的监督支持下，坚持“稳中求进、以进促稳、先立后破”工作总基调，完整、准确、全面贯彻新发展理念，更加精准有效地统筹配置财政资源，持续深化预算管理改革，大力优化财政支出结构，财政服务保障经济社会发展的精准性和有效性得到持续增强。</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0" w:firstLine="739" w:firstLineChars="231"/>
        <w:jc w:val="both"/>
        <w:textAlignment w:val="auto"/>
        <w:rPr>
          <w:rFonts w:hint="default" w:ascii="Times New Roman" w:hAnsi="Times New Roman" w:eastAsia="楷体_GB2312" w:cs="Times New Roman"/>
          <w:b w:val="0"/>
          <w:bCs w:val="0"/>
          <w:color w:val="000000" w:themeColor="text1"/>
          <w:spacing w:val="0"/>
          <w:kern w:val="2"/>
          <w:sz w:val="32"/>
          <w:szCs w:val="32"/>
          <w:highlight w:val="none"/>
          <w:lang w:val="en-US" w:eastAsia="zh-CN" w:bidi="ar-SA"/>
          <w14:textFill>
            <w14:solidFill>
              <w14:schemeClr w14:val="tx1"/>
            </w14:solidFill>
          </w14:textFill>
        </w:rPr>
      </w:pPr>
      <w:r>
        <w:rPr>
          <w:rFonts w:hint="default" w:ascii="Times New Roman" w:hAnsi="Times New Roman" w:eastAsia="楷体_GB2312" w:cs="Times New Roman"/>
          <w:b w:val="0"/>
          <w:bCs w:val="0"/>
          <w:color w:val="000000" w:themeColor="text1"/>
          <w:spacing w:val="0"/>
          <w:kern w:val="2"/>
          <w:sz w:val="32"/>
          <w:szCs w:val="32"/>
          <w:highlight w:val="none"/>
          <w:lang w:val="en-US" w:eastAsia="zh-CN" w:bidi="ar-SA"/>
          <w14:textFill>
            <w14:solidFill>
              <w14:schemeClr w14:val="tx1"/>
            </w14:solidFill>
          </w14:textFill>
        </w:rPr>
        <w:t>（一）一般公共预算</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0" w:firstLine="739" w:firstLineChars="231"/>
        <w:jc w:val="both"/>
        <w:textAlignment w:val="auto"/>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全县一般公共预算收入7373</w:t>
      </w:r>
      <w:r>
        <w:rPr>
          <w:rFonts w:hint="eastAsia" w:cs="仿宋_GB2312"/>
          <w:b w:val="0"/>
          <w:bCs w:val="0"/>
          <w:color w:val="000000" w:themeColor="text1"/>
          <w:spacing w:val="0"/>
          <w:kern w:val="2"/>
          <w:sz w:val="32"/>
          <w:szCs w:val="32"/>
          <w:highlight w:val="none"/>
          <w:lang w:val="en-US" w:eastAsia="zh-CN" w:bidi="ar-SA"/>
          <w14:textFill>
            <w14:solidFill>
              <w14:schemeClr w14:val="tx1"/>
            </w14:solidFill>
          </w14:textFill>
        </w:rPr>
        <w:t>3</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万元，完成调整预算（以下简称“完成预算”）的97</w:t>
      </w:r>
      <w:r>
        <w:rPr>
          <w:rFonts w:hint="eastAsia" w:cs="仿宋_GB2312"/>
          <w:b w:val="0"/>
          <w:bCs w:val="0"/>
          <w:color w:val="000000" w:themeColor="text1"/>
          <w:spacing w:val="0"/>
          <w:kern w:val="2"/>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3</w:t>
      </w:r>
      <w:r>
        <w:rPr>
          <w:rFonts w:hint="eastAsia" w:cs="仿宋_GB2312"/>
          <w:b w:val="0"/>
          <w:bCs w:val="0"/>
          <w:color w:val="000000" w:themeColor="text1"/>
          <w:spacing w:val="0"/>
          <w:kern w:val="2"/>
          <w:sz w:val="32"/>
          <w:szCs w:val="32"/>
          <w:highlight w:val="none"/>
          <w:lang w:val="en-US" w:eastAsia="zh-CN" w:bidi="ar-SA"/>
          <w14:textFill>
            <w14:solidFill>
              <w14:schemeClr w14:val="tx1"/>
            </w14:solidFill>
          </w14:textFill>
        </w:rPr>
        <w:t>9</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w:t>
      </w:r>
      <w:r>
        <w:rPr>
          <w:rFonts w:hint="eastAsia" w:cs="仿宋_GB2312"/>
          <w:b w:val="0"/>
          <w:bCs w:val="0"/>
          <w:color w:val="000000" w:themeColor="text1"/>
          <w:spacing w:val="0"/>
          <w:kern w:val="2"/>
          <w:sz w:val="32"/>
          <w:szCs w:val="32"/>
          <w:highlight w:val="none"/>
          <w:lang w:val="en-US" w:eastAsia="zh-CN" w:bidi="ar-SA"/>
          <w14:textFill>
            <w14:solidFill>
              <w14:schemeClr w14:val="tx1"/>
            </w14:solidFill>
          </w14:textFill>
        </w:rPr>
        <w:t>增长</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4</w:t>
      </w:r>
      <w:r>
        <w:rPr>
          <w:rFonts w:hint="eastAsia" w:cs="仿宋_GB2312"/>
          <w:b w:val="0"/>
          <w:bCs w:val="0"/>
          <w:color w:val="000000" w:themeColor="text1"/>
          <w:spacing w:val="0"/>
          <w:kern w:val="2"/>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21%。加上上级补助收入、上年结转收入、政府一般债务转贷收入、调入资金等296088万元，收入总量36982</w:t>
      </w:r>
      <w:r>
        <w:rPr>
          <w:rFonts w:hint="eastAsia" w:cs="仿宋_GB2312"/>
          <w:b w:val="0"/>
          <w:bCs w:val="0"/>
          <w:color w:val="000000" w:themeColor="text1"/>
          <w:spacing w:val="0"/>
          <w:kern w:val="2"/>
          <w:sz w:val="32"/>
          <w:szCs w:val="32"/>
          <w:highlight w:val="none"/>
          <w:lang w:val="en-US" w:eastAsia="zh-CN" w:bidi="ar-SA"/>
          <w14:textFill>
            <w14:solidFill>
              <w14:schemeClr w14:val="tx1"/>
            </w14:solidFill>
          </w14:textFill>
        </w:rPr>
        <w:t>1</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万元。</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主要收入执行情况：税收收入3154</w:t>
      </w:r>
      <w:r>
        <w:rPr>
          <w:rFonts w:hint="eastAsia" w:cs="仿宋_GB2312"/>
          <w:b w:val="0"/>
          <w:bCs w:val="0"/>
          <w:color w:val="auto"/>
          <w:spacing w:val="0"/>
          <w:kern w:val="2"/>
          <w:sz w:val="32"/>
          <w:szCs w:val="32"/>
          <w:highlight w:val="none"/>
          <w:lang w:val="en-US" w:eastAsia="zh-CN" w:bidi="ar-SA"/>
        </w:rPr>
        <w:t>2</w:t>
      </w:r>
      <w:r>
        <w:rPr>
          <w:rFonts w:hint="eastAsia" w:ascii="仿宋_GB2312" w:hAnsi="仿宋_GB2312" w:eastAsia="仿宋_GB2312" w:cs="仿宋_GB2312"/>
          <w:b w:val="0"/>
          <w:bCs w:val="0"/>
          <w:color w:val="auto"/>
          <w:spacing w:val="0"/>
          <w:kern w:val="2"/>
          <w:sz w:val="32"/>
          <w:szCs w:val="32"/>
          <w:highlight w:val="none"/>
          <w:lang w:val="en-US" w:eastAsia="zh-CN" w:bidi="ar-SA"/>
        </w:rPr>
        <w:t>万元，完成预算的92</w:t>
      </w:r>
      <w:r>
        <w:rPr>
          <w:rFonts w:hint="eastAsia" w:cs="仿宋_GB2312"/>
          <w:b w:val="0"/>
          <w:bCs w:val="0"/>
          <w:color w:val="auto"/>
          <w:spacing w:val="0"/>
          <w:kern w:val="2"/>
          <w:sz w:val="32"/>
          <w:szCs w:val="32"/>
          <w:highlight w:val="none"/>
          <w:lang w:val="en-US" w:eastAsia="zh-CN" w:bidi="ar-SA"/>
        </w:rPr>
        <w:t>.</w:t>
      </w:r>
      <w:r>
        <w:rPr>
          <w:rFonts w:hint="eastAsia" w:ascii="仿宋_GB2312" w:hAnsi="仿宋_GB2312" w:eastAsia="仿宋_GB2312" w:cs="仿宋_GB2312"/>
          <w:b w:val="0"/>
          <w:bCs w:val="0"/>
          <w:color w:val="auto"/>
          <w:spacing w:val="0"/>
          <w:kern w:val="2"/>
          <w:sz w:val="32"/>
          <w:szCs w:val="32"/>
          <w:highlight w:val="none"/>
          <w:lang w:val="en-US" w:eastAsia="zh-CN" w:bidi="ar-SA"/>
        </w:rPr>
        <w:t>5%，</w:t>
      </w:r>
      <w:r>
        <w:rPr>
          <w:rFonts w:hint="eastAsia" w:cs="仿宋_GB2312"/>
          <w:b w:val="0"/>
          <w:bCs w:val="0"/>
          <w:color w:val="auto"/>
          <w:spacing w:val="0"/>
          <w:kern w:val="2"/>
          <w:sz w:val="32"/>
          <w:szCs w:val="32"/>
          <w:highlight w:val="none"/>
          <w:lang w:val="en-US" w:eastAsia="zh-CN" w:bidi="ar-SA"/>
        </w:rPr>
        <w:t>增长</w:t>
      </w:r>
      <w:r>
        <w:rPr>
          <w:rFonts w:hint="eastAsia" w:ascii="仿宋_GB2312" w:hAnsi="仿宋_GB2312" w:eastAsia="仿宋_GB2312" w:cs="仿宋_GB2312"/>
          <w:b w:val="0"/>
          <w:bCs w:val="0"/>
          <w:color w:val="auto"/>
          <w:spacing w:val="0"/>
          <w:kern w:val="2"/>
          <w:sz w:val="32"/>
          <w:szCs w:val="32"/>
          <w:highlight w:val="none"/>
          <w:lang w:val="en-US" w:eastAsia="zh-CN" w:bidi="ar-SA"/>
        </w:rPr>
        <w:t>11.36%，</w:t>
      </w:r>
      <w:r>
        <w:rPr>
          <w:rFonts w:hint="eastAsia" w:cs="仿宋_GB2312"/>
          <w:b w:val="0"/>
          <w:bCs w:val="0"/>
          <w:color w:val="auto"/>
          <w:spacing w:val="0"/>
          <w:kern w:val="2"/>
          <w:sz w:val="32"/>
          <w:szCs w:val="32"/>
          <w:highlight w:val="none"/>
          <w:lang w:val="en-US" w:eastAsia="zh-CN" w:bidi="ar-SA"/>
        </w:rPr>
        <w:t>未完成预算目标的</w:t>
      </w:r>
      <w:r>
        <w:rPr>
          <w:rFonts w:hint="eastAsia" w:ascii="仿宋_GB2312" w:hAnsi="仿宋_GB2312" w:eastAsia="仿宋_GB2312" w:cs="仿宋_GB2312"/>
          <w:b w:val="0"/>
          <w:bCs w:val="0"/>
          <w:color w:val="auto"/>
          <w:spacing w:val="0"/>
          <w:kern w:val="2"/>
          <w:sz w:val="32"/>
          <w:szCs w:val="32"/>
          <w:highlight w:val="none"/>
          <w:lang w:val="en-US" w:eastAsia="zh-CN" w:bidi="ar-SA"/>
        </w:rPr>
        <w:t>主要原因是有效需求不足、社会预期偏弱，部分企业面临经营压力，</w:t>
      </w:r>
      <w:r>
        <w:rPr>
          <w:rFonts w:hint="eastAsia" w:ascii="仿宋_GB2312" w:hAnsi="仿宋_GB2312" w:cs="仿宋_GB2312"/>
          <w:b w:val="0"/>
          <w:bCs w:val="0"/>
          <w:color w:val="auto"/>
          <w:spacing w:val="0"/>
          <w:kern w:val="2"/>
          <w:sz w:val="32"/>
          <w:szCs w:val="32"/>
          <w:highlight w:val="none"/>
          <w:lang w:val="en-US" w:eastAsia="zh-CN" w:bidi="ar-SA"/>
        </w:rPr>
        <w:t>增值税</w:t>
      </w:r>
      <w:r>
        <w:rPr>
          <w:rFonts w:hint="eastAsia" w:ascii="仿宋_GB2312" w:hAnsi="仿宋_GB2312" w:eastAsia="仿宋_GB2312" w:cs="仿宋_GB2312"/>
          <w:b w:val="0"/>
          <w:bCs w:val="0"/>
          <w:color w:val="auto"/>
          <w:spacing w:val="0"/>
          <w:kern w:val="2"/>
          <w:sz w:val="32"/>
          <w:szCs w:val="32"/>
          <w:highlight w:val="none"/>
          <w:lang w:val="en-US" w:eastAsia="zh-CN" w:bidi="ar-SA"/>
        </w:rPr>
        <w:t>、</w:t>
      </w:r>
      <w:r>
        <w:rPr>
          <w:rFonts w:hint="eastAsia" w:ascii="仿宋_GB2312" w:hAnsi="仿宋_GB2312" w:cs="仿宋_GB2312"/>
          <w:b w:val="0"/>
          <w:bCs w:val="0"/>
          <w:color w:val="auto"/>
          <w:spacing w:val="0"/>
          <w:kern w:val="2"/>
          <w:sz w:val="32"/>
          <w:szCs w:val="32"/>
          <w:highlight w:val="none"/>
          <w:lang w:val="en-US" w:eastAsia="zh-CN" w:bidi="ar-SA"/>
        </w:rPr>
        <w:t>个人所得税、</w:t>
      </w:r>
      <w:r>
        <w:rPr>
          <w:rFonts w:hint="eastAsia" w:ascii="仿宋_GB2312" w:hAnsi="仿宋_GB2312" w:eastAsia="仿宋_GB2312" w:cs="仿宋_GB2312"/>
          <w:b w:val="0"/>
          <w:bCs w:val="0"/>
          <w:color w:val="auto"/>
          <w:spacing w:val="0"/>
          <w:kern w:val="2"/>
          <w:sz w:val="32"/>
          <w:szCs w:val="32"/>
          <w:highlight w:val="none"/>
          <w:lang w:val="en-US" w:eastAsia="zh-CN" w:bidi="ar-SA"/>
        </w:rPr>
        <w:t>土地增值税</w:t>
      </w:r>
      <w:r>
        <w:rPr>
          <w:rFonts w:hint="eastAsia" w:ascii="仿宋_GB2312" w:hAnsi="仿宋_GB2312" w:cs="仿宋_GB2312"/>
          <w:b w:val="0"/>
          <w:bCs w:val="0"/>
          <w:color w:val="auto"/>
          <w:spacing w:val="0"/>
          <w:kern w:val="2"/>
          <w:sz w:val="32"/>
          <w:szCs w:val="32"/>
          <w:highlight w:val="none"/>
          <w:lang w:val="en-US" w:eastAsia="zh-CN" w:bidi="ar-SA"/>
        </w:rPr>
        <w:t>、</w:t>
      </w:r>
      <w:r>
        <w:rPr>
          <w:rFonts w:hint="eastAsia" w:cs="仿宋_GB2312"/>
          <w:b w:val="0"/>
          <w:bCs w:val="0"/>
          <w:color w:val="auto"/>
          <w:spacing w:val="0"/>
          <w:kern w:val="2"/>
          <w:sz w:val="32"/>
          <w:szCs w:val="32"/>
          <w:highlight w:val="none"/>
          <w:lang w:val="en-US" w:eastAsia="zh-CN" w:bidi="ar-SA"/>
        </w:rPr>
        <w:t>耕占税</w:t>
      </w:r>
      <w:r>
        <w:rPr>
          <w:rFonts w:hint="eastAsia" w:ascii="仿宋_GB2312" w:hAnsi="仿宋_GB2312" w:eastAsia="仿宋_GB2312" w:cs="仿宋_GB2312"/>
          <w:b w:val="0"/>
          <w:bCs w:val="0"/>
          <w:color w:val="auto"/>
          <w:spacing w:val="0"/>
          <w:kern w:val="2"/>
          <w:sz w:val="32"/>
          <w:szCs w:val="32"/>
          <w:highlight w:val="none"/>
          <w:lang w:val="en-US" w:eastAsia="zh-CN" w:bidi="ar-SA"/>
        </w:rPr>
        <w:t>等税收收入</w:t>
      </w:r>
      <w:r>
        <w:rPr>
          <w:rFonts w:hint="eastAsia" w:cs="仿宋_GB2312"/>
          <w:b w:val="0"/>
          <w:bCs w:val="0"/>
          <w:color w:val="auto"/>
          <w:spacing w:val="0"/>
          <w:kern w:val="2"/>
          <w:sz w:val="32"/>
          <w:szCs w:val="32"/>
          <w:highlight w:val="none"/>
          <w:lang w:val="en-US" w:eastAsia="zh-CN" w:bidi="ar-SA"/>
        </w:rPr>
        <w:t>完成情况</w:t>
      </w:r>
      <w:r>
        <w:rPr>
          <w:rFonts w:hint="eastAsia" w:ascii="仿宋_GB2312" w:hAnsi="仿宋_GB2312" w:eastAsia="仿宋_GB2312" w:cs="仿宋_GB2312"/>
          <w:b w:val="0"/>
          <w:bCs w:val="0"/>
          <w:color w:val="auto"/>
          <w:spacing w:val="0"/>
          <w:kern w:val="2"/>
          <w:sz w:val="32"/>
          <w:szCs w:val="32"/>
          <w:highlight w:val="none"/>
          <w:lang w:val="en-US" w:eastAsia="zh-CN" w:bidi="ar-SA"/>
        </w:rPr>
        <w:t>不及预期；非税收入42191万元，完成预算的101</w:t>
      </w:r>
      <w:r>
        <w:rPr>
          <w:rFonts w:hint="eastAsia" w:cs="仿宋_GB2312"/>
          <w:b w:val="0"/>
          <w:bCs w:val="0"/>
          <w:color w:val="auto"/>
          <w:spacing w:val="0"/>
          <w:kern w:val="2"/>
          <w:sz w:val="32"/>
          <w:szCs w:val="32"/>
          <w:highlight w:val="none"/>
          <w:lang w:val="en-US" w:eastAsia="zh-CN" w:bidi="ar-SA"/>
        </w:rPr>
        <w:t>.</w:t>
      </w:r>
      <w:r>
        <w:rPr>
          <w:rFonts w:hint="eastAsia" w:ascii="仿宋_GB2312" w:hAnsi="仿宋_GB2312" w:eastAsia="仿宋_GB2312" w:cs="仿宋_GB2312"/>
          <w:b w:val="0"/>
          <w:bCs w:val="0"/>
          <w:color w:val="auto"/>
          <w:spacing w:val="0"/>
          <w:kern w:val="2"/>
          <w:sz w:val="32"/>
          <w:szCs w:val="32"/>
          <w:highlight w:val="none"/>
          <w:lang w:val="en-US" w:eastAsia="zh-CN" w:bidi="ar-SA"/>
        </w:rPr>
        <w:t>39%，下降0</w:t>
      </w:r>
      <w:r>
        <w:rPr>
          <w:rFonts w:hint="eastAsia" w:cs="仿宋_GB2312"/>
          <w:b w:val="0"/>
          <w:bCs w:val="0"/>
          <w:color w:val="auto"/>
          <w:spacing w:val="0"/>
          <w:kern w:val="2"/>
          <w:sz w:val="32"/>
          <w:szCs w:val="32"/>
          <w:highlight w:val="none"/>
          <w:lang w:val="en-US" w:eastAsia="zh-CN" w:bidi="ar-SA"/>
        </w:rPr>
        <w:t>.</w:t>
      </w:r>
      <w:r>
        <w:rPr>
          <w:rFonts w:hint="eastAsia" w:ascii="仿宋_GB2312" w:hAnsi="仿宋_GB2312" w:eastAsia="仿宋_GB2312" w:cs="仿宋_GB2312"/>
          <w:b w:val="0"/>
          <w:bCs w:val="0"/>
          <w:color w:val="auto"/>
          <w:spacing w:val="0"/>
          <w:kern w:val="2"/>
          <w:sz w:val="32"/>
          <w:szCs w:val="32"/>
          <w:highlight w:val="none"/>
          <w:lang w:val="en-US" w:eastAsia="zh-CN" w:bidi="ar-SA"/>
        </w:rPr>
        <w:t>57%，主要是受经济下行和</w:t>
      </w:r>
      <w:r>
        <w:rPr>
          <w:rFonts w:hint="eastAsia" w:ascii="仿宋_GB2312" w:hAnsi="仿宋_GB2312" w:cs="仿宋_GB2312"/>
          <w:b w:val="0"/>
          <w:bCs w:val="0"/>
          <w:color w:val="auto"/>
          <w:spacing w:val="0"/>
          <w:kern w:val="2"/>
          <w:sz w:val="32"/>
          <w:szCs w:val="32"/>
          <w:highlight w:val="none"/>
          <w:lang w:val="en-US" w:eastAsia="zh-CN" w:bidi="ar-SA"/>
        </w:rPr>
        <w:t>优化营商环境</w:t>
      </w:r>
      <w:r>
        <w:rPr>
          <w:rFonts w:hint="eastAsia" w:ascii="仿宋_GB2312" w:hAnsi="仿宋_GB2312" w:eastAsia="仿宋_GB2312" w:cs="仿宋_GB2312"/>
          <w:b w:val="0"/>
          <w:bCs w:val="0"/>
          <w:color w:val="auto"/>
          <w:spacing w:val="0"/>
          <w:kern w:val="2"/>
          <w:sz w:val="32"/>
          <w:szCs w:val="32"/>
          <w:highlight w:val="none"/>
          <w:lang w:val="en-US" w:eastAsia="zh-CN" w:bidi="ar-SA"/>
        </w:rPr>
        <w:t>等因素影响，</w:t>
      </w:r>
      <w:r>
        <w:rPr>
          <w:rFonts w:hint="eastAsia" w:ascii="仿宋_GB2312" w:hAnsi="仿宋_GB2312" w:cs="仿宋_GB2312"/>
          <w:b w:val="0"/>
          <w:bCs w:val="0"/>
          <w:color w:val="auto"/>
          <w:spacing w:val="0"/>
          <w:kern w:val="2"/>
          <w:sz w:val="32"/>
          <w:szCs w:val="32"/>
          <w:highlight w:val="none"/>
          <w:lang w:val="en-US" w:eastAsia="zh-CN" w:bidi="ar-SA"/>
        </w:rPr>
        <w:t>行政事业性收费收入</w:t>
      </w:r>
      <w:r>
        <w:rPr>
          <w:rFonts w:hint="eastAsia" w:ascii="仿宋_GB2312" w:hAnsi="仿宋_GB2312" w:eastAsia="仿宋_GB2312" w:cs="仿宋_GB2312"/>
          <w:b w:val="0"/>
          <w:bCs w:val="0"/>
          <w:color w:val="auto"/>
          <w:spacing w:val="0"/>
          <w:kern w:val="2"/>
          <w:sz w:val="32"/>
          <w:szCs w:val="32"/>
          <w:highlight w:val="none"/>
          <w:lang w:val="en-US" w:eastAsia="zh-CN" w:bidi="ar-SA"/>
        </w:rPr>
        <w:t>等非税收入减少较多。</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0" w:firstLine="739" w:firstLineChars="231"/>
        <w:jc w:val="both"/>
        <w:textAlignment w:val="auto"/>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全县一般公共预算支出300794万元，完成预算的96</w:t>
      </w:r>
      <w:r>
        <w:rPr>
          <w:rFonts w:hint="eastAsia" w:cs="仿宋_GB2312"/>
          <w:b w:val="0"/>
          <w:bCs w:val="0"/>
          <w:color w:val="000000" w:themeColor="text1"/>
          <w:spacing w:val="0"/>
          <w:kern w:val="2"/>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7%。收入总量减去当年支出、上解上级支出、债务还本等48430万元后，结转下年继续安排使用2059</w:t>
      </w:r>
      <w:r>
        <w:rPr>
          <w:rFonts w:hint="eastAsia" w:cs="仿宋_GB2312"/>
          <w:b w:val="0"/>
          <w:bCs w:val="0"/>
          <w:color w:val="000000" w:themeColor="text1"/>
          <w:spacing w:val="0"/>
          <w:kern w:val="2"/>
          <w:sz w:val="32"/>
          <w:szCs w:val="32"/>
          <w:highlight w:val="none"/>
          <w:lang w:val="en-US" w:eastAsia="zh-CN" w:bidi="ar-SA"/>
          <w14:textFill>
            <w14:solidFill>
              <w14:schemeClr w14:val="tx1"/>
            </w14:solidFill>
          </w14:textFill>
        </w:rPr>
        <w:t>7</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万元。</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color w:val="000000" w:themeColor="text1"/>
          <w:spacing w:val="0"/>
          <w:sz w:val="32"/>
          <w:szCs w:val="32"/>
          <w:highlight w:val="none"/>
          <w14:textFill>
            <w14:solidFill>
              <w14:schemeClr w14:val="tx1"/>
            </w14:solidFill>
          </w14:textFill>
        </w:rPr>
      </w:pPr>
      <w:r>
        <w:rPr>
          <w:rFonts w:hint="default" w:ascii="Times New Roman" w:hAnsi="Times New Roman" w:eastAsia="楷体_GB2312" w:cs="Times New Roman"/>
          <w:b w:val="0"/>
          <w:bCs w:val="0"/>
          <w:color w:val="000000" w:themeColor="text1"/>
          <w:spacing w:val="0"/>
          <w:sz w:val="32"/>
          <w:szCs w:val="32"/>
          <w:highlight w:val="none"/>
          <w14:textFill>
            <w14:solidFill>
              <w14:schemeClr w14:val="tx1"/>
            </w14:solidFill>
          </w14:textFill>
        </w:rPr>
        <w:t>（二）政府性基金预算</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0" w:firstLine="739" w:firstLineChars="231"/>
        <w:jc w:val="both"/>
        <w:textAlignment w:val="auto"/>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全县政府性基金预算收入45452万元（其中国有土地出让金收入3</w:t>
      </w:r>
      <w:r>
        <w:rPr>
          <w:rFonts w:hint="eastAsia" w:cs="仿宋_GB2312"/>
          <w:b w:val="0"/>
          <w:bCs w:val="0"/>
          <w:color w:val="000000" w:themeColor="text1"/>
          <w:spacing w:val="0"/>
          <w:kern w:val="2"/>
          <w:sz w:val="32"/>
          <w:szCs w:val="32"/>
          <w:highlight w:val="none"/>
          <w:lang w:val="en-US" w:eastAsia="zh-CN" w:bidi="ar-SA"/>
          <w14:textFill>
            <w14:solidFill>
              <w14:schemeClr w14:val="tx1"/>
            </w14:solidFill>
          </w14:textFill>
        </w:rPr>
        <w:t>3</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882万元，完成预算的83</w:t>
      </w:r>
      <w:r>
        <w:rPr>
          <w:rFonts w:hint="eastAsia" w:cs="仿宋_GB2312"/>
          <w:b w:val="0"/>
          <w:bCs w:val="0"/>
          <w:color w:val="000000" w:themeColor="text1"/>
          <w:spacing w:val="0"/>
          <w:kern w:val="2"/>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67%，</w:t>
      </w:r>
      <w:r>
        <w:rPr>
          <w:rFonts w:hint="eastAsia" w:cs="仿宋_GB2312"/>
          <w:b w:val="0"/>
          <w:bCs w:val="0"/>
          <w:color w:val="000000" w:themeColor="text1"/>
          <w:spacing w:val="0"/>
          <w:kern w:val="2"/>
          <w:sz w:val="32"/>
          <w:szCs w:val="32"/>
          <w:highlight w:val="none"/>
          <w:lang w:val="en-US" w:eastAsia="zh-CN" w:bidi="ar-SA"/>
          <w14:textFill>
            <w14:solidFill>
              <w14:schemeClr w14:val="tx1"/>
            </w14:solidFill>
          </w14:textFill>
        </w:rPr>
        <w:t>增长</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19</w:t>
      </w:r>
      <w:r>
        <w:rPr>
          <w:rFonts w:hint="eastAsia" w:cs="仿宋_GB2312"/>
          <w:b w:val="0"/>
          <w:bCs w:val="0"/>
          <w:color w:val="000000" w:themeColor="text1"/>
          <w:spacing w:val="0"/>
          <w:kern w:val="2"/>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94%），完成预算的87</w:t>
      </w:r>
      <w:r>
        <w:rPr>
          <w:rFonts w:hint="eastAsia" w:cs="仿宋_GB2312"/>
          <w:b w:val="0"/>
          <w:bCs w:val="0"/>
          <w:color w:val="000000" w:themeColor="text1"/>
          <w:spacing w:val="0"/>
          <w:kern w:val="2"/>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07%，</w:t>
      </w:r>
      <w:r>
        <w:rPr>
          <w:rFonts w:hint="eastAsia" w:cs="仿宋_GB2312"/>
          <w:b w:val="0"/>
          <w:bCs w:val="0"/>
          <w:color w:val="auto"/>
          <w:spacing w:val="0"/>
          <w:kern w:val="2"/>
          <w:sz w:val="32"/>
          <w:szCs w:val="32"/>
          <w:highlight w:val="none"/>
          <w:lang w:val="en-US" w:eastAsia="zh-CN" w:bidi="ar-SA"/>
        </w:rPr>
        <w:t>增长</w:t>
      </w:r>
      <w:r>
        <w:rPr>
          <w:rFonts w:hint="eastAsia" w:ascii="仿宋_GB2312" w:hAnsi="仿宋_GB2312" w:eastAsia="仿宋_GB2312" w:cs="仿宋_GB2312"/>
          <w:b w:val="0"/>
          <w:bCs w:val="0"/>
          <w:color w:val="auto"/>
          <w:spacing w:val="0"/>
          <w:kern w:val="2"/>
          <w:sz w:val="32"/>
          <w:szCs w:val="32"/>
          <w:highlight w:val="none"/>
          <w:lang w:val="en-US" w:eastAsia="zh-CN" w:bidi="ar-SA"/>
        </w:rPr>
        <w:t>11</w:t>
      </w:r>
      <w:r>
        <w:rPr>
          <w:rFonts w:hint="eastAsia" w:cs="仿宋_GB2312"/>
          <w:b w:val="0"/>
          <w:bCs w:val="0"/>
          <w:color w:val="auto"/>
          <w:spacing w:val="0"/>
          <w:kern w:val="2"/>
          <w:sz w:val="32"/>
          <w:szCs w:val="32"/>
          <w:highlight w:val="none"/>
          <w:lang w:val="en-US" w:eastAsia="zh-CN" w:bidi="ar-SA"/>
        </w:rPr>
        <w:t>.</w:t>
      </w:r>
      <w:r>
        <w:rPr>
          <w:rFonts w:hint="eastAsia" w:ascii="仿宋_GB2312" w:hAnsi="仿宋_GB2312" w:eastAsia="仿宋_GB2312" w:cs="仿宋_GB2312"/>
          <w:b w:val="0"/>
          <w:bCs w:val="0"/>
          <w:color w:val="auto"/>
          <w:spacing w:val="0"/>
          <w:kern w:val="2"/>
          <w:sz w:val="32"/>
          <w:szCs w:val="32"/>
          <w:highlight w:val="none"/>
          <w:lang w:val="en-US" w:eastAsia="zh-CN" w:bidi="ar-SA"/>
        </w:rPr>
        <w:t>57%</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。加上上级补助收入、政府专项债务</w:t>
      </w:r>
      <w:r>
        <w:rPr>
          <w:rFonts w:hint="eastAsia" w:ascii="仿宋_GB2312" w:hAnsi="仿宋_GB2312" w:eastAsia="仿宋_GB2312" w:cs="仿宋_GB2312"/>
          <w:b w:val="0"/>
          <w:bCs w:val="0"/>
          <w:color w:val="000000" w:themeColor="text1"/>
          <w:spacing w:val="7"/>
          <w:kern w:val="2"/>
          <w:sz w:val="32"/>
          <w:szCs w:val="32"/>
          <w:highlight w:val="none"/>
          <w:lang w:val="en-US" w:eastAsia="zh-CN" w:bidi="ar-SA"/>
          <w14:textFill>
            <w14:solidFill>
              <w14:schemeClr w14:val="tx1"/>
            </w14:solidFill>
          </w14:textFill>
        </w:rPr>
        <w:t>转贷收</w:t>
      </w:r>
      <w:r>
        <w:rPr>
          <w:rFonts w:hint="eastAsia" w:ascii="仿宋_GB2312" w:hAnsi="仿宋_GB2312" w:eastAsia="仿宋_GB2312" w:cs="仿宋_GB2312"/>
          <w:b w:val="0"/>
          <w:bCs w:val="0"/>
          <w:color w:val="000000" w:themeColor="text1"/>
          <w:spacing w:val="6"/>
          <w:kern w:val="2"/>
          <w:sz w:val="32"/>
          <w:szCs w:val="32"/>
          <w:highlight w:val="none"/>
          <w:lang w:val="en-US" w:eastAsia="zh-CN" w:bidi="ar-SA"/>
          <w14:textFill>
            <w14:solidFill>
              <w14:schemeClr w14:val="tx1"/>
            </w14:solidFill>
          </w14:textFill>
        </w:rPr>
        <w:t>入</w:t>
      </w:r>
      <w:r>
        <w:rPr>
          <w:rFonts w:hint="eastAsia" w:ascii="仿宋_GB2312" w:hAnsi="仿宋_GB2312" w:eastAsia="仿宋_GB2312" w:cs="仿宋_GB2312"/>
          <w:b w:val="0"/>
          <w:bCs w:val="0"/>
          <w:color w:val="000000" w:themeColor="text1"/>
          <w:spacing w:val="7"/>
          <w:kern w:val="2"/>
          <w:sz w:val="32"/>
          <w:szCs w:val="32"/>
          <w:highlight w:val="none"/>
          <w:lang w:val="en-US" w:eastAsia="zh-CN" w:bidi="ar-SA"/>
          <w14:textFill>
            <w14:solidFill>
              <w14:schemeClr w14:val="tx1"/>
            </w14:solidFill>
          </w14:textFill>
        </w:rPr>
        <w:t>、上年结余收入</w:t>
      </w:r>
      <w:r>
        <w:rPr>
          <w:rFonts w:hint="eastAsia" w:ascii="仿宋_GB2312" w:hAnsi="仿宋_GB2312" w:eastAsia="仿宋_GB2312" w:cs="仿宋_GB2312"/>
          <w:b w:val="0"/>
          <w:bCs w:val="0"/>
          <w:color w:val="000000" w:themeColor="text1"/>
          <w:spacing w:val="6"/>
          <w:kern w:val="2"/>
          <w:sz w:val="32"/>
          <w:szCs w:val="32"/>
          <w:highlight w:val="none"/>
          <w:lang w:val="en-US" w:eastAsia="zh-CN" w:bidi="ar-SA"/>
          <w14:textFill>
            <w14:solidFill>
              <w14:schemeClr w14:val="tx1"/>
            </w14:solidFill>
          </w14:textFill>
        </w:rPr>
        <w:t>等</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14665</w:t>
      </w:r>
      <w:r>
        <w:rPr>
          <w:rFonts w:hint="eastAsia" w:ascii="仿宋_GB2312" w:hAnsi="仿宋_GB2312" w:eastAsia="仿宋_GB2312" w:cs="仿宋_GB2312"/>
          <w:b w:val="0"/>
          <w:bCs w:val="0"/>
          <w:color w:val="000000" w:themeColor="text1"/>
          <w:spacing w:val="-33"/>
          <w:kern w:val="2"/>
          <w:sz w:val="32"/>
          <w:szCs w:val="32"/>
          <w:highlight w:val="none"/>
          <w:lang w:val="en-US" w:eastAsia="zh-CN" w:bidi="ar-SA"/>
          <w14:textFill>
            <w14:solidFill>
              <w14:schemeClr w14:val="tx1"/>
            </w14:solidFill>
          </w14:textFill>
        </w:rPr>
        <w:t>8</w:t>
      </w:r>
      <w:r>
        <w:rPr>
          <w:rFonts w:hint="eastAsia" w:ascii="仿宋_GB2312" w:hAnsi="仿宋_GB2312" w:eastAsia="仿宋_GB2312" w:cs="仿宋_GB2312"/>
          <w:b w:val="0"/>
          <w:bCs w:val="0"/>
          <w:color w:val="000000" w:themeColor="text1"/>
          <w:spacing w:val="7"/>
          <w:kern w:val="2"/>
          <w:sz w:val="32"/>
          <w:szCs w:val="32"/>
          <w:highlight w:val="none"/>
          <w:lang w:val="en-US" w:eastAsia="zh-CN" w:bidi="ar-SA"/>
          <w14:textFill>
            <w14:solidFill>
              <w14:schemeClr w14:val="tx1"/>
            </w14:solidFill>
          </w14:textFill>
        </w:rPr>
        <w:t>万元</w:t>
      </w:r>
      <w:r>
        <w:rPr>
          <w:rFonts w:hint="eastAsia" w:ascii="仿宋_GB2312" w:hAnsi="仿宋_GB2312" w:eastAsia="仿宋_GB2312" w:cs="仿宋_GB2312"/>
          <w:b w:val="0"/>
          <w:bCs w:val="0"/>
          <w:color w:val="000000" w:themeColor="text1"/>
          <w:spacing w:val="6"/>
          <w:kern w:val="2"/>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b w:val="0"/>
          <w:bCs w:val="0"/>
          <w:color w:val="000000" w:themeColor="text1"/>
          <w:spacing w:val="7"/>
          <w:kern w:val="2"/>
          <w:sz w:val="32"/>
          <w:szCs w:val="32"/>
          <w:highlight w:val="none"/>
          <w:lang w:val="en-US" w:eastAsia="zh-CN" w:bidi="ar-SA"/>
          <w14:textFill>
            <w14:solidFill>
              <w14:schemeClr w14:val="tx1"/>
            </w14:solidFill>
          </w14:textFill>
        </w:rPr>
        <w:t>收入总量</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19211</w:t>
      </w:r>
      <w:r>
        <w:rPr>
          <w:rFonts w:hint="eastAsia" w:ascii="仿宋_GB2312" w:hAnsi="仿宋_GB2312" w:eastAsia="仿宋_GB2312" w:cs="仿宋_GB2312"/>
          <w:b w:val="0"/>
          <w:bCs w:val="0"/>
          <w:color w:val="000000" w:themeColor="text1"/>
          <w:spacing w:val="-80"/>
          <w:kern w:val="2"/>
          <w:sz w:val="32"/>
          <w:szCs w:val="32"/>
          <w:highlight w:val="none"/>
          <w:lang w:val="en-US" w:eastAsia="zh-CN" w:bidi="ar-SA"/>
          <w14:textFill>
            <w14:solidFill>
              <w14:schemeClr w14:val="tx1"/>
            </w14:solidFill>
          </w14:textFill>
        </w:rPr>
        <w:t>0</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万元。</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0" w:firstLine="739" w:firstLineChars="231"/>
        <w:jc w:val="both"/>
        <w:textAlignment w:val="auto"/>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全县政府性基金预算支出99600万元。收入总量减去当年支出、上解上级支出、政府专项债务还本支出等60002万元后，年终结余32508万元。</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color w:val="000000" w:themeColor="text1"/>
          <w:spacing w:val="0"/>
          <w:sz w:val="32"/>
          <w:szCs w:val="32"/>
          <w:highlight w:val="none"/>
          <w14:textFill>
            <w14:solidFill>
              <w14:schemeClr w14:val="tx1"/>
            </w14:solidFill>
          </w14:textFill>
        </w:rPr>
      </w:pPr>
      <w:r>
        <w:rPr>
          <w:rFonts w:hint="default" w:ascii="Times New Roman" w:hAnsi="Times New Roman" w:eastAsia="楷体_GB2312" w:cs="Times New Roman"/>
          <w:b w:val="0"/>
          <w:bCs w:val="0"/>
          <w:color w:val="000000" w:themeColor="text1"/>
          <w:spacing w:val="0"/>
          <w:sz w:val="32"/>
          <w:szCs w:val="32"/>
          <w:highlight w:val="none"/>
          <w14:textFill>
            <w14:solidFill>
              <w14:schemeClr w14:val="tx1"/>
            </w14:solidFill>
          </w14:textFill>
        </w:rPr>
        <w:t>（三）国有资本经营预算</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0" w:firstLine="739" w:firstLineChars="231"/>
        <w:jc w:val="both"/>
        <w:textAlignment w:val="auto"/>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全县国有资本经营预算收入1000万元，完成预算的100%。加上上级补助收入、上年结转等72万元，收入总量1072万元。</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0" w:firstLine="739" w:firstLineChars="231"/>
        <w:jc w:val="both"/>
        <w:textAlignment w:val="auto"/>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全县国有资本经营预算支出747万元。收入总量减去当年支出、调出资金等240万元后，年终结余85万元。</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楷体_GB2312" w:cs="Times New Roman"/>
          <w:b w:val="0"/>
          <w:bCs w:val="0"/>
          <w:color w:val="000000" w:themeColor="text1"/>
          <w:spacing w:val="0"/>
          <w:sz w:val="32"/>
          <w:szCs w:val="32"/>
          <w:highlight w:val="none"/>
          <w:lang w:eastAsia="zh-CN"/>
          <w14:textFill>
            <w14:solidFill>
              <w14:schemeClr w14:val="tx1"/>
            </w14:solidFill>
          </w14:textFill>
        </w:rPr>
      </w:pPr>
      <w:r>
        <w:rPr>
          <w:rFonts w:hint="default" w:ascii="Times New Roman" w:hAnsi="Times New Roman" w:eastAsia="楷体_GB2312" w:cs="Times New Roman"/>
          <w:b w:val="0"/>
          <w:bCs w:val="0"/>
          <w:color w:val="000000" w:themeColor="text1"/>
          <w:spacing w:val="0"/>
          <w:sz w:val="32"/>
          <w:szCs w:val="32"/>
          <w:highlight w:val="none"/>
          <w:lang w:eastAsia="zh-CN"/>
          <w14:textFill>
            <w14:solidFill>
              <w14:schemeClr w14:val="tx1"/>
            </w14:solidFill>
          </w14:textFill>
        </w:rPr>
        <w:t>（四）地方政府债务</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0" w:firstLine="739" w:firstLineChars="231"/>
        <w:jc w:val="both"/>
        <w:textAlignment w:val="auto"/>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经县人大常委会批准，2024年全县政府债务限额738032万元。经省政府批准，省财政厅</w:t>
      </w:r>
      <w:r>
        <w:rPr>
          <w:rFonts w:hint="eastAsia" w:cs="仿宋_GB2312"/>
          <w:b w:val="0"/>
          <w:bCs w:val="0"/>
          <w:color w:val="000000" w:themeColor="text1"/>
          <w:spacing w:val="0"/>
          <w:kern w:val="2"/>
          <w:sz w:val="32"/>
          <w:szCs w:val="32"/>
          <w:highlight w:val="none"/>
          <w:lang w:val="en-US" w:eastAsia="zh-CN" w:bidi="ar-SA"/>
          <w14:textFill>
            <w14:solidFill>
              <w14:schemeClr w14:val="tx1"/>
            </w14:solidFill>
          </w14:textFill>
        </w:rPr>
        <w:t>共</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下达我县2025年</w:t>
      </w:r>
      <w:r>
        <w:rPr>
          <w:rFonts w:hint="eastAsia" w:cs="仿宋_GB2312"/>
          <w:b w:val="0"/>
          <w:bCs w:val="0"/>
          <w:color w:val="000000" w:themeColor="text1"/>
          <w:spacing w:val="0"/>
          <w:kern w:val="2"/>
          <w:sz w:val="32"/>
          <w:szCs w:val="32"/>
          <w:highlight w:val="none"/>
          <w:lang w:val="en-US" w:eastAsia="zh-CN" w:bidi="ar-SA"/>
          <w14:textFill>
            <w14:solidFill>
              <w14:schemeClr w14:val="tx1"/>
            </w14:solidFill>
          </w14:textFill>
        </w:rPr>
        <w:t>新增</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债务限额78672万元，收回县级债务限额2968万元，2025年县级地方政府债务限额为813736万元。2025年末县级政府债务余额为777798万元，</w:t>
      </w:r>
      <w:r>
        <w:rPr>
          <w:rFonts w:hint="eastAsia" w:cs="仿宋_GB2312"/>
          <w:b w:val="0"/>
          <w:bCs w:val="0"/>
          <w:color w:val="000000" w:themeColor="text1"/>
          <w:spacing w:val="0"/>
          <w:kern w:val="2"/>
          <w:sz w:val="32"/>
          <w:szCs w:val="32"/>
          <w:highlight w:val="none"/>
          <w:lang w:val="en-US" w:eastAsia="zh-CN" w:bidi="ar-SA"/>
          <w14:textFill>
            <w14:solidFill>
              <w14:schemeClr w14:val="tx1"/>
            </w14:solidFill>
          </w14:textFill>
        </w:rPr>
        <w:t>严格在省财政厅下达我县政府债务限额以内举借债务</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w:t>
      </w:r>
      <w:r>
        <w:rPr>
          <w:rFonts w:hint="eastAsia" w:cs="仿宋_GB2312"/>
          <w:b w:val="0"/>
          <w:bCs w:val="0"/>
          <w:color w:val="000000" w:themeColor="text1"/>
          <w:spacing w:val="0"/>
          <w:kern w:val="2"/>
          <w:sz w:val="32"/>
          <w:szCs w:val="32"/>
          <w:highlight w:val="none"/>
          <w:lang w:val="en-US" w:eastAsia="zh-CN" w:bidi="ar-SA"/>
          <w14:textFill>
            <w14:solidFill>
              <w14:schemeClr w14:val="tx1"/>
            </w14:solidFill>
          </w14:textFill>
        </w:rPr>
        <w:t>地方债务</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风险</w:t>
      </w:r>
      <w:r>
        <w:rPr>
          <w:rFonts w:hint="eastAsia" w:cs="仿宋_GB2312"/>
          <w:b w:val="0"/>
          <w:bCs w:val="0"/>
          <w:color w:val="000000" w:themeColor="text1"/>
          <w:spacing w:val="0"/>
          <w:kern w:val="2"/>
          <w:sz w:val="32"/>
          <w:szCs w:val="32"/>
          <w:highlight w:val="none"/>
          <w:lang w:val="en-US" w:eastAsia="zh-CN" w:bidi="ar-SA"/>
          <w14:textFill>
            <w14:solidFill>
              <w14:schemeClr w14:val="tx1"/>
            </w14:solidFill>
          </w14:textFill>
        </w:rPr>
        <w:t>总体</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可控。特此报审说明，最终以财政厅核定数为准。</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60" w:lineRule="exact"/>
        <w:ind w:left="0" w:right="0" w:firstLine="739" w:firstLineChars="231"/>
        <w:jc w:val="both"/>
        <w:textAlignment w:val="auto"/>
        <w:rPr>
          <w:spacing w:val="0"/>
          <w:highlight w:val="none"/>
        </w:rPr>
      </w:pPr>
      <w:r>
        <w:rPr>
          <w:rFonts w:hint="default"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需要说明的是，由于</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2025</w:t>
      </w:r>
      <w:r>
        <w:rPr>
          <w:rFonts w:hint="default"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年财政收支决算</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尚未</w:t>
      </w:r>
      <w:r>
        <w:rPr>
          <w:rFonts w:hint="default"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办理，上述预算执行及平衡情况在上下级财政结算以及决算审查汇总后还将有所变化，届时将按规定再向</w:t>
      </w:r>
      <w:r>
        <w:rPr>
          <w:rFonts w:hint="eastAsia"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县</w:t>
      </w:r>
      <w:r>
        <w:rPr>
          <w:rFonts w:hint="default" w:ascii="仿宋_GB2312" w:hAnsi="仿宋_GB2312" w:eastAsia="仿宋_GB2312" w:cs="仿宋_GB2312"/>
          <w:b w:val="0"/>
          <w:bCs w:val="0"/>
          <w:color w:val="000000" w:themeColor="text1"/>
          <w:spacing w:val="0"/>
          <w:kern w:val="2"/>
          <w:sz w:val="32"/>
          <w:szCs w:val="32"/>
          <w:highlight w:val="none"/>
          <w:lang w:val="en-US" w:eastAsia="zh-CN" w:bidi="ar-SA"/>
          <w14:textFill>
            <w14:solidFill>
              <w14:schemeClr w14:val="tx1"/>
            </w14:solidFill>
          </w14:textFill>
        </w:rPr>
        <w:t>人大常委会报告。</w:t>
      </w:r>
    </w:p>
    <w:p>
      <w:pPr>
        <w:pStyle w:val="3"/>
        <w:pageBreakBefore w:val="0"/>
        <w:widowControl/>
        <w:numPr>
          <w:ilvl w:val="0"/>
          <w:numId w:val="1"/>
        </w:numPr>
        <w:kinsoku/>
        <w:wordWrap/>
        <w:overflowPunct w:val="0"/>
        <w:topLinePunct w:val="0"/>
        <w:autoSpaceDE/>
        <w:autoSpaceDN/>
        <w:bidi w:val="0"/>
        <w:spacing w:beforeLines="0" w:afterLines="0" w:line="560" w:lineRule="exact"/>
        <w:ind w:left="0" w:leftChars="0" w:firstLine="640" w:firstLineChars="0"/>
        <w:textAlignment w:val="auto"/>
        <w:rPr>
          <w:b w:val="0"/>
          <w:spacing w:val="0"/>
        </w:rPr>
      </w:pPr>
      <w:r>
        <w:rPr>
          <w:spacing w:val="0"/>
        </w:rPr>
        <w:t>落实县人大预算决议及重点财政工作推进情况</w:t>
      </w:r>
    </w:p>
    <w:p>
      <w:pPr>
        <w:pStyle w:val="2"/>
        <w:pageBreakBefore w:val="0"/>
        <w:widowControl/>
        <w:kinsoku/>
        <w:wordWrap/>
        <w:overflowPunct w:val="0"/>
        <w:topLinePunct w:val="0"/>
        <w:autoSpaceDE/>
        <w:autoSpaceDN/>
        <w:bidi w:val="0"/>
        <w:spacing w:line="560" w:lineRule="exact"/>
        <w:textAlignment w:val="auto"/>
        <w:rPr>
          <w:b w:val="0"/>
          <w:color w:val="000000" w:themeColor="text1"/>
          <w:spacing w:val="0"/>
          <w14:textFill>
            <w14:solidFill>
              <w14:schemeClr w14:val="tx1"/>
            </w14:solidFill>
          </w14:textFill>
        </w:rPr>
      </w:pPr>
      <w:r>
        <w:rPr>
          <w:b w:val="0"/>
          <w:color w:val="000000" w:themeColor="text1"/>
          <w:spacing w:val="0"/>
          <w14:textFill>
            <w14:solidFill>
              <w14:schemeClr w14:val="tx1"/>
            </w14:solidFill>
          </w14:textFill>
        </w:rPr>
        <w:t>县财政认真落实县十七届人大五次会议有关决议和县人大常委会的审查意见，坚决贯彻“积极的财政政策要适度加力、提质增效”的重要要求，积极发挥财政职能作用，全力以赴做好各项财政工作，为我县推动高质量发展、深化全方位转型提供有力的财政支撑。</w:t>
      </w:r>
    </w:p>
    <w:p>
      <w:pPr>
        <w:pStyle w:val="2"/>
        <w:pageBreakBefore w:val="0"/>
        <w:widowControl/>
        <w:numPr>
          <w:ilvl w:val="0"/>
          <w:numId w:val="2"/>
        </w:numPr>
        <w:kinsoku/>
        <w:wordWrap/>
        <w:overflowPunct w:val="0"/>
        <w:topLinePunct w:val="0"/>
        <w:autoSpaceDE/>
        <w:autoSpaceDN/>
        <w:bidi w:val="0"/>
        <w:spacing w:line="560" w:lineRule="exact"/>
        <w:ind w:left="0" w:leftChars="0" w:firstLine="616" w:firstLineChars="0"/>
        <w:textAlignment w:val="auto"/>
        <w:rPr>
          <w:rFonts w:hint="eastAsia" w:ascii="楷体_GB2312" w:hAnsi="楷体_GB2312" w:eastAsia="楷体_GB2312" w:cs="楷体_GB2312"/>
          <w:b w:val="0"/>
          <w:spacing w:val="0"/>
        </w:rPr>
      </w:pPr>
      <w:r>
        <w:rPr>
          <w:rStyle w:val="22"/>
          <w:spacing w:val="0"/>
          <w:highlight w:val="none"/>
        </w:rPr>
        <w:t>全力拓展财源，推动收入增长，切实增强财政保障能力</w:t>
      </w:r>
      <w:r>
        <w:rPr>
          <w:b w:val="0"/>
          <w:spacing w:val="0"/>
          <w:highlight w:val="none"/>
        </w:rPr>
        <w:t>。将提升财政保障能力作为核心任务，坚持财政工作服务全县发展大局的根本导向，多措并举为长宁县经济社会发展提供持续有力的资金支持。落实积极的财政政策，</w:t>
      </w:r>
      <w:r>
        <w:rPr>
          <w:b w:val="0"/>
          <w:color w:val="000000" w:themeColor="text1"/>
          <w:spacing w:val="0"/>
          <w:highlight w:val="none"/>
          <w14:textFill>
            <w14:solidFill>
              <w14:schemeClr w14:val="tx1"/>
            </w14:solidFill>
          </w14:textFill>
        </w:rPr>
        <w:t>加大发展性资金投入，提高财政收入可持续性和质效，</w:t>
      </w:r>
      <w:r>
        <w:rPr>
          <w:rFonts w:hint="eastAsia"/>
          <w:b w:val="0"/>
          <w:color w:val="000000" w:themeColor="text1"/>
          <w:spacing w:val="0"/>
          <w:highlight w:val="none"/>
          <w:lang w:val="en-US" w:eastAsia="zh-CN"/>
          <w14:textFill>
            <w14:solidFill>
              <w14:schemeClr w14:val="tx1"/>
            </w14:solidFill>
          </w14:textFill>
        </w:rPr>
        <w:t>累计落实减税降费</w:t>
      </w:r>
      <w:r>
        <w:rPr>
          <w:rFonts w:hint="eastAsia" w:ascii="仿宋_GB2312" w:hAnsi="仿宋_GB2312" w:eastAsia="仿宋_GB2312" w:cs="仿宋_GB2312"/>
          <w:b w:val="0"/>
          <w:color w:val="000000" w:themeColor="text1"/>
          <w:spacing w:val="0"/>
          <w:highlight w:val="none"/>
          <w:lang w:val="en-US" w:eastAsia="zh-CN"/>
          <w14:textFill>
            <w14:solidFill>
              <w14:schemeClr w14:val="tx1"/>
            </w14:solidFill>
          </w14:textFill>
        </w:rPr>
        <w:t>5080</w:t>
      </w:r>
      <w:r>
        <w:rPr>
          <w:rFonts w:hint="eastAsia"/>
          <w:b w:val="0"/>
          <w:color w:val="000000" w:themeColor="text1"/>
          <w:spacing w:val="0"/>
          <w:highlight w:val="none"/>
          <w:lang w:val="en-US" w:eastAsia="zh-CN"/>
          <w14:textFill>
            <w14:solidFill>
              <w14:schemeClr w14:val="tx1"/>
            </w14:solidFill>
          </w14:textFill>
        </w:rPr>
        <w:t>万元，促进市场主体产生更大政策效应。</w:t>
      </w:r>
      <w:r>
        <w:rPr>
          <w:b w:val="0"/>
          <w:spacing w:val="0"/>
          <w:highlight w:val="none"/>
        </w:rPr>
        <w:t>成功申报并获批</w:t>
      </w:r>
      <w:r>
        <w:rPr>
          <w:rFonts w:hint="eastAsia"/>
          <w:b w:val="0"/>
          <w:spacing w:val="0"/>
          <w:highlight w:val="none"/>
          <w:lang w:eastAsia="zh-CN"/>
        </w:rPr>
        <w:t>项目建设类</w:t>
      </w:r>
      <w:r>
        <w:rPr>
          <w:rFonts w:hint="eastAsia"/>
          <w:b w:val="0"/>
          <w:spacing w:val="0"/>
          <w:highlight w:val="none"/>
          <w:lang w:val="en-US" w:eastAsia="zh-CN"/>
        </w:rPr>
        <w:t>专项</w:t>
      </w:r>
      <w:r>
        <w:rPr>
          <w:b w:val="0"/>
          <w:spacing w:val="0"/>
          <w:highlight w:val="none"/>
        </w:rPr>
        <w:t>债券资金</w:t>
      </w:r>
      <w:r>
        <w:rPr>
          <w:rFonts w:hint="eastAsia" w:ascii="仿宋_GB2312" w:hAnsi="仿宋_GB2312" w:eastAsia="仿宋_GB2312" w:cs="仿宋_GB2312"/>
          <w:b w:val="0"/>
          <w:spacing w:val="0"/>
          <w:highlight w:val="none"/>
          <w:lang w:val="en-US" w:eastAsia="zh-CN"/>
        </w:rPr>
        <w:t>54500</w:t>
      </w:r>
      <w:r>
        <w:rPr>
          <w:b w:val="0"/>
          <w:spacing w:val="0"/>
          <w:highlight w:val="none"/>
        </w:rPr>
        <w:t>万元，重点投向</w:t>
      </w:r>
      <w:r>
        <w:rPr>
          <w:rFonts w:hint="eastAsia"/>
          <w:b w:val="0"/>
          <w:spacing w:val="0"/>
          <w:highlight w:val="none"/>
        </w:rPr>
        <w:t>城乡供水一体化工程</w:t>
      </w:r>
      <w:r>
        <w:rPr>
          <w:rFonts w:hint="eastAsia"/>
          <w:b w:val="0"/>
          <w:spacing w:val="0"/>
          <w:highlight w:val="none"/>
          <w:lang w:val="en-US" w:eastAsia="zh-CN"/>
        </w:rPr>
        <w:t>、存量闲置土地储备</w:t>
      </w:r>
      <w:r>
        <w:rPr>
          <w:b w:val="0"/>
          <w:spacing w:val="0"/>
          <w:highlight w:val="none"/>
        </w:rPr>
        <w:t>等</w:t>
      </w:r>
      <w:r>
        <w:rPr>
          <w:rFonts w:hint="eastAsia"/>
          <w:b w:val="0"/>
          <w:spacing w:val="0"/>
          <w:highlight w:val="none"/>
          <w:lang w:eastAsia="zh-CN"/>
        </w:rPr>
        <w:t>项目</w:t>
      </w:r>
      <w:r>
        <w:rPr>
          <w:b w:val="0"/>
          <w:spacing w:val="0"/>
          <w:highlight w:val="none"/>
        </w:rPr>
        <w:t>。积极争取各类补助资金</w:t>
      </w:r>
      <w:r>
        <w:rPr>
          <w:rFonts w:hint="eastAsia" w:ascii="仿宋_GB2312" w:hAnsi="仿宋_GB2312" w:eastAsia="仿宋_GB2312" w:cs="仿宋_GB2312"/>
          <w:b w:val="0"/>
          <w:spacing w:val="0"/>
          <w:highlight w:val="none"/>
          <w:lang w:val="en-US" w:eastAsia="zh-CN"/>
        </w:rPr>
        <w:t>221513</w:t>
      </w:r>
      <w:r>
        <w:rPr>
          <w:b w:val="0"/>
          <w:spacing w:val="0"/>
          <w:highlight w:val="none"/>
        </w:rPr>
        <w:t>万元，包括</w:t>
      </w:r>
      <w:r>
        <w:rPr>
          <w:rFonts w:hint="eastAsia"/>
          <w:b w:val="0"/>
          <w:spacing w:val="0"/>
          <w:highlight w:val="none"/>
        </w:rPr>
        <w:t>困难群众救助补助资金</w:t>
      </w:r>
      <w:r>
        <w:rPr>
          <w:rFonts w:hint="eastAsia"/>
          <w:b w:val="0"/>
          <w:spacing w:val="0"/>
          <w:highlight w:val="none"/>
          <w:lang w:eastAsia="zh-CN"/>
        </w:rPr>
        <w:t>、高标准农田建设资金</w:t>
      </w:r>
      <w:r>
        <w:rPr>
          <w:b w:val="0"/>
          <w:spacing w:val="0"/>
          <w:highlight w:val="none"/>
        </w:rPr>
        <w:t>等。获得农村综合改革、乡村建设等相关奖补资金</w:t>
      </w:r>
      <w:r>
        <w:rPr>
          <w:rFonts w:hint="eastAsia" w:ascii="仿宋_GB2312" w:hAnsi="仿宋_GB2312" w:eastAsia="仿宋_GB2312" w:cs="仿宋_GB2312"/>
          <w:b w:val="0"/>
          <w:spacing w:val="0"/>
          <w:highlight w:val="none"/>
          <w:lang w:val="en-US" w:eastAsia="zh-CN"/>
        </w:rPr>
        <w:t>4000</w:t>
      </w:r>
      <w:r>
        <w:rPr>
          <w:b w:val="0"/>
          <w:spacing w:val="0"/>
          <w:highlight w:val="none"/>
        </w:rPr>
        <w:t>万元，专项用于村落连</w:t>
      </w:r>
      <w:r>
        <w:rPr>
          <w:b w:val="0"/>
          <w:spacing w:val="0"/>
        </w:rPr>
        <w:t>片整治、乡村治理试点和特色产业路建设等。加大存量资源盘活力度，清理收回结余资金</w:t>
      </w:r>
      <w:r>
        <w:rPr>
          <w:rFonts w:hint="eastAsia" w:ascii="仿宋_GB2312" w:hAnsi="仿宋_GB2312" w:eastAsia="仿宋_GB2312" w:cs="仿宋_GB2312"/>
          <w:b w:val="0"/>
          <w:spacing w:val="0"/>
          <w:lang w:val="en-US" w:eastAsia="zh-CN"/>
        </w:rPr>
        <w:t>9015</w:t>
      </w:r>
      <w:r>
        <w:rPr>
          <w:b w:val="0"/>
          <w:spacing w:val="0"/>
        </w:rPr>
        <w:t>万元，实现国有资产处置收益</w:t>
      </w:r>
      <w:r>
        <w:rPr>
          <w:rFonts w:hint="eastAsia" w:ascii="仿宋_GB2312" w:hAnsi="仿宋_GB2312" w:eastAsia="仿宋_GB2312" w:cs="仿宋_GB2312"/>
          <w:b w:val="0"/>
          <w:spacing w:val="0"/>
          <w:lang w:val="en-US" w:eastAsia="zh-CN"/>
        </w:rPr>
        <w:t>32201</w:t>
      </w:r>
      <w:r>
        <w:rPr>
          <w:b w:val="0"/>
          <w:spacing w:val="0"/>
        </w:rPr>
        <w:t>万元，并有序推进</w:t>
      </w:r>
      <w:r>
        <w:rPr>
          <w:rFonts w:hint="eastAsia"/>
          <w:b w:val="0"/>
          <w:spacing w:val="0"/>
          <w:lang w:eastAsia="zh-CN"/>
        </w:rPr>
        <w:t>县域</w:t>
      </w:r>
      <w:r>
        <w:rPr>
          <w:b w:val="0"/>
          <w:spacing w:val="0"/>
        </w:rPr>
        <w:t>内闲置</w:t>
      </w:r>
      <w:r>
        <w:rPr>
          <w:rFonts w:hint="eastAsia"/>
          <w:b w:val="0"/>
          <w:spacing w:val="0"/>
          <w:lang w:eastAsia="zh-CN"/>
        </w:rPr>
        <w:t>资产资源</w:t>
      </w:r>
      <w:r>
        <w:rPr>
          <w:b w:val="0"/>
          <w:spacing w:val="0"/>
        </w:rPr>
        <w:t>转化利用。上述资金的筹集与运用，有力落实了县委、县政府的各项重点决策，在改善基本民生、助推产业升级、优化城乡环境等方面起到了关键支撑作用，切实减轻了财政运行负担。</w:t>
      </w:r>
    </w:p>
    <w:p>
      <w:pPr>
        <w:pStyle w:val="2"/>
        <w:pageBreakBefore w:val="0"/>
        <w:widowControl/>
        <w:numPr>
          <w:ilvl w:val="0"/>
          <w:numId w:val="2"/>
        </w:numPr>
        <w:kinsoku/>
        <w:wordWrap/>
        <w:overflowPunct w:val="0"/>
        <w:topLinePunct w:val="0"/>
        <w:autoSpaceDE/>
        <w:autoSpaceDN/>
        <w:bidi w:val="0"/>
        <w:spacing w:line="560" w:lineRule="exact"/>
        <w:ind w:left="0" w:leftChars="0" w:firstLine="616" w:firstLineChars="0"/>
        <w:textAlignment w:val="auto"/>
        <w:rPr>
          <w:rFonts w:hint="eastAsia" w:ascii="楷体_GB2312" w:hAnsi="楷体_GB2312" w:eastAsia="楷体_GB2312" w:cs="楷体_GB2312"/>
          <w:b w:val="0"/>
          <w:spacing w:val="0"/>
        </w:rPr>
      </w:pPr>
      <w:r>
        <w:rPr>
          <w:rStyle w:val="22"/>
          <w:spacing w:val="0"/>
        </w:rPr>
        <w:t>保障民生投入，增进人民福祉，筑牢社会发展基础</w:t>
      </w:r>
      <w:r>
        <w:rPr>
          <w:b w:val="0"/>
          <w:spacing w:val="0"/>
        </w:rPr>
        <w:t>。</w:t>
      </w:r>
      <w:r>
        <w:rPr>
          <w:b w:val="0"/>
          <w:spacing w:val="0"/>
          <w:highlight w:val="none"/>
        </w:rPr>
        <w:t>始终坚持以人民为中心的发展思想，将民生支出作为财政保障的重中之重，全力兜住兜牢基本民生底线。全年民生领域支出占一般公共预算支出的比重</w:t>
      </w:r>
      <w:r>
        <w:rPr>
          <w:rFonts w:hint="eastAsia"/>
          <w:b w:val="0"/>
          <w:spacing w:val="0"/>
          <w:highlight w:val="none"/>
          <w:lang w:eastAsia="zh-CN"/>
        </w:rPr>
        <w:t>持续</w:t>
      </w:r>
      <w:r>
        <w:rPr>
          <w:b w:val="0"/>
          <w:spacing w:val="0"/>
          <w:highlight w:val="none"/>
        </w:rPr>
        <w:t>保持在</w:t>
      </w:r>
      <w:r>
        <w:rPr>
          <w:rFonts w:hint="eastAsia" w:ascii="仿宋_GB2312" w:hAnsi="仿宋_GB2312" w:eastAsia="仿宋_GB2312" w:cs="仿宋_GB2312"/>
          <w:b w:val="0"/>
          <w:spacing w:val="0"/>
          <w:highlight w:val="none"/>
          <w:lang w:val="en-US" w:eastAsia="zh-CN"/>
        </w:rPr>
        <w:t>65</w:t>
      </w:r>
      <w:r>
        <w:rPr>
          <w:b w:val="0"/>
          <w:spacing w:val="0"/>
          <w:highlight w:val="none"/>
        </w:rPr>
        <w:t>%以上。持续巩固拓展脱贫攻坚成果，全面推进乡村振兴，全年累计安排衔接资金</w:t>
      </w:r>
      <w:r>
        <w:rPr>
          <w:rFonts w:hint="eastAsia" w:ascii="仿宋_GB2312" w:hAnsi="仿宋_GB2312" w:eastAsia="仿宋_GB2312" w:cs="仿宋_GB2312"/>
          <w:b w:val="0"/>
          <w:spacing w:val="0"/>
          <w:highlight w:val="none"/>
          <w:lang w:val="en-US" w:eastAsia="zh-CN"/>
        </w:rPr>
        <w:t>12059</w:t>
      </w:r>
      <w:r>
        <w:rPr>
          <w:b w:val="0"/>
          <w:spacing w:val="0"/>
          <w:highlight w:val="none"/>
        </w:rPr>
        <w:t>万元，其中县级配套</w:t>
      </w:r>
      <w:r>
        <w:rPr>
          <w:rFonts w:hint="eastAsia" w:ascii="仿宋_GB2312" w:hAnsi="仿宋_GB2312" w:eastAsia="仿宋_GB2312" w:cs="仿宋_GB2312"/>
          <w:b w:val="0"/>
          <w:spacing w:val="0"/>
          <w:highlight w:val="none"/>
          <w:lang w:val="en-US" w:eastAsia="zh-CN"/>
        </w:rPr>
        <w:t>3010</w:t>
      </w:r>
      <w:r>
        <w:rPr>
          <w:b w:val="0"/>
          <w:spacing w:val="0"/>
          <w:highlight w:val="none"/>
        </w:rPr>
        <w:t>万元，投入力度保持稳定增长。通过“一卡通”系统发放惠农惠民补贴资金</w:t>
      </w:r>
      <w:r>
        <w:rPr>
          <w:rFonts w:hint="eastAsia" w:ascii="仿宋_GB2312" w:hAnsi="仿宋_GB2312" w:eastAsia="仿宋_GB2312" w:cs="仿宋_GB2312"/>
          <w:b w:val="0"/>
          <w:spacing w:val="0"/>
          <w:highlight w:val="none"/>
          <w:lang w:val="en-US" w:eastAsia="zh-CN"/>
        </w:rPr>
        <w:t>34473</w:t>
      </w:r>
      <w:r>
        <w:rPr>
          <w:b w:val="0"/>
          <w:spacing w:val="0"/>
          <w:highlight w:val="none"/>
        </w:rPr>
        <w:t>万元，确保了耕地地力保护补贴、实际种粮农民一次性补贴等政策精准足额兑现。坚持教</w:t>
      </w:r>
      <w:r>
        <w:rPr>
          <w:b w:val="0"/>
          <w:spacing w:val="0"/>
        </w:rPr>
        <w:t>育优先发展，全县教育支出达到</w:t>
      </w:r>
      <w:r>
        <w:rPr>
          <w:rFonts w:hint="eastAsia" w:ascii="仿宋_GB2312" w:hAnsi="仿宋_GB2312" w:eastAsia="仿宋_GB2312" w:cs="仿宋_GB2312"/>
          <w:b w:val="0"/>
          <w:spacing w:val="0"/>
          <w:lang w:val="en-US" w:eastAsia="zh-CN"/>
        </w:rPr>
        <w:t>61039</w:t>
      </w:r>
      <w:r>
        <w:rPr>
          <w:b w:val="0"/>
          <w:spacing w:val="0"/>
        </w:rPr>
        <w:t>万元，重点支持城乡义务教育优质均衡发展、学前教育普及普惠、高中阶段办学条件改善以及职业教育产教融合等项目</w:t>
      </w:r>
      <w:r>
        <w:rPr>
          <w:rFonts w:hint="eastAsia"/>
          <w:b w:val="0"/>
          <w:spacing w:val="0"/>
          <w:lang w:eastAsia="zh-CN"/>
        </w:rPr>
        <w:t>，被教育部认定为全国义务教育优质均衡发展县、国家学前教育普及普惠县</w:t>
      </w:r>
      <w:r>
        <w:rPr>
          <w:b w:val="0"/>
          <w:spacing w:val="0"/>
        </w:rPr>
        <w:t>。大力推动文化繁荣发展，文化旅游体育与传媒支出</w:t>
      </w:r>
      <w:r>
        <w:rPr>
          <w:rFonts w:hint="eastAsia" w:cs="仿宋_GB2312"/>
          <w:b w:val="0"/>
          <w:spacing w:val="0"/>
          <w:lang w:val="en-US" w:eastAsia="zh-CN"/>
        </w:rPr>
        <w:t>11871</w:t>
      </w:r>
      <w:r>
        <w:rPr>
          <w:b w:val="0"/>
          <w:spacing w:val="0"/>
        </w:rPr>
        <w:t>万元，重点保障</w:t>
      </w:r>
      <w:r>
        <w:rPr>
          <w:rFonts w:hint="eastAsia"/>
          <w:b w:val="0"/>
          <w:spacing w:val="0"/>
          <w:lang w:eastAsia="zh-CN"/>
        </w:rPr>
        <w:t>泽</w:t>
      </w:r>
      <w:r>
        <w:rPr>
          <w:rFonts w:hint="eastAsia"/>
          <w:b w:val="0"/>
          <w:spacing w:val="0"/>
          <w:lang w:val="en-US" w:eastAsia="zh-CN"/>
        </w:rPr>
        <w:t>鸿故里</w:t>
      </w:r>
      <w:r>
        <w:rPr>
          <w:rFonts w:hint="eastAsia" w:ascii="仿宋_GB2312" w:hAnsi="仿宋_GB2312" w:eastAsia="仿宋_GB2312" w:cs="仿宋_GB2312"/>
          <w:b w:val="0"/>
          <w:spacing w:val="0"/>
          <w:lang w:val="en-US" w:eastAsia="zh-CN"/>
        </w:rPr>
        <w:t>4</w:t>
      </w:r>
      <w:r>
        <w:rPr>
          <w:rFonts w:hint="eastAsia"/>
          <w:b w:val="0"/>
          <w:spacing w:val="0"/>
          <w:lang w:val="en-US" w:eastAsia="zh-CN"/>
        </w:rPr>
        <w:t>A级景区旅游服务保障配套设施建设</w:t>
      </w:r>
      <w:r>
        <w:rPr>
          <w:b w:val="0"/>
          <w:spacing w:val="0"/>
        </w:rPr>
        <w:t>等项目建设。持续完善社会保障体系，社会保障和就业支出</w:t>
      </w:r>
      <w:r>
        <w:rPr>
          <w:rFonts w:hint="eastAsia" w:ascii="仿宋_GB2312" w:hAnsi="仿宋_GB2312" w:eastAsia="仿宋_GB2312" w:cs="仿宋_GB2312"/>
          <w:b w:val="0"/>
          <w:spacing w:val="0"/>
          <w:lang w:val="en-US" w:eastAsia="zh-CN"/>
        </w:rPr>
        <w:t>50</w:t>
      </w:r>
      <w:r>
        <w:rPr>
          <w:rFonts w:hint="eastAsia" w:cs="仿宋_GB2312"/>
          <w:b w:val="0"/>
          <w:spacing w:val="0"/>
          <w:lang w:val="en-US" w:eastAsia="zh-CN"/>
        </w:rPr>
        <w:t>584</w:t>
      </w:r>
      <w:r>
        <w:rPr>
          <w:b w:val="0"/>
          <w:spacing w:val="0"/>
        </w:rPr>
        <w:t>万元，重点用于落实城乡居民基本养老保险和医疗保险提标政策、保障困难群体救助补助</w:t>
      </w:r>
      <w:r>
        <w:rPr>
          <w:rFonts w:hint="eastAsia"/>
          <w:b w:val="0"/>
          <w:spacing w:val="0"/>
          <w:lang w:eastAsia="zh-CN"/>
        </w:rPr>
        <w:t>、发放育儿补贴</w:t>
      </w:r>
      <w:r>
        <w:rPr>
          <w:b w:val="0"/>
          <w:spacing w:val="0"/>
        </w:rPr>
        <w:t>、促进重点群体就业创业以及支持公益岗位开发等。不断提升医疗卫生服务水平，卫生健康支出</w:t>
      </w:r>
      <w:r>
        <w:rPr>
          <w:rFonts w:hint="eastAsia" w:ascii="仿宋_GB2312" w:hAnsi="仿宋_GB2312" w:eastAsia="仿宋_GB2312" w:cs="仿宋_GB2312"/>
          <w:b w:val="0"/>
          <w:spacing w:val="0"/>
          <w:lang w:val="en-US" w:eastAsia="zh-CN"/>
        </w:rPr>
        <w:t>25</w:t>
      </w:r>
      <w:r>
        <w:rPr>
          <w:rFonts w:hint="eastAsia" w:cs="仿宋_GB2312"/>
          <w:b w:val="0"/>
          <w:spacing w:val="0"/>
          <w:lang w:val="en-US" w:eastAsia="zh-CN"/>
        </w:rPr>
        <w:t>361</w:t>
      </w:r>
      <w:r>
        <w:rPr>
          <w:b w:val="0"/>
          <w:spacing w:val="0"/>
        </w:rPr>
        <w:t>万元，有力支撑了县域医共体建设、基本公共卫生服务均等化、疾病预防控制体系改革和公立医院能力提升。着力推动各项社会事业进步，切实增强人民群众的获得感、幸福感、安全感。</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eastAsia" w:ascii="楷体_GB2312" w:hAnsi="楷体_GB2312" w:eastAsia="楷体_GB2312" w:cs="楷体_GB2312"/>
          <w:b w:val="0"/>
          <w:spacing w:val="0"/>
        </w:rPr>
      </w:pPr>
      <w:r>
        <w:rPr>
          <w:rStyle w:val="22"/>
          <w:rFonts w:hint="eastAsia" w:eastAsia="楷体_GB2312"/>
          <w:spacing w:val="0"/>
          <w:lang w:eastAsia="zh-CN"/>
        </w:rPr>
        <w:t>（三）</w:t>
      </w:r>
      <w:r>
        <w:rPr>
          <w:rStyle w:val="22"/>
          <w:spacing w:val="0"/>
        </w:rPr>
        <w:t>统筹财力安排，聚焦重点领域，确保经济社会稳定发展</w:t>
      </w:r>
      <w:r>
        <w:rPr>
          <w:spacing w:val="0"/>
        </w:rPr>
        <w:t>。坚持集中财力办大事的原则，在优先保障“三保”支出的基础上，优化资源配置，有力支撑全县经济社会发展大局。聚力乡村振兴，筑牢“三农”发展基石。全县农林水支出达到</w:t>
      </w:r>
      <w:r>
        <w:rPr>
          <w:rFonts w:hint="eastAsia" w:ascii="仿宋_GB2312" w:hAnsi="仿宋_GB2312" w:eastAsia="仿宋_GB2312" w:cs="仿宋_GB2312"/>
          <w:spacing w:val="0"/>
          <w:lang w:val="en-US" w:eastAsia="zh-CN"/>
        </w:rPr>
        <w:t>536</w:t>
      </w:r>
      <w:r>
        <w:rPr>
          <w:rFonts w:hint="eastAsia" w:cs="仿宋_GB2312"/>
          <w:spacing w:val="0"/>
          <w:lang w:val="en-US" w:eastAsia="zh-CN"/>
        </w:rPr>
        <w:t>80</w:t>
      </w:r>
      <w:r>
        <w:rPr>
          <w:rFonts w:hint="eastAsia"/>
          <w:spacing w:val="0"/>
          <w:lang w:eastAsia="zh-CN"/>
        </w:rPr>
        <w:t>万</w:t>
      </w:r>
      <w:r>
        <w:rPr>
          <w:spacing w:val="0"/>
        </w:rPr>
        <w:t>元，重点投向竹产业高质量发展、农田水利设施补短板、高标准农田建设等领域。围绕发展新质生产力，发挥财政资金的引导和撬动作用，统筹安排产业及科技发展资金</w:t>
      </w:r>
      <w:r>
        <w:rPr>
          <w:rFonts w:hint="eastAsia" w:ascii="仿宋_GB2312" w:hAnsi="仿宋_GB2312" w:eastAsia="仿宋_GB2312" w:cs="仿宋_GB2312"/>
          <w:spacing w:val="0"/>
          <w:lang w:val="en-US" w:eastAsia="zh-CN"/>
        </w:rPr>
        <w:t>9380</w:t>
      </w:r>
      <w:r>
        <w:rPr>
          <w:spacing w:val="0"/>
        </w:rPr>
        <w:t>万元</w:t>
      </w:r>
      <w:r>
        <w:rPr>
          <w:rFonts w:hint="eastAsia"/>
          <w:spacing w:val="0"/>
          <w:lang w:eastAsia="zh-CN"/>
        </w:rPr>
        <w:t>，</w:t>
      </w:r>
      <w:r>
        <w:rPr>
          <w:spacing w:val="0"/>
        </w:rPr>
        <w:t>重点支持县域内龙头骨干企业</w:t>
      </w:r>
      <w:r>
        <w:rPr>
          <w:rFonts w:hint="eastAsia"/>
          <w:spacing w:val="0"/>
          <w:lang w:val="en-US" w:eastAsia="zh-CN"/>
        </w:rPr>
        <w:t>铭丰电子等</w:t>
      </w:r>
      <w:r>
        <w:rPr>
          <w:spacing w:val="0"/>
        </w:rPr>
        <w:t>开展技术研发、设备更新和智能化改造，推动传统产业转型升级和战略性新兴产业培育壮大。</w:t>
      </w:r>
      <w:r>
        <w:rPr>
          <w:rFonts w:hint="eastAsia" w:ascii="仿宋_GB2312" w:hAnsi="仿宋_GB2312" w:eastAsia="仿宋_GB2312" w:cs="仿宋_GB2312"/>
          <w:b w:val="0"/>
          <w:bCs w:val="0"/>
          <w:color w:val="000000" w:themeColor="text1"/>
          <w:spacing w:val="0"/>
          <w:sz w:val="32"/>
          <w:szCs w:val="32"/>
          <w:lang w:val="en-US" w:eastAsia="zh-CN"/>
          <w14:textFill>
            <w14:solidFill>
              <w14:schemeClr w14:val="tx1"/>
            </w14:solidFill>
          </w14:textFill>
        </w:rPr>
        <w:t>推动新型城镇化建设，安排城市和乡镇建设用地征拆资金12405万元。持续完善全县交通网络，投入交通基础设施建设资金9700万元。统筹整合26533万元资金，支持园区企业发展。</w:t>
      </w:r>
      <w:r>
        <w:rPr>
          <w:spacing w:val="0"/>
        </w:rPr>
        <w:t>安排生态环境保护相关资金</w:t>
      </w:r>
      <w:r>
        <w:rPr>
          <w:rFonts w:hint="eastAsia" w:ascii="仿宋_GB2312" w:hAnsi="仿宋_GB2312" w:eastAsia="仿宋_GB2312" w:cs="仿宋_GB2312"/>
          <w:spacing w:val="0"/>
          <w:lang w:val="en-US" w:eastAsia="zh-CN"/>
        </w:rPr>
        <w:t>13778</w:t>
      </w:r>
      <w:r>
        <w:rPr>
          <w:spacing w:val="0"/>
        </w:rPr>
        <w:t>万元，重点支持大气、水</w:t>
      </w:r>
      <w:r>
        <w:rPr>
          <w:rFonts w:hint="eastAsia"/>
          <w:spacing w:val="0"/>
          <w:lang w:eastAsia="zh-CN"/>
        </w:rPr>
        <w:t>体</w:t>
      </w:r>
      <w:r>
        <w:rPr>
          <w:spacing w:val="0"/>
        </w:rPr>
        <w:t>、土壤污染防治，持续巩固长宁县作为长江上游生态屏障的生态本底。</w:t>
      </w:r>
    </w:p>
    <w:p>
      <w:pPr>
        <w:pStyle w:val="2"/>
        <w:pageBreakBefore w:val="0"/>
        <w:widowControl/>
        <w:numPr>
          <w:ilvl w:val="0"/>
          <w:numId w:val="0"/>
        </w:numPr>
        <w:kinsoku/>
        <w:wordWrap/>
        <w:overflowPunct w:val="0"/>
        <w:topLinePunct w:val="0"/>
        <w:autoSpaceDE/>
        <w:autoSpaceDN/>
        <w:bidi w:val="0"/>
        <w:spacing w:line="560" w:lineRule="exact"/>
        <w:ind w:firstLine="640" w:firstLineChars="200"/>
        <w:textAlignment w:val="auto"/>
        <w:rPr>
          <w:rFonts w:hint="eastAsia" w:eastAsia="仿宋_GB2312"/>
          <w:spacing w:val="0"/>
          <w:lang w:eastAsia="zh-CN"/>
        </w:rPr>
      </w:pPr>
      <w:r>
        <w:rPr>
          <w:rStyle w:val="22"/>
          <w:rFonts w:hint="eastAsia" w:eastAsia="楷体_GB2312"/>
          <w:spacing w:val="0"/>
          <w:lang w:eastAsia="zh-CN"/>
        </w:rPr>
        <w:t>（四）</w:t>
      </w:r>
      <w:r>
        <w:rPr>
          <w:rStyle w:val="22"/>
          <w:spacing w:val="0"/>
        </w:rPr>
        <w:t>坚守风险底线，强化监测预警，切实筑牢安全发展屏障</w:t>
      </w:r>
      <w:r>
        <w:rPr>
          <w:spacing w:val="0"/>
        </w:rPr>
        <w:t>。严格落实中央有关基层“三保”各项要求，坚持“三保”支出在财政支出中的优先地位，兜牢“三保”底线，不留硬缺口。加强财政国库资金管理，强化库款运行动态监控，全力保障财政经济平稳运行。严格执行经人大批准的预算，压实各部门（单位）的支出保障责任。实行政府债务全生命周期管理，</w:t>
      </w:r>
      <w:r>
        <w:rPr>
          <w:rFonts w:hint="eastAsia"/>
          <w:spacing w:val="0"/>
          <w:lang w:eastAsia="zh-CN"/>
        </w:rPr>
        <w:t>进一步优化债券资金“借、用、管、还”制度机制，扎实推进政府法定债务、政府隐性债务、融资平台公司及其他国有企业债务一体管理。压紧压实债务单位主体责任，严禁任何单位和个人以任何形式违规新增地方政府隐性债务，严控融资平台公司及其他国有企业非标债务举债，稳妥压降隐性债务和“双非”债务</w:t>
      </w:r>
      <w:r>
        <w:rPr>
          <w:spacing w:val="0"/>
        </w:rPr>
        <w:t>。</w:t>
      </w:r>
      <w:r>
        <w:rPr>
          <w:rFonts w:hint="eastAsia" w:ascii="仿宋_GB2312" w:hAnsi="仿宋_GB2312" w:eastAsia="仿宋_GB2312" w:cs="仿宋_GB2312"/>
          <w:spacing w:val="0"/>
        </w:rPr>
        <w:t>2025</w:t>
      </w:r>
      <w:r>
        <w:rPr>
          <w:spacing w:val="0"/>
        </w:rPr>
        <w:t>年，全县按期足额偿还法定政府债务本息</w:t>
      </w:r>
      <w:r>
        <w:rPr>
          <w:rFonts w:hint="eastAsia" w:ascii="仿宋_GB2312" w:hAnsi="仿宋_GB2312" w:eastAsia="仿宋_GB2312" w:cs="仿宋_GB2312"/>
          <w:spacing w:val="0"/>
          <w:lang w:val="en-US" w:eastAsia="zh-CN"/>
        </w:rPr>
        <w:t>48652</w:t>
      </w:r>
      <w:r>
        <w:rPr>
          <w:rFonts w:hint="eastAsia"/>
          <w:spacing w:val="0"/>
          <w:lang w:eastAsia="zh-CN"/>
        </w:rPr>
        <w:t>万</w:t>
      </w:r>
      <w:r>
        <w:rPr>
          <w:spacing w:val="0"/>
        </w:rPr>
        <w:t>元。将金融风险防控摆在突出位置，健全风险监测、预警和处置机制，坚决遏制非法集资、金融诈骗等行为。全县不良贷款率稳定控制在</w:t>
      </w:r>
      <w:r>
        <w:rPr>
          <w:rFonts w:hint="eastAsia" w:ascii="仿宋_GB2312" w:hAnsi="仿宋_GB2312" w:eastAsia="仿宋_GB2312" w:cs="仿宋_GB2312"/>
          <w:spacing w:val="0"/>
          <w:lang w:val="en-US" w:eastAsia="zh-CN"/>
        </w:rPr>
        <w:t>2</w:t>
      </w:r>
      <w:r>
        <w:rPr>
          <w:spacing w:val="0"/>
        </w:rPr>
        <w:t>%以内，守住不发生区域性系统性金融风险的底线，为经济高质量发展营造安全稳定的金融环境</w:t>
      </w:r>
      <w:r>
        <w:rPr>
          <w:rFonts w:hint="eastAsia"/>
          <w:spacing w:val="0"/>
          <w:lang w:eastAsia="zh-CN"/>
        </w:rPr>
        <w:t>。</w:t>
      </w:r>
    </w:p>
    <w:p>
      <w:pPr>
        <w:pStyle w:val="2"/>
        <w:pageBreakBefore w:val="0"/>
        <w:widowControl/>
        <w:numPr>
          <w:ilvl w:val="0"/>
          <w:numId w:val="0"/>
        </w:numPr>
        <w:kinsoku/>
        <w:wordWrap/>
        <w:overflowPunct w:val="0"/>
        <w:topLinePunct w:val="0"/>
        <w:autoSpaceDE/>
        <w:autoSpaceDN/>
        <w:bidi w:val="0"/>
        <w:spacing w:line="560" w:lineRule="exact"/>
        <w:ind w:firstLine="640" w:firstLineChars="200"/>
        <w:textAlignment w:val="auto"/>
        <w:rPr>
          <w:rFonts w:hint="eastAsia" w:ascii="楷体_GB2312" w:hAnsi="楷体_GB2312" w:eastAsia="仿宋_GB2312" w:cs="楷体_GB2312"/>
          <w:b w:val="0"/>
          <w:spacing w:val="0"/>
          <w:highlight w:val="yellow"/>
          <w:lang w:eastAsia="zh-CN"/>
        </w:rPr>
      </w:pPr>
      <w:r>
        <w:rPr>
          <w:rStyle w:val="22"/>
          <w:rFonts w:hint="eastAsia" w:eastAsia="楷体_GB2312"/>
          <w:spacing w:val="0"/>
          <w:lang w:eastAsia="zh-CN"/>
        </w:rPr>
        <w:t>（五）</w:t>
      </w:r>
      <w:r>
        <w:rPr>
          <w:rStyle w:val="22"/>
          <w:spacing w:val="0"/>
        </w:rPr>
        <w:t>聚焦精细管理，提升运转效能，持续优化财政运行质</w:t>
      </w:r>
      <w:r>
        <w:rPr>
          <w:rStyle w:val="22"/>
          <w:spacing w:val="0"/>
          <w:highlight w:val="none"/>
        </w:rPr>
        <w:t>量</w:t>
      </w:r>
      <w:r>
        <w:rPr>
          <w:i w:val="0"/>
          <w:color w:val="0F1115"/>
          <w:spacing w:val="0"/>
          <w:highlight w:val="none"/>
        </w:rPr>
        <w:t>。</w:t>
      </w:r>
      <w:r>
        <w:rPr>
          <w:spacing w:val="0"/>
          <w:highlight w:val="none"/>
        </w:rPr>
        <w:t>严格落实过紧日子要求，严控一般性支出，</w:t>
      </w:r>
      <w:r>
        <w:rPr>
          <w:rFonts w:hint="eastAsia" w:ascii="仿宋_GB2312" w:hAnsi="仿宋_GB2312" w:eastAsia="仿宋_GB2312" w:cs="仿宋_GB2312"/>
          <w:spacing w:val="0"/>
          <w:highlight w:val="none"/>
        </w:rPr>
        <w:t>2025</w:t>
      </w:r>
      <w:r>
        <w:rPr>
          <w:spacing w:val="0"/>
          <w:highlight w:val="none"/>
        </w:rPr>
        <w:t>年全县“三公”经费较上年压减</w:t>
      </w:r>
      <w:r>
        <w:rPr>
          <w:rFonts w:hint="eastAsia" w:ascii="仿宋_GB2312" w:hAnsi="仿宋_GB2312" w:eastAsia="仿宋_GB2312" w:cs="仿宋_GB2312"/>
          <w:spacing w:val="0"/>
          <w:highlight w:val="none"/>
          <w:lang w:val="en-US" w:eastAsia="zh-CN"/>
        </w:rPr>
        <w:t>9</w:t>
      </w:r>
      <w:r>
        <w:rPr>
          <w:rFonts w:hint="eastAsia"/>
          <w:spacing w:val="0"/>
          <w:highlight w:val="none"/>
          <w:lang w:val="en-US" w:eastAsia="zh-CN"/>
        </w:rPr>
        <w:t>.</w:t>
      </w:r>
      <w:r>
        <w:rPr>
          <w:rFonts w:hint="eastAsia" w:ascii="仿宋_GB2312" w:hAnsi="仿宋_GB2312" w:eastAsia="仿宋_GB2312" w:cs="仿宋_GB2312"/>
          <w:spacing w:val="0"/>
          <w:highlight w:val="none"/>
          <w:lang w:val="en-US" w:eastAsia="zh-CN"/>
        </w:rPr>
        <w:t>06</w:t>
      </w:r>
      <w:r>
        <w:rPr>
          <w:spacing w:val="0"/>
          <w:highlight w:val="none"/>
        </w:rPr>
        <w:t>%</w:t>
      </w:r>
      <w:r>
        <w:rPr>
          <w:rFonts w:hint="eastAsia"/>
          <w:spacing w:val="0"/>
          <w:highlight w:val="none"/>
          <w:lang w:eastAsia="zh-CN"/>
        </w:rPr>
        <w:t>。</w:t>
      </w:r>
      <w:r>
        <w:rPr>
          <w:spacing w:val="0"/>
          <w:highlight w:val="none"/>
        </w:rPr>
        <w:t>规范机关事业单位用工管理</w:t>
      </w:r>
      <w:r>
        <w:rPr>
          <w:rFonts w:hint="eastAsia"/>
          <w:spacing w:val="0"/>
          <w:highlight w:val="none"/>
          <w:lang w:eastAsia="zh-CN"/>
        </w:rPr>
        <w:t>，印</w:t>
      </w:r>
      <w:r>
        <w:rPr>
          <w:rFonts w:hint="eastAsia"/>
          <w:spacing w:val="0"/>
          <w:lang w:eastAsia="zh-CN"/>
        </w:rPr>
        <w:t>发《关于进一步规范机关事业单位编外人员管理的通知》</w:t>
      </w:r>
      <w:r>
        <w:rPr>
          <w:spacing w:val="0"/>
        </w:rPr>
        <w:t>，促进人员管理的规范化与财政支出的合理化。全面加强政府投资评审监管，严格规范项目预算与结算审核流程，全年累计完成预算项目评审</w:t>
      </w:r>
      <w:r>
        <w:rPr>
          <w:rFonts w:hint="eastAsia" w:ascii="仿宋_GB2312" w:hAnsi="仿宋_GB2312" w:eastAsia="仿宋_GB2312" w:cs="仿宋_GB2312"/>
          <w:spacing w:val="0"/>
          <w:lang w:val="en-US" w:eastAsia="zh-CN"/>
        </w:rPr>
        <w:t>263</w:t>
      </w:r>
      <w:r>
        <w:rPr>
          <w:spacing w:val="0"/>
        </w:rPr>
        <w:t>个，送审金额</w:t>
      </w:r>
      <w:r>
        <w:rPr>
          <w:rFonts w:hint="eastAsia" w:ascii="仿宋_GB2312" w:hAnsi="仿宋_GB2312" w:eastAsia="仿宋_GB2312" w:cs="仿宋_GB2312"/>
          <w:spacing w:val="0"/>
          <w:lang w:val="en-US" w:eastAsia="zh-CN"/>
        </w:rPr>
        <w:t>178009</w:t>
      </w:r>
      <w:r>
        <w:rPr>
          <w:rFonts w:hint="eastAsia"/>
          <w:spacing w:val="0"/>
          <w:lang w:eastAsia="zh-CN"/>
        </w:rPr>
        <w:t>万</w:t>
      </w:r>
      <w:r>
        <w:rPr>
          <w:spacing w:val="0"/>
        </w:rPr>
        <w:t>元，</w:t>
      </w:r>
      <w:r>
        <w:rPr>
          <w:rFonts w:hint="eastAsia"/>
          <w:spacing w:val="0"/>
          <w:lang w:eastAsia="zh-CN"/>
        </w:rPr>
        <w:t>审核金额</w:t>
      </w:r>
      <w:r>
        <w:rPr>
          <w:rFonts w:hint="eastAsia" w:ascii="仿宋_GB2312" w:hAnsi="仿宋_GB2312" w:eastAsia="仿宋_GB2312" w:cs="仿宋_GB2312"/>
          <w:spacing w:val="0"/>
          <w:lang w:val="en-US" w:eastAsia="zh-CN"/>
        </w:rPr>
        <w:t>162360</w:t>
      </w:r>
      <w:r>
        <w:rPr>
          <w:rFonts w:hint="eastAsia"/>
          <w:spacing w:val="0"/>
          <w:lang w:eastAsia="zh-CN"/>
        </w:rPr>
        <w:t>万</w:t>
      </w:r>
      <w:r>
        <w:rPr>
          <w:spacing w:val="0"/>
        </w:rPr>
        <w:t>元，审减率</w:t>
      </w:r>
      <w:r>
        <w:rPr>
          <w:rFonts w:hint="eastAsia" w:ascii="仿宋_GB2312" w:hAnsi="仿宋_GB2312" w:eastAsia="仿宋_GB2312" w:cs="仿宋_GB2312"/>
          <w:spacing w:val="0"/>
          <w:lang w:val="en-US" w:eastAsia="zh-CN"/>
        </w:rPr>
        <w:t>9</w:t>
      </w:r>
      <w:r>
        <w:rPr>
          <w:spacing w:val="0"/>
        </w:rPr>
        <w:t>%；完</w:t>
      </w:r>
      <w:r>
        <w:rPr>
          <w:spacing w:val="0"/>
          <w:highlight w:val="none"/>
        </w:rPr>
        <w:t>成项目结算</w:t>
      </w:r>
      <w:r>
        <w:rPr>
          <w:rFonts w:hint="eastAsia" w:ascii="仿宋_GB2312" w:hAnsi="仿宋_GB2312" w:eastAsia="仿宋_GB2312" w:cs="仿宋_GB2312"/>
          <w:spacing w:val="0"/>
          <w:highlight w:val="none"/>
          <w:lang w:val="en-US" w:eastAsia="zh-CN"/>
        </w:rPr>
        <w:t>7</w:t>
      </w:r>
      <w:r>
        <w:rPr>
          <w:spacing w:val="0"/>
          <w:highlight w:val="none"/>
        </w:rPr>
        <w:t>个，送审金额</w:t>
      </w:r>
      <w:r>
        <w:rPr>
          <w:rFonts w:hint="eastAsia" w:ascii="仿宋_GB2312" w:hAnsi="仿宋_GB2312" w:eastAsia="仿宋_GB2312" w:cs="仿宋_GB2312"/>
          <w:spacing w:val="0"/>
          <w:highlight w:val="none"/>
          <w:lang w:val="en-US" w:eastAsia="zh-CN"/>
        </w:rPr>
        <w:t>14375</w:t>
      </w:r>
      <w:r>
        <w:rPr>
          <w:rFonts w:hint="eastAsia"/>
          <w:spacing w:val="0"/>
          <w:highlight w:val="none"/>
          <w:lang w:eastAsia="zh-CN"/>
        </w:rPr>
        <w:t>万</w:t>
      </w:r>
      <w:r>
        <w:rPr>
          <w:spacing w:val="0"/>
          <w:highlight w:val="none"/>
        </w:rPr>
        <w:t>元，审减</w:t>
      </w:r>
      <w:r>
        <w:rPr>
          <w:rFonts w:hint="eastAsia" w:ascii="仿宋_GB2312" w:hAnsi="仿宋_GB2312" w:eastAsia="仿宋_GB2312" w:cs="仿宋_GB2312"/>
          <w:spacing w:val="0"/>
          <w:highlight w:val="none"/>
          <w:lang w:val="en-US" w:eastAsia="zh-CN"/>
        </w:rPr>
        <w:t>677</w:t>
      </w:r>
      <w:r>
        <w:rPr>
          <w:rFonts w:hint="eastAsia"/>
          <w:spacing w:val="0"/>
          <w:highlight w:val="none"/>
          <w:lang w:eastAsia="zh-CN"/>
        </w:rPr>
        <w:t>万</w:t>
      </w:r>
      <w:r>
        <w:rPr>
          <w:spacing w:val="0"/>
          <w:highlight w:val="none"/>
        </w:rPr>
        <w:t>元，审减率</w:t>
      </w:r>
      <w:r>
        <w:rPr>
          <w:rFonts w:hint="eastAsia" w:ascii="仿宋_GB2312" w:hAnsi="仿宋_GB2312" w:eastAsia="仿宋_GB2312" w:cs="仿宋_GB2312"/>
          <w:spacing w:val="0"/>
          <w:highlight w:val="none"/>
          <w:lang w:val="en-US" w:eastAsia="zh-CN"/>
        </w:rPr>
        <w:t>4</w:t>
      </w:r>
      <w:r>
        <w:rPr>
          <w:rFonts w:hint="eastAsia"/>
          <w:spacing w:val="0"/>
          <w:highlight w:val="none"/>
          <w:lang w:val="en-US" w:eastAsia="zh-CN"/>
        </w:rPr>
        <w:t>.</w:t>
      </w:r>
      <w:r>
        <w:rPr>
          <w:rFonts w:hint="eastAsia" w:ascii="仿宋_GB2312" w:hAnsi="仿宋_GB2312" w:eastAsia="仿宋_GB2312" w:cs="仿宋_GB2312"/>
          <w:spacing w:val="0"/>
          <w:highlight w:val="none"/>
          <w:lang w:val="en-US" w:eastAsia="zh-CN"/>
        </w:rPr>
        <w:t>71</w:t>
      </w:r>
      <w:r>
        <w:rPr>
          <w:spacing w:val="0"/>
          <w:highlight w:val="none"/>
        </w:rPr>
        <w:t>%</w:t>
      </w:r>
      <w:r>
        <w:rPr>
          <w:rFonts w:hint="eastAsia"/>
          <w:spacing w:val="0"/>
          <w:highlight w:val="none"/>
          <w:lang w:eastAsia="zh-CN"/>
        </w:rPr>
        <w:t>，</w:t>
      </w:r>
      <w:r>
        <w:rPr>
          <w:spacing w:val="0"/>
        </w:rPr>
        <w:t>有效节约了财政资金。深化政府采购全流程电子化管理，开展</w:t>
      </w:r>
      <w:r>
        <w:rPr>
          <w:rFonts w:hint="eastAsia"/>
          <w:spacing w:val="0"/>
          <w:lang w:eastAsia="zh-CN"/>
        </w:rPr>
        <w:t>专项</w:t>
      </w:r>
      <w:r>
        <w:rPr>
          <w:spacing w:val="0"/>
        </w:rPr>
        <w:t>监督检查</w:t>
      </w:r>
      <w:r>
        <w:rPr>
          <w:rFonts w:hint="eastAsia" w:ascii="仿宋_GB2312" w:hAnsi="仿宋_GB2312" w:eastAsia="仿宋_GB2312" w:cs="仿宋_GB2312"/>
          <w:spacing w:val="0"/>
          <w:lang w:val="en-US" w:eastAsia="zh-CN"/>
        </w:rPr>
        <w:t>3</w:t>
      </w:r>
      <w:r>
        <w:rPr>
          <w:spacing w:val="0"/>
        </w:rPr>
        <w:t>次，切实优化政府采购营商环境；提升政府采购效率，节约资金</w:t>
      </w:r>
      <w:r>
        <w:rPr>
          <w:rFonts w:hint="eastAsia" w:ascii="仿宋_GB2312" w:hAnsi="仿宋_GB2312" w:eastAsia="仿宋_GB2312" w:cs="仿宋_GB2312"/>
          <w:spacing w:val="0"/>
        </w:rPr>
        <w:t>82</w:t>
      </w:r>
      <w:r>
        <w:rPr>
          <w:rFonts w:hint="eastAsia" w:ascii="仿宋_GB2312" w:hAnsi="仿宋_GB2312" w:eastAsia="仿宋_GB2312" w:cs="仿宋_GB2312"/>
          <w:spacing w:val="0"/>
          <w:lang w:val="en-US" w:eastAsia="zh-CN"/>
        </w:rPr>
        <w:t>9</w:t>
      </w:r>
      <w:r>
        <w:rPr>
          <w:spacing w:val="0"/>
        </w:rPr>
        <w:t>万元，节约率</w:t>
      </w:r>
      <w:r>
        <w:rPr>
          <w:rFonts w:hint="eastAsia" w:ascii="仿宋_GB2312" w:hAnsi="仿宋_GB2312" w:eastAsia="仿宋_GB2312" w:cs="仿宋_GB2312"/>
          <w:spacing w:val="0"/>
          <w:lang w:val="en-US" w:eastAsia="zh-CN"/>
        </w:rPr>
        <w:t>5</w:t>
      </w:r>
      <w:r>
        <w:rPr>
          <w:rFonts w:hint="eastAsia"/>
          <w:spacing w:val="0"/>
          <w:lang w:val="en-US" w:eastAsia="zh-CN"/>
        </w:rPr>
        <w:t>.</w:t>
      </w:r>
      <w:r>
        <w:rPr>
          <w:rFonts w:hint="eastAsia" w:ascii="仿宋_GB2312" w:hAnsi="仿宋_GB2312" w:eastAsia="仿宋_GB2312" w:cs="仿宋_GB2312"/>
          <w:spacing w:val="0"/>
          <w:lang w:val="en-US" w:eastAsia="zh-CN"/>
        </w:rPr>
        <w:t>6</w:t>
      </w:r>
      <w:r>
        <w:rPr>
          <w:spacing w:val="0"/>
        </w:rPr>
        <w:t>%。扎实推进全过程预算绩效管理，将绩效理念和方法深度融入预算编制、执行、监督全过程，实现绩效目标管理全覆盖。选取</w:t>
      </w:r>
      <w:r>
        <w:rPr>
          <w:rFonts w:hint="eastAsia" w:ascii="仿宋_GB2312" w:hAnsi="仿宋_GB2312" w:eastAsia="仿宋_GB2312" w:cs="仿宋_GB2312"/>
          <w:spacing w:val="0"/>
          <w:lang w:val="en-US" w:eastAsia="zh-CN"/>
        </w:rPr>
        <w:t>7</w:t>
      </w:r>
      <w:r>
        <w:rPr>
          <w:spacing w:val="0"/>
        </w:rPr>
        <w:t>个重点支出项目及</w:t>
      </w:r>
      <w:r>
        <w:rPr>
          <w:rFonts w:hint="eastAsia" w:ascii="仿宋_GB2312" w:hAnsi="仿宋_GB2312" w:eastAsia="仿宋_GB2312" w:cs="仿宋_GB2312"/>
          <w:spacing w:val="0"/>
          <w:lang w:val="en-US" w:eastAsia="zh-CN"/>
        </w:rPr>
        <w:t>13</w:t>
      </w:r>
      <w:r>
        <w:rPr>
          <w:spacing w:val="0"/>
        </w:rPr>
        <w:t>个部门整体支出实施财政重点评价，涉及资金</w:t>
      </w:r>
      <w:r>
        <w:rPr>
          <w:rFonts w:hint="eastAsia" w:ascii="仿宋_GB2312" w:hAnsi="仿宋_GB2312" w:eastAsia="仿宋_GB2312" w:cs="仿宋_GB2312"/>
          <w:spacing w:val="0"/>
          <w:lang w:val="en-US" w:eastAsia="zh-CN"/>
        </w:rPr>
        <w:t>2019</w:t>
      </w:r>
      <w:r>
        <w:rPr>
          <w:rFonts w:hint="eastAsia"/>
          <w:spacing w:val="0"/>
          <w:lang w:eastAsia="zh-CN"/>
        </w:rPr>
        <w:t>万</w:t>
      </w:r>
      <w:r>
        <w:rPr>
          <w:spacing w:val="0"/>
        </w:rPr>
        <w:t>元，评价结果作为优化政策、调整预算的重要依据，推动“花钱必问效、无效</w:t>
      </w:r>
      <w:r>
        <w:rPr>
          <w:rFonts w:hint="eastAsia"/>
          <w:spacing w:val="0"/>
          <w:lang w:eastAsia="zh-CN"/>
        </w:rPr>
        <w:t>必</w:t>
      </w:r>
      <w:r>
        <w:rPr>
          <w:spacing w:val="0"/>
        </w:rPr>
        <w:t>问责”落到实处。</w:t>
      </w:r>
      <w:r>
        <w:rPr>
          <w:rFonts w:hint="eastAsia"/>
          <w:spacing w:val="0"/>
        </w:rPr>
        <w:t>强化财政资金支付管理</w:t>
      </w:r>
      <w:r>
        <w:rPr>
          <w:rFonts w:hint="eastAsia"/>
          <w:spacing w:val="0"/>
          <w:lang w:eastAsia="zh-CN"/>
        </w:rPr>
        <w:t>，</w:t>
      </w:r>
      <w:r>
        <w:rPr>
          <w:rFonts w:hint="eastAsia"/>
          <w:spacing w:val="0"/>
        </w:rPr>
        <w:t>依托预算管理一体化系统设置财政资金支付预警规则，对预算单位资金支付实施动态监管</w:t>
      </w:r>
      <w:r>
        <w:rPr>
          <w:rFonts w:hint="eastAsia"/>
          <w:spacing w:val="0"/>
          <w:lang w:eastAsia="zh-CN"/>
        </w:rPr>
        <w:t>，</w:t>
      </w:r>
      <w:r>
        <w:rPr>
          <w:rFonts w:hint="eastAsia"/>
          <w:spacing w:val="0"/>
        </w:rPr>
        <w:t>全年支付红灯预警数据</w:t>
      </w:r>
      <w:r>
        <w:rPr>
          <w:rFonts w:hint="eastAsia" w:ascii="仿宋_GB2312" w:hAnsi="仿宋_GB2312" w:eastAsia="仿宋_GB2312" w:cs="仿宋_GB2312"/>
          <w:spacing w:val="0"/>
        </w:rPr>
        <w:t>792</w:t>
      </w:r>
      <w:r>
        <w:rPr>
          <w:rFonts w:hint="eastAsia"/>
          <w:spacing w:val="0"/>
        </w:rPr>
        <w:t>条，涉及资金</w:t>
      </w:r>
      <w:r>
        <w:rPr>
          <w:rFonts w:hint="eastAsia" w:ascii="仿宋_GB2312" w:hAnsi="仿宋_GB2312" w:eastAsia="仿宋_GB2312" w:cs="仿宋_GB2312"/>
          <w:spacing w:val="0"/>
        </w:rPr>
        <w:t>7243</w:t>
      </w:r>
      <w:r>
        <w:rPr>
          <w:rFonts w:hint="eastAsia"/>
          <w:spacing w:val="0"/>
        </w:rPr>
        <w:t>万元，所有红灯预警均逐条核实处理。</w:t>
      </w:r>
    </w:p>
    <w:p>
      <w:pPr>
        <w:pStyle w:val="2"/>
        <w:pageBreakBefore w:val="0"/>
        <w:widowControl/>
        <w:kinsoku/>
        <w:wordWrap/>
        <w:overflowPunct w:val="0"/>
        <w:topLinePunct w:val="0"/>
        <w:autoSpaceDE/>
        <w:autoSpaceDN/>
        <w:bidi w:val="0"/>
        <w:spacing w:line="560" w:lineRule="exact"/>
        <w:textAlignment w:val="auto"/>
        <w:rPr>
          <w:spacing w:val="0"/>
        </w:rPr>
      </w:pPr>
      <w:r>
        <w:rPr>
          <w:rFonts w:hint="eastAsia" w:ascii="仿宋_GB2312" w:hAnsi="仿宋_GB2312" w:eastAsia="仿宋_GB2312" w:cs="仿宋_GB2312"/>
          <w:spacing w:val="0"/>
        </w:rPr>
        <w:t>2025</w:t>
      </w:r>
      <w:r>
        <w:rPr>
          <w:spacing w:val="0"/>
        </w:rPr>
        <w:t>年，在复杂严峻的经济形势下，全县财政运行保持基本平稳，但我们清醒地认识到，当前财政发展仍面临一系列深层次挑战：经济下行压力向财政收入端传导，传统税源增长乏力，新兴财源培育尚需时日，收入可持续增长基础不牢；刚性支出需求持续增加，重点领域投入保障压力巨大，财政“紧平衡”状态呈现长期化趋势；部分领域资金使用效率有待提升，预算约束力需进一步硬化，“花钱必问效”的绩效理念尚未完全融入管理全过程；少数部门和单位过紧日子的思想自觉和行动自觉仍有欠缺；财会监督的深度、广度和震慑力有待加强；政府债务还本付息进入高峰期，化债任务依然繁重，风险防控须臾不可放松。对于这些矛盾与问题，我们将高度重视，深入研究，并在今后的工作</w:t>
      </w:r>
      <w:r>
        <w:rPr>
          <w:spacing w:val="4"/>
        </w:rPr>
        <w:t>中充分吸纳各方意见建议，采取系统、精准的措施努力加</w:t>
      </w:r>
      <w:r>
        <w:rPr>
          <w:spacing w:val="0"/>
        </w:rPr>
        <w:t>以破解。</w:t>
      </w:r>
    </w:p>
    <w:p>
      <w:pPr>
        <w:pStyle w:val="3"/>
        <w:pageBreakBefore w:val="0"/>
        <w:widowControl/>
        <w:numPr>
          <w:ilvl w:val="0"/>
          <w:numId w:val="1"/>
        </w:numPr>
        <w:kinsoku/>
        <w:wordWrap/>
        <w:overflowPunct w:val="0"/>
        <w:topLinePunct w:val="0"/>
        <w:autoSpaceDE/>
        <w:autoSpaceDN/>
        <w:bidi w:val="0"/>
        <w:spacing w:beforeLines="0" w:afterLines="0" w:line="560" w:lineRule="exact"/>
        <w:ind w:left="0" w:leftChars="0" w:firstLine="640" w:firstLineChars="0"/>
        <w:textAlignment w:val="auto"/>
        <w:rPr>
          <w:rFonts w:hint="eastAsia" w:ascii="黑体" w:hAnsi="黑体" w:eastAsia="黑体" w:cs="黑体"/>
          <w:b w:val="0"/>
          <w:spacing w:val="0"/>
        </w:rPr>
      </w:pPr>
      <w:r>
        <w:rPr>
          <w:rFonts w:hint="eastAsia" w:ascii="黑体" w:hAnsi="黑体" w:eastAsia="黑体" w:cs="黑体"/>
          <w:spacing w:val="0"/>
        </w:rPr>
        <w:t>2026年财政预算草案</w:t>
      </w:r>
    </w:p>
    <w:p>
      <w:pPr>
        <w:pStyle w:val="4"/>
        <w:pageBreakBefore w:val="0"/>
        <w:widowControl/>
        <w:numPr>
          <w:ilvl w:val="0"/>
          <w:numId w:val="3"/>
        </w:numPr>
        <w:kinsoku/>
        <w:wordWrap/>
        <w:overflowPunct w:val="0"/>
        <w:topLinePunct w:val="0"/>
        <w:autoSpaceDE/>
        <w:autoSpaceDN/>
        <w:bidi w:val="0"/>
        <w:spacing w:beforeLines="0" w:afterLines="0" w:line="560" w:lineRule="exact"/>
        <w:ind w:left="0" w:leftChars="0" w:firstLine="640" w:firstLineChars="0"/>
        <w:textAlignment w:val="auto"/>
        <w:rPr>
          <w:b w:val="0"/>
          <w:spacing w:val="0"/>
        </w:rPr>
      </w:pPr>
      <w:r>
        <w:rPr>
          <w:spacing w:val="0"/>
        </w:rPr>
        <w:t>预算编制的指导思想、基本原则</w:t>
      </w:r>
    </w:p>
    <w:p>
      <w:pPr>
        <w:pStyle w:val="2"/>
        <w:pageBreakBefore w:val="0"/>
        <w:widowControl/>
        <w:kinsoku/>
        <w:wordWrap/>
        <w:overflowPunct w:val="0"/>
        <w:topLinePunct w:val="0"/>
        <w:autoSpaceDE/>
        <w:autoSpaceDN/>
        <w:bidi w:val="0"/>
        <w:spacing w:line="560" w:lineRule="exact"/>
        <w:textAlignment w:val="auto"/>
        <w:rPr>
          <w:b w:val="0"/>
          <w:color w:val="000000" w:themeColor="text1"/>
          <w:spacing w:val="0"/>
          <w14:textFill>
            <w14:solidFill>
              <w14:schemeClr w14:val="tx1"/>
            </w14:solidFill>
          </w14:textFill>
        </w:rPr>
      </w:pPr>
      <w:r>
        <w:rPr>
          <w:rFonts w:hint="eastAsia" w:ascii="仿宋_GB2312" w:hAnsi="仿宋_GB2312" w:eastAsia="仿宋_GB2312" w:cs="仿宋_GB2312"/>
          <w:spacing w:val="0"/>
        </w:rPr>
        <w:t>2026</w:t>
      </w:r>
      <w:r>
        <w:rPr>
          <w:spacing w:val="0"/>
        </w:rPr>
        <w:t>年是深入实施“十五五”规划的开局之年，也是巩固经济回升向好基础、推动高质量发展的重要一年。做好全年财政工作，责任重大、意义深远。财政部门将坚持以</w:t>
      </w:r>
      <w:r>
        <w:rPr>
          <w:rFonts w:hint="eastAsia"/>
          <w:spacing w:val="0"/>
          <w:lang w:eastAsia="zh-CN"/>
        </w:rPr>
        <w:t>习近平</w:t>
      </w:r>
      <w:r>
        <w:rPr>
          <w:spacing w:val="0"/>
        </w:rPr>
        <w:t>新时代中国特色社会主义思想为指导，全面贯彻中央及省、市、县委关于经济工作的决策部署，秉持“统筹资源、强化保障、深化改革、提质增效”的总体思路，科学精准编制</w:t>
      </w:r>
      <w:r>
        <w:rPr>
          <w:rFonts w:hint="eastAsia" w:ascii="仿宋_GB2312" w:hAnsi="仿宋_GB2312" w:eastAsia="仿宋_GB2312" w:cs="仿宋_GB2312"/>
          <w:spacing w:val="0"/>
        </w:rPr>
        <w:t>2026</w:t>
      </w:r>
      <w:r>
        <w:rPr>
          <w:spacing w:val="0"/>
        </w:rPr>
        <w:t>年预算，全力服务全县经济社会发展大局。</w:t>
      </w:r>
    </w:p>
    <w:p>
      <w:pPr>
        <w:pStyle w:val="2"/>
        <w:pageBreakBefore w:val="0"/>
        <w:widowControl/>
        <w:kinsoku/>
        <w:wordWrap/>
        <w:overflowPunct w:val="0"/>
        <w:topLinePunct w:val="0"/>
        <w:autoSpaceDE/>
        <w:autoSpaceDN/>
        <w:bidi w:val="0"/>
        <w:spacing w:line="560" w:lineRule="exact"/>
        <w:textAlignment w:val="auto"/>
        <w:rPr>
          <w:b w:val="0"/>
          <w:color w:val="000000" w:themeColor="text1"/>
          <w:spacing w:val="0"/>
          <w14:textFill>
            <w14:solidFill>
              <w14:schemeClr w14:val="tx1"/>
            </w14:solidFill>
          </w14:textFill>
        </w:rPr>
      </w:pPr>
      <w:r>
        <w:rPr>
          <w:b w:val="0"/>
          <w:color w:val="000000" w:themeColor="text1"/>
          <w:spacing w:val="0"/>
          <w14:textFill>
            <w14:solidFill>
              <w14:schemeClr w14:val="tx1"/>
            </w14:solidFill>
          </w14:textFill>
        </w:rPr>
        <w:t>具体坚持以下原则：</w:t>
      </w:r>
    </w:p>
    <w:p>
      <w:pPr>
        <w:pStyle w:val="2"/>
        <w:pageBreakBefore w:val="0"/>
        <w:widowControl/>
        <w:numPr>
          <w:ilvl w:val="0"/>
          <w:numId w:val="0"/>
        </w:numPr>
        <w:kinsoku/>
        <w:wordWrap/>
        <w:overflowPunct w:val="0"/>
        <w:topLinePunct w:val="0"/>
        <w:autoSpaceDE/>
        <w:autoSpaceDN/>
        <w:bidi w:val="0"/>
        <w:spacing w:line="560" w:lineRule="exact"/>
        <w:ind w:firstLine="640" w:firstLineChars="200"/>
        <w:textAlignment w:val="auto"/>
        <w:rPr>
          <w:b w:val="0"/>
          <w:spacing w:val="0"/>
        </w:rPr>
      </w:pPr>
      <w:r>
        <w:rPr>
          <w:rStyle w:val="21"/>
          <w:rFonts w:hint="eastAsia" w:ascii="仿宋_GB2312" w:hAnsi="仿宋_GB2312" w:eastAsia="仿宋_GB2312" w:cs="仿宋_GB2312"/>
          <w:spacing w:val="0"/>
          <w:lang w:val="en-US" w:eastAsia="zh-CN"/>
        </w:rPr>
        <w:t>1</w:t>
      </w:r>
      <w:r>
        <w:rPr>
          <w:rStyle w:val="21"/>
          <w:rFonts w:hint="eastAsia"/>
          <w:spacing w:val="0"/>
          <w:lang w:val="en-US" w:eastAsia="zh-CN"/>
        </w:rPr>
        <w:t>.</w:t>
      </w:r>
      <w:r>
        <w:rPr>
          <w:rStyle w:val="21"/>
          <w:spacing w:val="0"/>
        </w:rPr>
        <w:t>坚持发展导向，壮大财政实力</w:t>
      </w:r>
      <w:r>
        <w:rPr>
          <w:spacing w:val="0"/>
        </w:rPr>
        <w:t>。紧密衔接县域经济发展目标，在持续优化营商环境、落实各项惠企纾困政策的基础上，着力培育涵养优质税源，促进财政收入质升量稳。积极对接上级政策导向与资金布局，全力争取转移支付、专项债券等各类资金支持，不断夯实保障县委、县政府重大战略实施的财力基础。</w:t>
      </w:r>
    </w:p>
    <w:p>
      <w:pPr>
        <w:pStyle w:val="2"/>
        <w:pageBreakBefore w:val="0"/>
        <w:widowControl/>
        <w:numPr>
          <w:ilvl w:val="0"/>
          <w:numId w:val="0"/>
        </w:numPr>
        <w:kinsoku/>
        <w:wordWrap/>
        <w:overflowPunct w:val="0"/>
        <w:topLinePunct w:val="0"/>
        <w:autoSpaceDE/>
        <w:autoSpaceDN/>
        <w:bidi w:val="0"/>
        <w:spacing w:line="560" w:lineRule="exact"/>
        <w:ind w:firstLine="640" w:firstLineChars="200"/>
        <w:textAlignment w:val="auto"/>
        <w:rPr>
          <w:b w:val="0"/>
          <w:spacing w:val="0"/>
        </w:rPr>
      </w:pPr>
      <w:r>
        <w:rPr>
          <w:rStyle w:val="21"/>
          <w:rFonts w:hint="eastAsia" w:ascii="仿宋_GB2312" w:hAnsi="仿宋_GB2312" w:eastAsia="仿宋_GB2312" w:cs="仿宋_GB2312"/>
          <w:spacing w:val="0"/>
          <w:lang w:val="en-US" w:eastAsia="zh-CN"/>
        </w:rPr>
        <w:t>2</w:t>
      </w:r>
      <w:r>
        <w:rPr>
          <w:rStyle w:val="21"/>
          <w:rFonts w:hint="eastAsia"/>
          <w:spacing w:val="0"/>
          <w:lang w:val="en-US" w:eastAsia="zh-CN"/>
        </w:rPr>
        <w:t>.</w:t>
      </w:r>
      <w:r>
        <w:rPr>
          <w:rStyle w:val="21"/>
          <w:spacing w:val="0"/>
        </w:rPr>
        <w:t>坚持勤俭节约，优化资源配置</w:t>
      </w:r>
      <w:r>
        <w:rPr>
          <w:spacing w:val="0"/>
        </w:rPr>
        <w:t>。牢固树立长期过紧日子思想，从严从紧编制预算。严格控制一般性支出，持续压减非急需、非刚性支出，建立健全节约型财政保障机制。支出安排突出轻重缓急，优先足额保障“三保”支出，聚焦支持关键领域和重大项目建设，确保有限资金用在发展紧要处、民生急需上。</w:t>
      </w:r>
    </w:p>
    <w:p>
      <w:pPr>
        <w:pStyle w:val="2"/>
        <w:pageBreakBefore w:val="0"/>
        <w:widowControl/>
        <w:numPr>
          <w:ilvl w:val="0"/>
          <w:numId w:val="0"/>
        </w:numPr>
        <w:kinsoku/>
        <w:wordWrap/>
        <w:overflowPunct w:val="0"/>
        <w:topLinePunct w:val="0"/>
        <w:autoSpaceDE/>
        <w:autoSpaceDN/>
        <w:bidi w:val="0"/>
        <w:spacing w:line="560" w:lineRule="exact"/>
        <w:ind w:firstLine="640" w:firstLineChars="200"/>
        <w:textAlignment w:val="auto"/>
        <w:rPr>
          <w:b w:val="0"/>
          <w:spacing w:val="0"/>
        </w:rPr>
      </w:pPr>
      <w:r>
        <w:rPr>
          <w:rStyle w:val="21"/>
          <w:rFonts w:hint="eastAsia" w:ascii="仿宋_GB2312" w:hAnsi="仿宋_GB2312" w:eastAsia="仿宋_GB2312" w:cs="仿宋_GB2312"/>
          <w:spacing w:val="0"/>
          <w:lang w:val="en-US" w:eastAsia="zh-CN"/>
        </w:rPr>
        <w:t>3</w:t>
      </w:r>
      <w:r>
        <w:rPr>
          <w:rStyle w:val="21"/>
          <w:rFonts w:hint="eastAsia"/>
          <w:spacing w:val="0"/>
          <w:lang w:val="en-US" w:eastAsia="zh-CN"/>
        </w:rPr>
        <w:t>.</w:t>
      </w:r>
      <w:r>
        <w:rPr>
          <w:rStyle w:val="21"/>
          <w:spacing w:val="0"/>
        </w:rPr>
        <w:t>坚持安全底线，防控运行风险</w:t>
      </w:r>
      <w:r>
        <w:rPr>
          <w:spacing w:val="0"/>
        </w:rPr>
        <w:t>。增强忧患意识，统筹发展与安全。</w:t>
      </w:r>
      <w:r>
        <w:rPr>
          <w:rFonts w:hint="eastAsia"/>
          <w:spacing w:val="0"/>
          <w:lang w:eastAsia="zh-CN"/>
        </w:rPr>
        <w:t>将政府法定债务还本付息资金纳入预算足额保障，坚决遏制隐性债务增量，稳妥有序化解隐性债务存量</w:t>
      </w:r>
      <w:r>
        <w:rPr>
          <w:spacing w:val="0"/>
        </w:rPr>
        <w:t>，健全规范、安全、高效的政府举债融资机制，牢牢守住不发生系统性风险的底线，确保财政长期稳健运行。</w:t>
      </w:r>
    </w:p>
    <w:p>
      <w:pPr>
        <w:pStyle w:val="2"/>
        <w:pageBreakBefore w:val="0"/>
        <w:widowControl/>
        <w:numPr>
          <w:ilvl w:val="0"/>
          <w:numId w:val="0"/>
        </w:numPr>
        <w:kinsoku/>
        <w:wordWrap/>
        <w:overflowPunct w:val="0"/>
        <w:topLinePunct w:val="0"/>
        <w:autoSpaceDE/>
        <w:autoSpaceDN/>
        <w:bidi w:val="0"/>
        <w:spacing w:line="560" w:lineRule="exact"/>
        <w:ind w:firstLine="640" w:firstLineChars="200"/>
        <w:textAlignment w:val="auto"/>
        <w:rPr>
          <w:b w:val="0"/>
          <w:color w:val="auto"/>
          <w:spacing w:val="0"/>
        </w:rPr>
      </w:pPr>
      <w:r>
        <w:rPr>
          <w:rStyle w:val="21"/>
          <w:rFonts w:hint="eastAsia" w:ascii="仿宋_GB2312" w:hAnsi="仿宋_GB2312" w:eastAsia="仿宋_GB2312" w:cs="仿宋_GB2312"/>
          <w:spacing w:val="0"/>
          <w:lang w:val="en-US" w:eastAsia="zh-CN"/>
        </w:rPr>
        <w:t>4</w:t>
      </w:r>
      <w:r>
        <w:rPr>
          <w:rStyle w:val="21"/>
          <w:rFonts w:hint="eastAsia"/>
          <w:spacing w:val="0"/>
          <w:lang w:val="en-US" w:eastAsia="zh-CN"/>
        </w:rPr>
        <w:t>.</w:t>
      </w:r>
      <w:r>
        <w:rPr>
          <w:rStyle w:val="21"/>
          <w:spacing w:val="0"/>
        </w:rPr>
        <w:t>坚持效能优先，深化管理改革</w:t>
      </w:r>
      <w:r>
        <w:rPr>
          <w:spacing w:val="0"/>
        </w:rPr>
        <w:t>。全面实施预算绩效管理，推动绩效理念和方法深度融入预算编制、执行、监督各环节。强化绩效目标引领，加强过程监控与评价，</w:t>
      </w:r>
      <w:r>
        <w:rPr>
          <w:rFonts w:hint="eastAsia"/>
          <w:spacing w:val="0"/>
          <w:lang w:eastAsia="zh-CN"/>
        </w:rPr>
        <w:t>进一步完善</w:t>
      </w:r>
      <w:r>
        <w:rPr>
          <w:spacing w:val="0"/>
        </w:rPr>
        <w:t>绩效结果与预算安排、政策调整的挂钩机制，着力提升财政资金的配置效率和使用效益，推动建立现代财政管理制度。</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eastAsia" w:ascii="楷体_GB2312" w:hAnsi="楷体_GB2312" w:eastAsia="楷体_GB2312" w:cs="楷体_GB2312"/>
          <w:b w:val="0"/>
          <w:bCs w:val="0"/>
          <w:color w:val="000000" w:themeColor="text1"/>
          <w:spacing w:val="0"/>
          <w:sz w:val="32"/>
          <w:szCs w:val="32"/>
          <w:highlight w:val="none"/>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pacing w:val="0"/>
          <w:sz w:val="32"/>
          <w:szCs w:val="32"/>
          <w:highlight w:val="none"/>
          <w:lang w:val="en-US" w:eastAsia="zh-CN"/>
          <w14:textFill>
            <w14:solidFill>
              <w14:schemeClr w14:val="tx1"/>
            </w14:solidFill>
          </w14:textFill>
        </w:rPr>
        <w:t>（二）</w:t>
      </w: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2026</w:t>
      </w:r>
      <w:r>
        <w:rPr>
          <w:rFonts w:hint="eastAsia" w:ascii="楷体_GB2312" w:hAnsi="楷体_GB2312" w:eastAsia="楷体_GB2312" w:cs="楷体_GB2312"/>
          <w:b w:val="0"/>
          <w:bCs w:val="0"/>
          <w:color w:val="000000" w:themeColor="text1"/>
          <w:spacing w:val="0"/>
          <w:sz w:val="32"/>
          <w:szCs w:val="32"/>
          <w:highlight w:val="none"/>
          <w:lang w:val="en-US" w:eastAsia="zh-CN"/>
          <w14:textFill>
            <w14:solidFill>
              <w14:schemeClr w14:val="tx1"/>
            </w14:solidFill>
          </w14:textFill>
        </w:rPr>
        <w:t>年收支预算安排情况</w:t>
      </w:r>
    </w:p>
    <w:p>
      <w:pPr>
        <w:keepNext w:val="0"/>
        <w:keepLines w:val="0"/>
        <w:pageBreakBefore w:val="0"/>
        <w:widowControl w:val="0"/>
        <w:kinsoku/>
        <w:wordWrap w:val="0"/>
        <w:overflowPunct w:val="0"/>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000000" w:themeColor="text1"/>
          <w:spacing w:val="0"/>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0"/>
          <w:sz w:val="32"/>
          <w:szCs w:val="32"/>
          <w:highlight w:val="none"/>
          <w:shd w:val="clear" w:color="auto" w:fill="auto"/>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pacing w:val="0"/>
          <w:sz w:val="32"/>
          <w:szCs w:val="32"/>
          <w:highlight w:val="none"/>
          <w:shd w:val="clear" w:color="auto" w:fill="auto"/>
          <w:lang w:val="en-US" w:eastAsia="zh-CN"/>
          <w14:textFill>
            <w14:solidFill>
              <w14:schemeClr w14:val="tx1"/>
            </w14:solidFill>
          </w14:textFill>
        </w:rPr>
        <w:t>.一般公共预算</w:t>
      </w:r>
    </w:p>
    <w:p>
      <w:pPr>
        <w:keepNext w:val="0"/>
        <w:keepLines w:val="0"/>
        <w:pageBreakBefore w:val="0"/>
        <w:widowControl w:val="0"/>
        <w:kinsoku/>
        <w:wordWrap w:val="0"/>
        <w:overflowPunct w:val="0"/>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pP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全县一般公共预算收入安排为</w:t>
      </w: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76700</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万元，增长</w:t>
      </w: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4</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%，其中：税收收入</w:t>
      </w:r>
      <w:r>
        <w:rPr>
          <w:rFonts w:hint="eastAsia" w:cs="仿宋_GB2312"/>
          <w:b w:val="0"/>
          <w:bCs w:val="0"/>
          <w:color w:val="000000" w:themeColor="text1"/>
          <w:spacing w:val="0"/>
          <w:sz w:val="32"/>
          <w:szCs w:val="32"/>
          <w:highlight w:val="none"/>
          <w:lang w:val="en-US" w:eastAsia="zh-CN"/>
          <w14:textFill>
            <w14:solidFill>
              <w14:schemeClr w14:val="tx1"/>
            </w14:solidFill>
          </w14:textFill>
        </w:rPr>
        <w:t>33700</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万元，非税收入</w:t>
      </w:r>
      <w:r>
        <w:rPr>
          <w:rFonts w:hint="eastAsia" w:cs="仿宋_GB2312"/>
          <w:b w:val="0"/>
          <w:bCs w:val="0"/>
          <w:color w:val="000000" w:themeColor="text1"/>
          <w:spacing w:val="0"/>
          <w:sz w:val="32"/>
          <w:szCs w:val="32"/>
          <w:highlight w:val="none"/>
          <w:lang w:val="en-US" w:eastAsia="zh-CN"/>
          <w14:textFill>
            <w14:solidFill>
              <w14:schemeClr w14:val="tx1"/>
            </w14:solidFill>
          </w14:textFill>
        </w:rPr>
        <w:t>43000</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万元。加上上级补助收入、上年结转收入、</w:t>
      </w: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政府</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一般债</w:t>
      </w: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务</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转贷收入、调入资金等</w:t>
      </w:r>
      <w:r>
        <w:rPr>
          <w:rFonts w:hint="eastAsia" w:cs="仿宋_GB2312"/>
          <w:b w:val="0"/>
          <w:bCs w:val="0"/>
          <w:color w:val="000000" w:themeColor="text1"/>
          <w:spacing w:val="0"/>
          <w:sz w:val="32"/>
          <w:szCs w:val="32"/>
          <w:highlight w:val="none"/>
          <w:lang w:val="en-US" w:eastAsia="zh-CN"/>
          <w14:textFill>
            <w14:solidFill>
              <w14:schemeClr w14:val="tx1"/>
            </w14:solidFill>
          </w14:textFill>
        </w:rPr>
        <w:t>223424</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万元，收入总量为</w:t>
      </w:r>
      <w:r>
        <w:rPr>
          <w:rFonts w:hint="eastAsia" w:cs="仿宋_GB2312"/>
          <w:b w:val="0"/>
          <w:bCs w:val="0"/>
          <w:color w:val="000000" w:themeColor="text1"/>
          <w:spacing w:val="0"/>
          <w:sz w:val="32"/>
          <w:szCs w:val="32"/>
          <w:highlight w:val="none"/>
          <w:lang w:val="en-US" w:eastAsia="zh-CN"/>
          <w14:textFill>
            <w14:solidFill>
              <w14:schemeClr w14:val="tx1"/>
            </w14:solidFill>
          </w14:textFill>
        </w:rPr>
        <w:t>300124</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万元。</w:t>
      </w:r>
    </w:p>
    <w:p>
      <w:pPr>
        <w:keepNext w:val="0"/>
        <w:keepLines w:val="0"/>
        <w:pageBreakBefore w:val="0"/>
        <w:widowControl w:val="0"/>
        <w:kinsoku/>
        <w:wordWrap w:val="0"/>
        <w:overflowPunct w:val="0"/>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按照以收定支和收支平衡的原则，</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全县一般公共预算支出</w:t>
      </w: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拟安排</w:t>
      </w:r>
      <w:r>
        <w:rPr>
          <w:rFonts w:hint="eastAsia" w:cs="仿宋_GB2312"/>
          <w:b w:val="0"/>
          <w:bCs w:val="0"/>
          <w:color w:val="000000" w:themeColor="text1"/>
          <w:spacing w:val="0"/>
          <w:sz w:val="32"/>
          <w:szCs w:val="32"/>
          <w:highlight w:val="none"/>
          <w:lang w:val="en-US" w:eastAsia="zh-CN"/>
          <w14:textFill>
            <w14:solidFill>
              <w14:schemeClr w14:val="tx1"/>
            </w14:solidFill>
          </w14:textFill>
        </w:rPr>
        <w:t>254808</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万元，加上上解支出和政府一般债务还本等支出</w:t>
      </w: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45316</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万元后，支出总量为</w:t>
      </w:r>
      <w:r>
        <w:rPr>
          <w:rFonts w:hint="eastAsia" w:cs="仿宋_GB2312"/>
          <w:b w:val="0"/>
          <w:bCs w:val="0"/>
          <w:color w:val="000000" w:themeColor="text1"/>
          <w:spacing w:val="0"/>
          <w:sz w:val="32"/>
          <w:szCs w:val="32"/>
          <w:highlight w:val="none"/>
          <w:lang w:val="en-US" w:eastAsia="zh-CN"/>
          <w14:textFill>
            <w14:solidFill>
              <w14:schemeClr w14:val="tx1"/>
            </w14:solidFill>
          </w14:textFill>
        </w:rPr>
        <w:t>300124</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万元。</w:t>
      </w:r>
    </w:p>
    <w:p>
      <w:pPr>
        <w:keepNext w:val="0"/>
        <w:keepLines w:val="0"/>
        <w:pageBreakBefore w:val="0"/>
        <w:widowControl w:val="0"/>
        <w:kinsoku/>
        <w:wordWrap w:val="0"/>
        <w:overflowPunct w:val="0"/>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000000" w:themeColor="text1"/>
          <w:spacing w:val="0"/>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0"/>
          <w:sz w:val="32"/>
          <w:szCs w:val="32"/>
          <w:highlight w:val="none"/>
          <w:shd w:val="clear" w:color="auto" w:fill="auto"/>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pacing w:val="0"/>
          <w:sz w:val="32"/>
          <w:szCs w:val="32"/>
          <w:highlight w:val="none"/>
          <w:shd w:val="clear" w:color="auto" w:fill="auto"/>
          <w:lang w:val="en-US" w:eastAsia="zh-CN"/>
          <w14:textFill>
            <w14:solidFill>
              <w14:schemeClr w14:val="tx1"/>
            </w14:solidFill>
          </w14:textFill>
        </w:rPr>
        <w:t>.政府性基金预算</w:t>
      </w:r>
    </w:p>
    <w:p>
      <w:pPr>
        <w:keepNext w:val="0"/>
        <w:keepLines w:val="0"/>
        <w:pageBreakBefore w:val="0"/>
        <w:widowControl w:val="0"/>
        <w:kinsoku/>
        <w:wordWrap w:val="0"/>
        <w:overflowPunct w:val="0"/>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pP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全县政府性基金预算收入</w:t>
      </w: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安排</w:t>
      </w:r>
      <w:r>
        <w:rPr>
          <w:rFonts w:hint="eastAsia" w:cs="仿宋_GB2312"/>
          <w:b w:val="0"/>
          <w:bCs w:val="0"/>
          <w:color w:val="000000" w:themeColor="text1"/>
          <w:spacing w:val="0"/>
          <w:sz w:val="32"/>
          <w:szCs w:val="32"/>
          <w:highlight w:val="none"/>
          <w:lang w:val="en-US" w:eastAsia="zh-CN"/>
          <w14:textFill>
            <w14:solidFill>
              <w14:schemeClr w14:val="tx1"/>
            </w14:solidFill>
          </w14:textFill>
        </w:rPr>
        <w:t>78000</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万元，加上</w:t>
      </w: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上级补助收入、</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专项债务转贷收入、上年结转收入等</w:t>
      </w:r>
      <w:r>
        <w:rPr>
          <w:rFonts w:hint="eastAsia" w:cs="仿宋_GB2312"/>
          <w:b w:val="0"/>
          <w:bCs w:val="0"/>
          <w:color w:val="000000" w:themeColor="text1"/>
          <w:spacing w:val="0"/>
          <w:sz w:val="32"/>
          <w:szCs w:val="32"/>
          <w:highlight w:val="none"/>
          <w:lang w:val="en-US" w:eastAsia="zh-CN"/>
          <w14:textFill>
            <w14:solidFill>
              <w14:schemeClr w14:val="tx1"/>
            </w14:solidFill>
          </w14:textFill>
        </w:rPr>
        <w:t>36688</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万元，收入总量</w:t>
      </w:r>
      <w:r>
        <w:rPr>
          <w:rFonts w:hint="eastAsia" w:cs="仿宋_GB2312"/>
          <w:b w:val="0"/>
          <w:bCs w:val="0"/>
          <w:color w:val="000000" w:themeColor="text1"/>
          <w:spacing w:val="0"/>
          <w:sz w:val="32"/>
          <w:szCs w:val="32"/>
          <w:highlight w:val="none"/>
          <w:lang w:val="en-US" w:eastAsia="zh-CN"/>
          <w14:textFill>
            <w14:solidFill>
              <w14:schemeClr w14:val="tx1"/>
            </w14:solidFill>
          </w14:textFill>
        </w:rPr>
        <w:t>114688</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万元。</w:t>
      </w:r>
    </w:p>
    <w:p>
      <w:pPr>
        <w:keepNext w:val="0"/>
        <w:keepLines w:val="0"/>
        <w:pageBreakBefore w:val="0"/>
        <w:widowControl w:val="0"/>
        <w:kinsoku/>
        <w:wordWrap w:val="0"/>
        <w:overflowPunct w:val="0"/>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pP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按照以收定支和收支平衡的原则，全县政府性基金预算支出</w:t>
      </w: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拟</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安排</w:t>
      </w:r>
      <w:r>
        <w:rPr>
          <w:rFonts w:hint="eastAsia" w:cs="仿宋_GB2312"/>
          <w:b w:val="0"/>
          <w:bCs w:val="0"/>
          <w:color w:val="000000" w:themeColor="text1"/>
          <w:spacing w:val="0"/>
          <w:sz w:val="32"/>
          <w:szCs w:val="32"/>
          <w:highlight w:val="none"/>
          <w:lang w:val="en-US" w:eastAsia="zh-CN"/>
          <w14:textFill>
            <w14:solidFill>
              <w14:schemeClr w14:val="tx1"/>
            </w14:solidFill>
          </w14:textFill>
        </w:rPr>
        <w:t>97236</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万元</w:t>
      </w: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，加上</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上解</w:t>
      </w: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上级</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支出、专项债务还本和调出资金</w:t>
      </w: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1</w:t>
      </w:r>
      <w:r>
        <w:rPr>
          <w:rFonts w:hint="eastAsia" w:cs="仿宋_GB2312"/>
          <w:b w:val="0"/>
          <w:bCs w:val="0"/>
          <w:color w:val="000000" w:themeColor="text1"/>
          <w:spacing w:val="0"/>
          <w:sz w:val="32"/>
          <w:szCs w:val="32"/>
          <w:highlight w:val="none"/>
          <w:lang w:val="en-US" w:eastAsia="zh-CN"/>
          <w14:textFill>
            <w14:solidFill>
              <w14:schemeClr w14:val="tx1"/>
            </w14:solidFill>
          </w14:textFill>
        </w:rPr>
        <w:t>7</w:t>
      </w: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452万元后，支出总量</w:t>
      </w:r>
      <w:r>
        <w:rPr>
          <w:rFonts w:hint="eastAsia" w:cs="仿宋_GB2312"/>
          <w:b w:val="0"/>
          <w:bCs w:val="0"/>
          <w:color w:val="000000" w:themeColor="text1"/>
          <w:spacing w:val="0"/>
          <w:sz w:val="32"/>
          <w:szCs w:val="32"/>
          <w:highlight w:val="none"/>
          <w:lang w:val="en-US" w:eastAsia="zh-CN"/>
          <w14:textFill>
            <w14:solidFill>
              <w14:schemeClr w14:val="tx1"/>
            </w14:solidFill>
          </w14:textFill>
        </w:rPr>
        <w:t>114688</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万元。</w:t>
      </w:r>
    </w:p>
    <w:p>
      <w:pPr>
        <w:keepNext w:val="0"/>
        <w:keepLines w:val="0"/>
        <w:pageBreakBefore w:val="0"/>
        <w:widowControl w:val="0"/>
        <w:kinsoku/>
        <w:wordWrap w:val="0"/>
        <w:overflowPunct w:val="0"/>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3</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.国有资本经营预算</w:t>
      </w:r>
    </w:p>
    <w:p>
      <w:pPr>
        <w:keepNext w:val="0"/>
        <w:keepLines w:val="0"/>
        <w:pageBreakBefore w:val="0"/>
        <w:widowControl w:val="0"/>
        <w:kinsoku/>
        <w:wordWrap w:val="0"/>
        <w:overflowPunct w:val="0"/>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pP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全县国有资本经营预算收入</w:t>
      </w: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安排2000</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万元，加上上年结余</w:t>
      </w: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、上级补助收入等8</w:t>
      </w:r>
      <w:r>
        <w:rPr>
          <w:rFonts w:hint="eastAsia" w:cs="仿宋_GB2312"/>
          <w:b w:val="0"/>
          <w:bCs w:val="0"/>
          <w:color w:val="000000" w:themeColor="text1"/>
          <w:spacing w:val="0"/>
          <w:sz w:val="32"/>
          <w:szCs w:val="32"/>
          <w:highlight w:val="none"/>
          <w:lang w:val="en-US" w:eastAsia="zh-CN"/>
          <w14:textFill>
            <w14:solidFill>
              <w14:schemeClr w14:val="tx1"/>
            </w14:solidFill>
          </w14:textFill>
        </w:rPr>
        <w:t>9</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万元，收入总量为</w:t>
      </w: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208</w:t>
      </w:r>
      <w:r>
        <w:rPr>
          <w:rFonts w:hint="eastAsia" w:cs="仿宋_GB2312"/>
          <w:b w:val="0"/>
          <w:bCs w:val="0"/>
          <w:color w:val="000000" w:themeColor="text1"/>
          <w:spacing w:val="0"/>
          <w:sz w:val="32"/>
          <w:szCs w:val="32"/>
          <w:highlight w:val="none"/>
          <w:lang w:val="en-US" w:eastAsia="zh-CN"/>
          <w14:textFill>
            <w14:solidFill>
              <w14:schemeClr w14:val="tx1"/>
            </w14:solidFill>
          </w14:textFill>
        </w:rPr>
        <w:t>9</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万元。</w:t>
      </w:r>
    </w:p>
    <w:p>
      <w:pPr>
        <w:keepNext w:val="0"/>
        <w:keepLines w:val="0"/>
        <w:pageBreakBefore w:val="0"/>
        <w:widowControl w:val="0"/>
        <w:kinsoku/>
        <w:wordWrap w:val="0"/>
        <w:overflowPunct w:val="0"/>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pP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按照收支平衡原则，扣除调出资金</w:t>
      </w: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600万元</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后，全县国有资本经营预算支出</w:t>
      </w: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拟</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安排</w:t>
      </w: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1485</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万元。</w:t>
      </w:r>
    </w:p>
    <w:p>
      <w:pPr>
        <w:keepNext w:val="0"/>
        <w:keepLines w:val="0"/>
        <w:pageBreakBefore w:val="0"/>
        <w:widowControl w:val="0"/>
        <w:kinsoku/>
        <w:wordWrap w:val="0"/>
        <w:overflowPunct w:val="0"/>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4</w:t>
      </w:r>
      <w:r>
        <w:rPr>
          <w:rFonts w:hint="default"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.支出预算主要安排情况</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b w:val="0"/>
          <w:bC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0"/>
          <w:sz w:val="32"/>
          <w:szCs w:val="32"/>
          <w:lang w:val="en-US" w:eastAsia="zh-CN"/>
          <w14:textFill>
            <w14:solidFill>
              <w14:schemeClr w14:val="tx1"/>
            </w14:solidFill>
          </w14:textFill>
        </w:rPr>
        <w:t>2026</w:t>
      </w:r>
      <w:r>
        <w:rPr>
          <w:rFonts w:hint="default" w:ascii="仿宋_GB2312" w:hAnsi="仿宋_GB2312" w:eastAsia="仿宋_GB2312" w:cs="仿宋_GB2312"/>
          <w:b w:val="0"/>
          <w:bCs w:val="0"/>
          <w:color w:val="000000" w:themeColor="text1"/>
          <w:spacing w:val="0"/>
          <w:sz w:val="32"/>
          <w:szCs w:val="32"/>
          <w:lang w:val="en-US" w:eastAsia="zh-CN"/>
          <w14:textFill>
            <w14:solidFill>
              <w14:schemeClr w14:val="tx1"/>
            </w14:solidFill>
          </w14:textFill>
        </w:rPr>
        <w:t>年，支出预算安排将严格遵循以下原则：一是强化政治引领与战略支撑，将保障中央、省、市及县委、县政府重大决策部署的落实作为预算安排的核心，集中财力确保全县重大战略任务和重点目标实现；二是围绕发展新质生产力与产业升级，精准支持关键产业链培育、重点区域发展及重大项目实施，推动县域经济实现质的有效提升和量的合理增长；三是持续深化节约型财政建设，从严控制行政运行成本，确保“三</w:t>
      </w:r>
      <w:r>
        <w:rPr>
          <w:rFonts w:hint="eastAsia" w:cs="仿宋_GB2312"/>
          <w:b w:val="0"/>
          <w:bCs w:val="0"/>
          <w:color w:val="000000" w:themeColor="text1"/>
          <w:spacing w:val="0"/>
          <w:sz w:val="32"/>
          <w:szCs w:val="32"/>
          <w:lang w:val="en-US" w:eastAsia="zh-CN"/>
          <w14:textFill>
            <w14:solidFill>
              <w14:schemeClr w14:val="tx1"/>
            </w14:solidFill>
          </w14:textFill>
        </w:rPr>
        <w:t>公</w:t>
      </w:r>
      <w:r>
        <w:rPr>
          <w:rFonts w:hint="default" w:ascii="仿宋_GB2312" w:hAnsi="仿宋_GB2312" w:eastAsia="仿宋_GB2312" w:cs="仿宋_GB2312"/>
          <w:b w:val="0"/>
          <w:bCs w:val="0"/>
          <w:color w:val="000000" w:themeColor="text1"/>
          <w:spacing w:val="0"/>
          <w:sz w:val="32"/>
          <w:szCs w:val="32"/>
          <w:lang w:val="en-US" w:eastAsia="zh-CN"/>
          <w14:textFill>
            <w14:solidFill>
              <w14:schemeClr w14:val="tx1"/>
            </w14:solidFill>
          </w14:textFill>
        </w:rPr>
        <w:t>”经费及一般性支出持续压减，进一步规范课题经费、活动经费等管理，强化编外人员规模与支出管控，推动政府运行成本持续下降；四是全面强化绩效导向与结果运用，健全以绩效为核心的资源配置机制，将各类督查审计、绩效评价发现的问题作为预算安排的重要依据，对低效、无效资金坚决予以调整或取消，倒逼各部门提升财政资金使用效益和管理水平。</w:t>
      </w:r>
    </w:p>
    <w:p>
      <w:pPr>
        <w:keepNext w:val="0"/>
        <w:keepLines w:val="0"/>
        <w:pageBreakBefore w:val="0"/>
        <w:widowControl/>
        <w:numPr>
          <w:ilvl w:val="0"/>
          <w:numId w:val="0"/>
        </w:numPr>
        <w:kinsoku/>
        <w:wordWrap/>
        <w:overflowPunct w:val="0"/>
        <w:topLinePunct w:val="0"/>
        <w:autoSpaceDE w:val="0"/>
        <w:autoSpaceDN w:val="0"/>
        <w:bidi w:val="0"/>
        <w:adjustRightInd w:val="0"/>
        <w:snapToGrid w:val="0"/>
        <w:spacing w:beforeAutospacing="0" w:afterAutospacing="0" w:line="560" w:lineRule="exact"/>
        <w:ind w:firstLine="640" w:firstLineChars="200"/>
        <w:jc w:val="both"/>
        <w:textAlignment w:val="baseline"/>
        <w:rPr>
          <w:rFonts w:hint="eastAsia" w:ascii="仿宋_GB2312" w:hAnsi="仿宋_GB2312" w:eastAsia="仿宋_GB2312" w:cs="仿宋_GB2312"/>
          <w:b w:val="0"/>
          <w:bCs w:val="0"/>
          <w:spacing w:val="0"/>
          <w:sz w:val="32"/>
          <w:szCs w:val="32"/>
          <w:lang w:val="en-US" w:eastAsia="zh-CN"/>
        </w:rPr>
      </w:pPr>
      <w:r>
        <w:rPr>
          <w:rFonts w:hint="eastAsia" w:ascii="仿宋_GB2312" w:hAnsi="仿宋_GB2312" w:eastAsia="仿宋_GB2312" w:cs="仿宋_GB2312"/>
          <w:b w:val="0"/>
          <w:bCs w:val="0"/>
          <w:spacing w:val="0"/>
          <w:sz w:val="32"/>
          <w:szCs w:val="32"/>
          <w:lang w:val="en-US" w:eastAsia="zh-CN"/>
        </w:rPr>
        <w:t>教育发展方面</w:t>
      </w:r>
      <w:r>
        <w:rPr>
          <w:rFonts w:hint="eastAsia" w:cs="仿宋_GB2312"/>
          <w:b w:val="0"/>
          <w:bCs w:val="0"/>
          <w:spacing w:val="0"/>
          <w:sz w:val="32"/>
          <w:szCs w:val="32"/>
          <w:lang w:val="en-US" w:eastAsia="zh-CN"/>
        </w:rPr>
        <w:t>拟</w:t>
      </w:r>
      <w:r>
        <w:rPr>
          <w:rFonts w:hint="eastAsia" w:ascii="仿宋_GB2312" w:hAnsi="仿宋_GB2312" w:eastAsia="仿宋_GB2312" w:cs="仿宋_GB2312"/>
          <w:b w:val="0"/>
          <w:bCs w:val="0"/>
          <w:spacing w:val="0"/>
          <w:sz w:val="32"/>
          <w:szCs w:val="32"/>
          <w:lang w:val="en-US" w:eastAsia="zh-CN"/>
        </w:rPr>
        <w:t>安排资金</w:t>
      </w:r>
      <w:r>
        <w:rPr>
          <w:rFonts w:hint="eastAsia" w:cs="仿宋_GB2312"/>
          <w:b w:val="0"/>
          <w:bCs w:val="0"/>
          <w:spacing w:val="0"/>
          <w:sz w:val="32"/>
          <w:szCs w:val="32"/>
          <w:lang w:val="en-US" w:eastAsia="zh-CN"/>
        </w:rPr>
        <w:t>60645</w:t>
      </w:r>
      <w:r>
        <w:rPr>
          <w:rFonts w:hint="eastAsia" w:ascii="仿宋_GB2312" w:hAnsi="仿宋_GB2312" w:eastAsia="仿宋_GB2312" w:cs="仿宋_GB2312"/>
          <w:b w:val="0"/>
          <w:bCs w:val="0"/>
          <w:spacing w:val="0"/>
          <w:sz w:val="32"/>
          <w:szCs w:val="32"/>
          <w:lang w:val="en-US" w:eastAsia="zh-CN"/>
        </w:rPr>
        <w:t>万元，占一般公共预算支出的</w:t>
      </w:r>
      <w:r>
        <w:rPr>
          <w:rFonts w:hint="eastAsia" w:cs="仿宋_GB2312"/>
          <w:b w:val="0"/>
          <w:bCs w:val="0"/>
          <w:spacing w:val="0"/>
          <w:sz w:val="32"/>
          <w:szCs w:val="32"/>
          <w:lang w:val="en-US" w:eastAsia="zh-CN"/>
        </w:rPr>
        <w:t>23.8</w:t>
      </w:r>
      <w:r>
        <w:rPr>
          <w:rFonts w:hint="eastAsia" w:ascii="仿宋_GB2312" w:hAnsi="仿宋_GB2312" w:eastAsia="仿宋_GB2312" w:cs="仿宋_GB2312"/>
          <w:b w:val="0"/>
          <w:bCs w:val="0"/>
          <w:spacing w:val="0"/>
          <w:sz w:val="32"/>
          <w:szCs w:val="32"/>
          <w:lang w:val="en-US" w:eastAsia="zh-CN"/>
        </w:rPr>
        <w:t>%。主要用于推动学前教育普及普惠、义务教育优质均衡；支持职业教育、特色专业加快做大做强。实施新时代立德树人工作，促进五育融合发展，落实教育支出“两个只增不减”。</w:t>
      </w:r>
    </w:p>
    <w:p>
      <w:pPr>
        <w:keepNext w:val="0"/>
        <w:keepLines w:val="0"/>
        <w:pageBreakBefore w:val="0"/>
        <w:widowControl/>
        <w:numPr>
          <w:ilvl w:val="0"/>
          <w:numId w:val="0"/>
        </w:numPr>
        <w:kinsoku/>
        <w:wordWrap/>
        <w:overflowPunct w:val="0"/>
        <w:topLinePunct w:val="0"/>
        <w:autoSpaceDE w:val="0"/>
        <w:autoSpaceDN w:val="0"/>
        <w:bidi w:val="0"/>
        <w:adjustRightInd w:val="0"/>
        <w:snapToGrid w:val="0"/>
        <w:spacing w:beforeAutospacing="0" w:afterAutospacing="0" w:line="560" w:lineRule="exact"/>
        <w:ind w:firstLine="640" w:firstLineChars="200"/>
        <w:jc w:val="both"/>
        <w:textAlignment w:val="baseline"/>
        <w:rPr>
          <w:rFonts w:hint="default" w:ascii="仿宋_GB2312" w:hAnsi="仿宋_GB2312" w:eastAsia="仿宋_GB2312" w:cs="仿宋_GB2312"/>
          <w:b w:val="0"/>
          <w:bCs w:val="0"/>
          <w:spacing w:val="0"/>
          <w:sz w:val="32"/>
          <w:szCs w:val="32"/>
          <w:lang w:val="en-US" w:eastAsia="zh-CN"/>
        </w:rPr>
      </w:pPr>
      <w:r>
        <w:rPr>
          <w:rFonts w:hint="eastAsia" w:ascii="仿宋_GB2312" w:hAnsi="仿宋_GB2312" w:eastAsia="仿宋_GB2312" w:cs="仿宋_GB2312"/>
          <w:b w:val="0"/>
          <w:bCs w:val="0"/>
          <w:spacing w:val="0"/>
          <w:sz w:val="32"/>
          <w:szCs w:val="32"/>
          <w:lang w:val="en-US" w:eastAsia="zh-CN"/>
        </w:rPr>
        <w:t>文化旅游体育事业发展方面</w:t>
      </w:r>
      <w:r>
        <w:rPr>
          <w:rFonts w:hint="eastAsia" w:cs="仿宋_GB2312"/>
          <w:b w:val="0"/>
          <w:bCs w:val="0"/>
          <w:spacing w:val="0"/>
          <w:sz w:val="32"/>
          <w:szCs w:val="32"/>
          <w:lang w:val="en-US" w:eastAsia="zh-CN"/>
        </w:rPr>
        <w:t>拟</w:t>
      </w:r>
      <w:r>
        <w:rPr>
          <w:rFonts w:hint="eastAsia" w:ascii="仿宋_GB2312" w:hAnsi="仿宋_GB2312" w:eastAsia="仿宋_GB2312" w:cs="仿宋_GB2312"/>
          <w:b w:val="0"/>
          <w:bCs w:val="0"/>
          <w:spacing w:val="0"/>
          <w:sz w:val="32"/>
          <w:szCs w:val="32"/>
          <w:lang w:val="en-US" w:eastAsia="zh-CN"/>
        </w:rPr>
        <w:t>安排资金</w:t>
      </w:r>
      <w:r>
        <w:rPr>
          <w:rFonts w:hint="eastAsia" w:cs="仿宋_GB2312"/>
          <w:b w:val="0"/>
          <w:bCs w:val="0"/>
          <w:spacing w:val="0"/>
          <w:sz w:val="32"/>
          <w:szCs w:val="32"/>
          <w:lang w:val="en-US" w:eastAsia="zh-CN"/>
        </w:rPr>
        <w:t>7851</w:t>
      </w:r>
      <w:r>
        <w:rPr>
          <w:rFonts w:hint="eastAsia" w:ascii="仿宋_GB2312" w:hAnsi="仿宋_GB2312" w:eastAsia="仿宋_GB2312" w:cs="仿宋_GB2312"/>
          <w:b w:val="0"/>
          <w:bCs w:val="0"/>
          <w:spacing w:val="0"/>
          <w:sz w:val="32"/>
          <w:szCs w:val="32"/>
          <w:lang w:val="en-US" w:eastAsia="zh-CN"/>
        </w:rPr>
        <w:t>万元，占一般公共预算支出的</w:t>
      </w:r>
      <w:r>
        <w:rPr>
          <w:rFonts w:hint="eastAsia" w:cs="仿宋_GB2312"/>
          <w:b w:val="0"/>
          <w:bCs w:val="0"/>
          <w:spacing w:val="0"/>
          <w:sz w:val="32"/>
          <w:szCs w:val="32"/>
          <w:lang w:val="en-US" w:eastAsia="zh-CN"/>
        </w:rPr>
        <w:t>3.08</w:t>
      </w:r>
      <w:r>
        <w:rPr>
          <w:rFonts w:hint="eastAsia" w:ascii="仿宋_GB2312" w:hAnsi="仿宋_GB2312" w:eastAsia="仿宋_GB2312" w:cs="仿宋_GB2312"/>
          <w:b w:val="0"/>
          <w:bCs w:val="0"/>
          <w:spacing w:val="0"/>
          <w:sz w:val="32"/>
          <w:szCs w:val="32"/>
          <w:lang w:val="en-US" w:eastAsia="zh-CN"/>
        </w:rPr>
        <w:t>%。主要用于支持文旅产业发展，建设“国家旅游名县”；支持实施文旅基础升级、消费供给焕新、服务品质提升等行动；支持全民健身和群众体育发展。</w:t>
      </w:r>
    </w:p>
    <w:p>
      <w:pPr>
        <w:keepNext w:val="0"/>
        <w:keepLines w:val="0"/>
        <w:pageBreakBefore w:val="0"/>
        <w:widowControl/>
        <w:numPr>
          <w:ilvl w:val="0"/>
          <w:numId w:val="0"/>
        </w:numPr>
        <w:kinsoku/>
        <w:wordWrap/>
        <w:overflowPunct w:val="0"/>
        <w:topLinePunct w:val="0"/>
        <w:autoSpaceDE w:val="0"/>
        <w:autoSpaceDN w:val="0"/>
        <w:bidi w:val="0"/>
        <w:adjustRightInd w:val="0"/>
        <w:snapToGrid w:val="0"/>
        <w:spacing w:beforeAutospacing="0" w:afterAutospacing="0" w:line="560" w:lineRule="exact"/>
        <w:ind w:firstLine="640" w:firstLineChars="200"/>
        <w:jc w:val="both"/>
        <w:textAlignment w:val="baseline"/>
        <w:rPr>
          <w:rFonts w:hint="eastAsia" w:ascii="仿宋_GB2312" w:hAnsi="仿宋_GB2312" w:eastAsia="仿宋_GB2312" w:cs="仿宋_GB2312"/>
          <w:b w:val="0"/>
          <w:bCs w:val="0"/>
          <w:spacing w:val="0"/>
          <w:sz w:val="32"/>
          <w:szCs w:val="32"/>
          <w:lang w:val="en-US" w:eastAsia="zh-CN"/>
        </w:rPr>
      </w:pPr>
      <w:r>
        <w:rPr>
          <w:rFonts w:hint="eastAsia" w:ascii="仿宋_GB2312" w:hAnsi="仿宋_GB2312" w:eastAsia="仿宋_GB2312" w:cs="仿宋_GB2312"/>
          <w:b w:val="0"/>
          <w:bCs w:val="0"/>
          <w:spacing w:val="0"/>
          <w:sz w:val="32"/>
          <w:szCs w:val="32"/>
          <w:lang w:val="en-US" w:eastAsia="zh-CN"/>
        </w:rPr>
        <w:t>社会保障方面</w:t>
      </w:r>
      <w:r>
        <w:rPr>
          <w:rFonts w:hint="eastAsia" w:cs="仿宋_GB2312"/>
          <w:b w:val="0"/>
          <w:bCs w:val="0"/>
          <w:spacing w:val="0"/>
          <w:sz w:val="32"/>
          <w:szCs w:val="32"/>
          <w:lang w:val="en-US" w:eastAsia="zh-CN"/>
        </w:rPr>
        <w:t>拟</w:t>
      </w:r>
      <w:r>
        <w:rPr>
          <w:rFonts w:hint="eastAsia" w:ascii="仿宋_GB2312" w:hAnsi="仿宋_GB2312" w:eastAsia="仿宋_GB2312" w:cs="仿宋_GB2312"/>
          <w:b w:val="0"/>
          <w:bCs w:val="0"/>
          <w:spacing w:val="0"/>
          <w:sz w:val="32"/>
          <w:szCs w:val="32"/>
          <w:lang w:val="en-US" w:eastAsia="zh-CN"/>
        </w:rPr>
        <w:t>安排资金</w:t>
      </w:r>
      <w:r>
        <w:rPr>
          <w:rFonts w:hint="eastAsia" w:cs="仿宋_GB2312"/>
          <w:b w:val="0"/>
          <w:bCs w:val="0"/>
          <w:spacing w:val="0"/>
          <w:sz w:val="32"/>
          <w:szCs w:val="32"/>
          <w:lang w:val="en-US" w:eastAsia="zh-CN"/>
        </w:rPr>
        <w:t>52721</w:t>
      </w:r>
      <w:r>
        <w:rPr>
          <w:rFonts w:hint="eastAsia" w:ascii="仿宋_GB2312" w:hAnsi="仿宋_GB2312" w:eastAsia="仿宋_GB2312" w:cs="仿宋_GB2312"/>
          <w:b w:val="0"/>
          <w:bCs w:val="0"/>
          <w:spacing w:val="0"/>
          <w:sz w:val="32"/>
          <w:szCs w:val="32"/>
          <w:lang w:val="en-US" w:eastAsia="zh-CN"/>
        </w:rPr>
        <w:t>万元，占一般公共预算支出的</w:t>
      </w:r>
      <w:r>
        <w:rPr>
          <w:rFonts w:hint="eastAsia" w:cs="仿宋_GB2312"/>
          <w:b w:val="0"/>
          <w:bCs w:val="0"/>
          <w:spacing w:val="0"/>
          <w:sz w:val="32"/>
          <w:szCs w:val="32"/>
          <w:lang w:val="en-US" w:eastAsia="zh-CN"/>
        </w:rPr>
        <w:t>20.69</w:t>
      </w:r>
      <w:r>
        <w:rPr>
          <w:rFonts w:hint="eastAsia" w:ascii="仿宋_GB2312" w:hAnsi="仿宋_GB2312" w:eastAsia="仿宋_GB2312" w:cs="仿宋_GB2312"/>
          <w:b w:val="0"/>
          <w:bCs w:val="0"/>
          <w:spacing w:val="0"/>
          <w:sz w:val="32"/>
          <w:szCs w:val="32"/>
          <w:lang w:val="en-US" w:eastAsia="zh-CN"/>
        </w:rPr>
        <w:t>%。主要用于健全就业促进机制、社会救助体系和养老保险体系，落实抚恤优待和退役安置政策，支持残疾人事业发展，完善社会保障体系。</w:t>
      </w:r>
    </w:p>
    <w:p>
      <w:pPr>
        <w:keepNext w:val="0"/>
        <w:keepLines w:val="0"/>
        <w:pageBreakBefore w:val="0"/>
        <w:widowControl/>
        <w:numPr>
          <w:ilvl w:val="0"/>
          <w:numId w:val="0"/>
        </w:numPr>
        <w:kinsoku/>
        <w:wordWrap/>
        <w:overflowPunct w:val="0"/>
        <w:topLinePunct w:val="0"/>
        <w:autoSpaceDE w:val="0"/>
        <w:autoSpaceDN w:val="0"/>
        <w:bidi w:val="0"/>
        <w:adjustRightInd w:val="0"/>
        <w:snapToGrid w:val="0"/>
        <w:spacing w:beforeAutospacing="0" w:afterAutospacing="0" w:line="560" w:lineRule="exact"/>
        <w:ind w:firstLine="640" w:firstLineChars="200"/>
        <w:jc w:val="both"/>
        <w:textAlignment w:val="baseline"/>
        <w:rPr>
          <w:rFonts w:hint="eastAsia" w:ascii="仿宋_GB2312" w:hAnsi="仿宋_GB2312" w:eastAsia="仿宋_GB2312" w:cs="仿宋_GB2312"/>
          <w:b w:val="0"/>
          <w:bCs w:val="0"/>
          <w:spacing w:val="0"/>
          <w:sz w:val="32"/>
          <w:szCs w:val="32"/>
          <w:lang w:val="en-US" w:eastAsia="zh-CN"/>
        </w:rPr>
      </w:pPr>
      <w:r>
        <w:rPr>
          <w:rFonts w:hint="eastAsia" w:ascii="仿宋_GB2312" w:hAnsi="仿宋_GB2312" w:eastAsia="仿宋_GB2312" w:cs="仿宋_GB2312"/>
          <w:b w:val="0"/>
          <w:bCs w:val="0"/>
          <w:spacing w:val="0"/>
          <w:sz w:val="32"/>
          <w:szCs w:val="32"/>
          <w:lang w:val="en-US" w:eastAsia="zh-CN"/>
        </w:rPr>
        <w:t>卫生健康方面</w:t>
      </w:r>
      <w:r>
        <w:rPr>
          <w:rFonts w:hint="eastAsia" w:cs="仿宋_GB2312"/>
          <w:b w:val="0"/>
          <w:bCs w:val="0"/>
          <w:spacing w:val="0"/>
          <w:sz w:val="32"/>
          <w:szCs w:val="32"/>
          <w:lang w:val="en-US" w:eastAsia="zh-CN"/>
        </w:rPr>
        <w:t>拟</w:t>
      </w:r>
      <w:r>
        <w:rPr>
          <w:rFonts w:hint="eastAsia" w:ascii="仿宋_GB2312" w:hAnsi="仿宋_GB2312" w:eastAsia="仿宋_GB2312" w:cs="仿宋_GB2312"/>
          <w:b w:val="0"/>
          <w:bCs w:val="0"/>
          <w:spacing w:val="0"/>
          <w:sz w:val="32"/>
          <w:szCs w:val="32"/>
          <w:lang w:val="en-US" w:eastAsia="zh-CN"/>
        </w:rPr>
        <w:t>安排资金</w:t>
      </w:r>
      <w:r>
        <w:rPr>
          <w:rFonts w:hint="eastAsia" w:cs="仿宋_GB2312"/>
          <w:b w:val="0"/>
          <w:bCs w:val="0"/>
          <w:spacing w:val="0"/>
          <w:sz w:val="32"/>
          <w:szCs w:val="32"/>
          <w:lang w:val="en-US" w:eastAsia="zh-CN"/>
        </w:rPr>
        <w:t>23438</w:t>
      </w:r>
      <w:r>
        <w:rPr>
          <w:rFonts w:hint="eastAsia" w:ascii="仿宋_GB2312" w:hAnsi="仿宋_GB2312" w:eastAsia="仿宋_GB2312" w:cs="仿宋_GB2312"/>
          <w:b w:val="0"/>
          <w:bCs w:val="0"/>
          <w:spacing w:val="0"/>
          <w:sz w:val="32"/>
          <w:szCs w:val="32"/>
          <w:lang w:val="en-US" w:eastAsia="zh-CN"/>
        </w:rPr>
        <w:t>万元，占一般公共预算支出的</w:t>
      </w:r>
      <w:r>
        <w:rPr>
          <w:rFonts w:hint="eastAsia" w:cs="仿宋_GB2312"/>
          <w:b w:val="0"/>
          <w:bCs w:val="0"/>
          <w:spacing w:val="0"/>
          <w:sz w:val="32"/>
          <w:szCs w:val="32"/>
          <w:lang w:val="en-US" w:eastAsia="zh-CN"/>
        </w:rPr>
        <w:t>9.2</w:t>
      </w:r>
      <w:r>
        <w:rPr>
          <w:rFonts w:hint="eastAsia" w:ascii="仿宋_GB2312" w:hAnsi="仿宋_GB2312" w:eastAsia="仿宋_GB2312" w:cs="仿宋_GB2312"/>
          <w:b w:val="0"/>
          <w:bCs w:val="0"/>
          <w:spacing w:val="0"/>
          <w:sz w:val="32"/>
          <w:szCs w:val="32"/>
          <w:lang w:val="en-US" w:eastAsia="zh-CN"/>
        </w:rPr>
        <w:t>%。主要用于医疗卫生、城乡居民医疗保险、医疗救助、全民预防保健、计划生育事业等，推进健康长宁建设。</w:t>
      </w:r>
    </w:p>
    <w:p>
      <w:pPr>
        <w:keepNext w:val="0"/>
        <w:keepLines w:val="0"/>
        <w:pageBreakBefore w:val="0"/>
        <w:widowControl/>
        <w:numPr>
          <w:ilvl w:val="0"/>
          <w:numId w:val="0"/>
        </w:numPr>
        <w:kinsoku/>
        <w:wordWrap/>
        <w:overflowPunct w:val="0"/>
        <w:topLinePunct w:val="0"/>
        <w:autoSpaceDE w:val="0"/>
        <w:autoSpaceDN w:val="0"/>
        <w:bidi w:val="0"/>
        <w:adjustRightInd w:val="0"/>
        <w:snapToGrid w:val="0"/>
        <w:spacing w:beforeAutospacing="0" w:afterAutospacing="0" w:line="560" w:lineRule="exact"/>
        <w:ind w:firstLine="640" w:firstLineChars="200"/>
        <w:jc w:val="both"/>
        <w:textAlignment w:val="baseline"/>
        <w:rPr>
          <w:rFonts w:hint="eastAsia" w:ascii="仿宋_GB2312" w:hAnsi="仿宋_GB2312" w:eastAsia="仿宋_GB2312" w:cs="仿宋_GB2312"/>
          <w:b w:val="0"/>
          <w:bCs w:val="0"/>
          <w:spacing w:val="0"/>
          <w:sz w:val="32"/>
          <w:szCs w:val="32"/>
          <w:lang w:val="en-US" w:eastAsia="zh-CN"/>
        </w:rPr>
      </w:pPr>
      <w:r>
        <w:rPr>
          <w:rFonts w:hint="eastAsia" w:ascii="仿宋_GB2312" w:hAnsi="仿宋_GB2312" w:eastAsia="仿宋_GB2312" w:cs="仿宋_GB2312"/>
          <w:b w:val="0"/>
          <w:bCs w:val="0"/>
          <w:spacing w:val="0"/>
          <w:sz w:val="32"/>
          <w:szCs w:val="32"/>
          <w:lang w:val="en-US" w:eastAsia="zh-CN"/>
        </w:rPr>
        <w:t>生态环保方面</w:t>
      </w:r>
      <w:r>
        <w:rPr>
          <w:rFonts w:hint="eastAsia" w:cs="仿宋_GB2312"/>
          <w:b w:val="0"/>
          <w:bCs w:val="0"/>
          <w:spacing w:val="0"/>
          <w:sz w:val="32"/>
          <w:szCs w:val="32"/>
          <w:lang w:val="en-US" w:eastAsia="zh-CN"/>
        </w:rPr>
        <w:t>拟</w:t>
      </w:r>
      <w:r>
        <w:rPr>
          <w:rFonts w:hint="eastAsia" w:ascii="仿宋_GB2312" w:hAnsi="仿宋_GB2312" w:eastAsia="仿宋_GB2312" w:cs="仿宋_GB2312"/>
          <w:b w:val="0"/>
          <w:bCs w:val="0"/>
          <w:spacing w:val="0"/>
          <w:sz w:val="32"/>
          <w:szCs w:val="32"/>
          <w:lang w:val="en-US" w:eastAsia="zh-CN"/>
        </w:rPr>
        <w:t>安排资金</w:t>
      </w:r>
      <w:r>
        <w:rPr>
          <w:rFonts w:hint="eastAsia" w:cs="仿宋_GB2312"/>
          <w:b w:val="0"/>
          <w:bCs w:val="0"/>
          <w:spacing w:val="0"/>
          <w:sz w:val="32"/>
          <w:szCs w:val="32"/>
          <w:lang w:val="en-US" w:eastAsia="zh-CN"/>
        </w:rPr>
        <w:t>3754</w:t>
      </w:r>
      <w:r>
        <w:rPr>
          <w:rFonts w:hint="eastAsia" w:ascii="仿宋_GB2312" w:hAnsi="仿宋_GB2312" w:eastAsia="仿宋_GB2312" w:cs="仿宋_GB2312"/>
          <w:b w:val="0"/>
          <w:bCs w:val="0"/>
          <w:spacing w:val="0"/>
          <w:sz w:val="32"/>
          <w:szCs w:val="32"/>
          <w:lang w:val="en-US" w:eastAsia="zh-CN"/>
        </w:rPr>
        <w:t>万元，占一般公共预算支出的</w:t>
      </w:r>
      <w:r>
        <w:rPr>
          <w:rFonts w:hint="eastAsia" w:cs="仿宋_GB2312"/>
          <w:b w:val="0"/>
          <w:bCs w:val="0"/>
          <w:spacing w:val="0"/>
          <w:sz w:val="32"/>
          <w:szCs w:val="32"/>
          <w:lang w:val="en-US" w:eastAsia="zh-CN"/>
        </w:rPr>
        <w:t>1.47</w:t>
      </w:r>
      <w:r>
        <w:rPr>
          <w:rFonts w:hint="eastAsia" w:ascii="仿宋_GB2312" w:hAnsi="仿宋_GB2312" w:eastAsia="仿宋_GB2312" w:cs="仿宋_GB2312"/>
          <w:b w:val="0"/>
          <w:bCs w:val="0"/>
          <w:spacing w:val="0"/>
          <w:sz w:val="32"/>
          <w:szCs w:val="32"/>
          <w:lang w:val="en-US" w:eastAsia="zh-CN"/>
        </w:rPr>
        <w:t>%。主要用于污染防治、生态建设和绿色发展、地质灾害防治等事业，深化美丽四川建设先行试点县建设。</w:t>
      </w:r>
    </w:p>
    <w:p>
      <w:pPr>
        <w:keepNext w:val="0"/>
        <w:keepLines w:val="0"/>
        <w:pageBreakBefore w:val="0"/>
        <w:widowControl/>
        <w:numPr>
          <w:ilvl w:val="0"/>
          <w:numId w:val="0"/>
        </w:numPr>
        <w:kinsoku/>
        <w:wordWrap/>
        <w:overflowPunct w:val="0"/>
        <w:topLinePunct w:val="0"/>
        <w:autoSpaceDE w:val="0"/>
        <w:autoSpaceDN w:val="0"/>
        <w:bidi w:val="0"/>
        <w:adjustRightInd w:val="0"/>
        <w:snapToGrid w:val="0"/>
        <w:spacing w:beforeAutospacing="0" w:afterAutospacing="0" w:line="560" w:lineRule="exact"/>
        <w:ind w:firstLine="640" w:firstLineChars="200"/>
        <w:jc w:val="both"/>
        <w:textAlignment w:val="baseline"/>
        <w:rPr>
          <w:rFonts w:hint="eastAsia" w:ascii="仿宋_GB2312" w:hAnsi="仿宋_GB2312" w:eastAsia="仿宋_GB2312" w:cs="仿宋_GB2312"/>
          <w:b w:val="0"/>
          <w:bCs w:val="0"/>
          <w:spacing w:val="0"/>
          <w:sz w:val="32"/>
          <w:szCs w:val="32"/>
          <w:lang w:val="en-US" w:eastAsia="zh-CN"/>
        </w:rPr>
      </w:pPr>
      <w:r>
        <w:rPr>
          <w:rFonts w:hint="eastAsia" w:ascii="仿宋_GB2312" w:hAnsi="仿宋_GB2312" w:eastAsia="仿宋_GB2312" w:cs="仿宋_GB2312"/>
          <w:b w:val="0"/>
          <w:bCs w:val="0"/>
          <w:spacing w:val="0"/>
          <w:sz w:val="32"/>
          <w:szCs w:val="32"/>
          <w:lang w:val="en-US" w:eastAsia="zh-CN"/>
        </w:rPr>
        <w:t>农林水方面</w:t>
      </w:r>
      <w:r>
        <w:rPr>
          <w:rFonts w:hint="eastAsia" w:cs="仿宋_GB2312"/>
          <w:b w:val="0"/>
          <w:bCs w:val="0"/>
          <w:spacing w:val="0"/>
          <w:sz w:val="32"/>
          <w:szCs w:val="32"/>
          <w:lang w:val="en-US" w:eastAsia="zh-CN"/>
        </w:rPr>
        <w:t>拟</w:t>
      </w:r>
      <w:r>
        <w:rPr>
          <w:rFonts w:hint="eastAsia" w:ascii="仿宋_GB2312" w:hAnsi="仿宋_GB2312" w:eastAsia="仿宋_GB2312" w:cs="仿宋_GB2312"/>
          <w:b w:val="0"/>
          <w:bCs w:val="0"/>
          <w:spacing w:val="0"/>
          <w:sz w:val="32"/>
          <w:szCs w:val="32"/>
          <w:lang w:val="en-US" w:eastAsia="zh-CN"/>
        </w:rPr>
        <w:t>安排资金</w:t>
      </w:r>
      <w:r>
        <w:rPr>
          <w:rFonts w:hint="eastAsia" w:cs="仿宋_GB2312"/>
          <w:b w:val="0"/>
          <w:bCs w:val="0"/>
          <w:spacing w:val="0"/>
          <w:sz w:val="32"/>
          <w:szCs w:val="32"/>
          <w:lang w:val="en-US" w:eastAsia="zh-CN"/>
        </w:rPr>
        <w:t>37181</w:t>
      </w:r>
      <w:r>
        <w:rPr>
          <w:rFonts w:hint="eastAsia" w:ascii="仿宋_GB2312" w:hAnsi="仿宋_GB2312" w:eastAsia="仿宋_GB2312" w:cs="仿宋_GB2312"/>
          <w:b w:val="0"/>
          <w:bCs w:val="0"/>
          <w:spacing w:val="0"/>
          <w:sz w:val="32"/>
          <w:szCs w:val="32"/>
          <w:lang w:val="en-US" w:eastAsia="zh-CN"/>
        </w:rPr>
        <w:t>万元，占一般公共预算支出的</w:t>
      </w:r>
      <w:r>
        <w:rPr>
          <w:rFonts w:hint="eastAsia" w:cs="仿宋_GB2312"/>
          <w:b w:val="0"/>
          <w:bCs w:val="0"/>
          <w:spacing w:val="0"/>
          <w:sz w:val="32"/>
          <w:szCs w:val="32"/>
          <w:lang w:val="en-US" w:eastAsia="zh-CN"/>
        </w:rPr>
        <w:t>14.59</w:t>
      </w:r>
      <w:r>
        <w:rPr>
          <w:rFonts w:hint="eastAsia" w:ascii="仿宋_GB2312" w:hAnsi="仿宋_GB2312" w:eastAsia="仿宋_GB2312" w:cs="仿宋_GB2312"/>
          <w:b w:val="0"/>
          <w:bCs w:val="0"/>
          <w:spacing w:val="0"/>
          <w:sz w:val="32"/>
          <w:szCs w:val="32"/>
          <w:lang w:val="en-US" w:eastAsia="zh-CN"/>
        </w:rPr>
        <w:t>%。主要用于保障粮食安全和重要农产品稳定供应、发展镇域经济、建设和美乡村、完善农村基础设施等，推动农业农村现代化。</w:t>
      </w:r>
    </w:p>
    <w:p>
      <w:pPr>
        <w:keepNext w:val="0"/>
        <w:keepLines w:val="0"/>
        <w:pageBreakBefore w:val="0"/>
        <w:widowControl/>
        <w:numPr>
          <w:ilvl w:val="0"/>
          <w:numId w:val="0"/>
        </w:numPr>
        <w:kinsoku/>
        <w:wordWrap/>
        <w:overflowPunct w:val="0"/>
        <w:topLinePunct w:val="0"/>
        <w:autoSpaceDE w:val="0"/>
        <w:autoSpaceDN w:val="0"/>
        <w:bidi w:val="0"/>
        <w:adjustRightInd w:val="0"/>
        <w:snapToGrid w:val="0"/>
        <w:spacing w:beforeAutospacing="0" w:afterAutospacing="0" w:line="560" w:lineRule="exact"/>
        <w:ind w:firstLine="640" w:firstLineChars="200"/>
        <w:jc w:val="both"/>
        <w:textAlignment w:val="baseline"/>
        <w:rPr>
          <w:rFonts w:hint="eastAsia" w:ascii="仿宋_GB2312" w:hAnsi="仿宋_GB2312" w:eastAsia="仿宋_GB2312" w:cs="仿宋_GB2312"/>
          <w:b w:val="0"/>
          <w:bCs w:val="0"/>
          <w:spacing w:val="0"/>
          <w:sz w:val="32"/>
          <w:szCs w:val="32"/>
          <w:lang w:val="en-US" w:eastAsia="zh-CN"/>
        </w:rPr>
      </w:pPr>
      <w:r>
        <w:rPr>
          <w:rFonts w:hint="eastAsia" w:cs="仿宋_GB2312"/>
          <w:b w:val="0"/>
          <w:bCs w:val="0"/>
          <w:spacing w:val="0"/>
          <w:sz w:val="32"/>
          <w:szCs w:val="32"/>
          <w:lang w:val="en-US" w:eastAsia="zh-CN"/>
        </w:rPr>
        <w:t>拟</w:t>
      </w:r>
      <w:r>
        <w:rPr>
          <w:rFonts w:hint="eastAsia" w:ascii="仿宋_GB2312" w:hAnsi="仿宋_GB2312" w:eastAsia="仿宋_GB2312" w:cs="仿宋_GB2312"/>
          <w:b w:val="0"/>
          <w:bCs w:val="0"/>
          <w:spacing w:val="0"/>
          <w:sz w:val="32"/>
          <w:szCs w:val="32"/>
          <w:lang w:val="en-US" w:eastAsia="zh-CN"/>
        </w:rPr>
        <w:t>安排县级预备费2600万元，主要用于预算执行中自然灾害等突发事件处理增加的支出及其他难以预见的开支。</w:t>
      </w:r>
    </w:p>
    <w:p>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Fonts w:hint="default" w:ascii="Times New Roman" w:hAnsi="Times New Roman" w:eastAsia="楷体_GB2312"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highlight w:val="none"/>
          <w:lang w:val="en-US" w:eastAsia="zh-CN"/>
          <w14:textFill>
            <w14:solidFill>
              <w14:schemeClr w14:val="tx1"/>
            </w14:solidFill>
          </w14:textFill>
        </w:rPr>
        <w:t>（三）县级部门预算情况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16" w:firstLineChars="200"/>
        <w:jc w:val="both"/>
        <w:textAlignment w:val="auto"/>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按照县人大常委会要求，提交本次人代会审查的部门预算草案数量为</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54</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个部门。县级部门预算支出</w:t>
      </w:r>
      <w:r>
        <w:rPr>
          <w:rFonts w:hint="eastAsia" w:cs="仿宋_GB2312"/>
          <w:b w:val="0"/>
          <w:bCs w:val="0"/>
          <w:color w:val="000000" w:themeColor="text1"/>
          <w:kern w:val="2"/>
          <w:sz w:val="32"/>
          <w:szCs w:val="32"/>
          <w:highlight w:val="none"/>
          <w:lang w:val="en-US" w:eastAsia="zh-CN" w:bidi="ar-SA"/>
          <w14:textFill>
            <w14:solidFill>
              <w14:schemeClr w14:val="tx1"/>
            </w14:solidFill>
          </w14:textFill>
        </w:rPr>
        <w:t>144106</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万元，其中：基本支出</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101508</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万元；项目支出</w:t>
      </w:r>
      <w:r>
        <w:rPr>
          <w:rFonts w:hint="eastAsia" w:cs="仿宋_GB2312"/>
          <w:b w:val="0"/>
          <w:bCs w:val="0"/>
          <w:color w:val="000000" w:themeColor="text1"/>
          <w:kern w:val="2"/>
          <w:sz w:val="32"/>
          <w:szCs w:val="32"/>
          <w:highlight w:val="none"/>
          <w:lang w:val="en-US" w:eastAsia="zh-CN" w:bidi="ar-SA"/>
          <w14:textFill>
            <w14:solidFill>
              <w14:schemeClr w14:val="tx1"/>
            </w14:solidFill>
          </w14:textFill>
        </w:rPr>
        <w:t>42598</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万元。</w:t>
      </w:r>
    </w:p>
    <w:p>
      <w:pPr>
        <w:keepNext w:val="0"/>
        <w:keepLines w:val="0"/>
        <w:pageBreakBefore w:val="0"/>
        <w:widowControl/>
        <w:numPr>
          <w:ilvl w:val="0"/>
          <w:numId w:val="0"/>
        </w:numPr>
        <w:kinsoku/>
        <w:wordWrap/>
        <w:overflowPunct w:val="0"/>
        <w:topLinePunct w:val="0"/>
        <w:autoSpaceDE w:val="0"/>
        <w:autoSpaceDN w:val="0"/>
        <w:bidi w:val="0"/>
        <w:adjustRightInd w:val="0"/>
        <w:snapToGrid w:val="0"/>
        <w:spacing w:beforeAutospacing="0" w:afterAutospacing="0" w:line="560" w:lineRule="exact"/>
        <w:ind w:firstLine="640" w:firstLineChars="200"/>
        <w:jc w:val="both"/>
        <w:textAlignment w:val="baseline"/>
        <w:rPr>
          <w:rFonts w:hint="default" w:ascii="仿宋_GB2312" w:hAnsi="仿宋_GB2312" w:eastAsia="仿宋_GB2312" w:cs="仿宋_GB2312"/>
          <w:b w:val="0"/>
          <w:bCs w:val="0"/>
          <w:spacing w:val="0"/>
          <w:sz w:val="32"/>
          <w:szCs w:val="32"/>
          <w:lang w:val="en-US" w:eastAsia="zh-CN"/>
        </w:rPr>
      </w:pPr>
      <w:r>
        <w:rPr>
          <w:rFonts w:hint="default" w:ascii="仿宋_GB2312" w:hAnsi="仿宋_GB2312" w:eastAsia="仿宋_GB2312" w:cs="仿宋_GB2312"/>
          <w:b w:val="0"/>
          <w:bCs w:val="0"/>
          <w:spacing w:val="0"/>
          <w:sz w:val="32"/>
          <w:szCs w:val="32"/>
          <w:lang w:val="en-US" w:eastAsia="zh-CN"/>
        </w:rPr>
        <w:t>以上县级部门预算，请一并予以审查。</w:t>
      </w:r>
    </w:p>
    <w:p>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Fonts w:hint="default" w:ascii="Times New Roman" w:hAnsi="Times New Roman" w:eastAsia="楷体_GB2312"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highlight w:val="none"/>
          <w:lang w:val="en-US" w:eastAsia="zh-CN"/>
          <w14:textFill>
            <w14:solidFill>
              <w14:schemeClr w14:val="tx1"/>
            </w14:solidFill>
          </w14:textFill>
        </w:rPr>
        <w:t>（四）对下级政府的转移支付预算情况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16" w:firstLineChars="200"/>
        <w:jc w:val="both"/>
        <w:textAlignment w:val="auto"/>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拟安排下达镇</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21236</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万元。主要用于乡镇人员工资、公用经费、村（社区）干部报酬等支出。</w:t>
      </w:r>
    </w:p>
    <w:p>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auto"/>
        <w:rPr>
          <w:rFonts w:hint="default" w:ascii="Times New Roman" w:hAnsi="Times New Roman" w:eastAsia="楷体_GB2312"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highlight w:val="none"/>
          <w:lang w:val="en-US" w:eastAsia="zh-CN"/>
          <w14:textFill>
            <w14:solidFill>
              <w14:schemeClr w14:val="tx1"/>
            </w14:solidFill>
          </w14:textFill>
        </w:rPr>
        <w:t>（</w:t>
      </w:r>
      <w:r>
        <w:rPr>
          <w:rFonts w:hint="eastAsia" w:eastAsia="楷体_GB2312" w:cs="Times New Roman"/>
          <w:b w:val="0"/>
          <w:bCs w:val="0"/>
          <w:color w:val="000000" w:themeColor="text1"/>
          <w:sz w:val="32"/>
          <w:szCs w:val="32"/>
          <w:highlight w:val="none"/>
          <w:lang w:val="en-US" w:eastAsia="zh-CN"/>
          <w14:textFill>
            <w14:solidFill>
              <w14:schemeClr w14:val="tx1"/>
            </w14:solidFill>
          </w14:textFill>
        </w:rPr>
        <w:t>五</w:t>
      </w:r>
      <w:r>
        <w:rPr>
          <w:rFonts w:hint="default" w:ascii="Times New Roman" w:hAnsi="Times New Roman" w:eastAsia="楷体_GB2312" w:cs="Times New Roman"/>
          <w:b w:val="0"/>
          <w:bCs w:val="0"/>
          <w:color w:val="000000" w:themeColor="text1"/>
          <w:sz w:val="32"/>
          <w:szCs w:val="32"/>
          <w:highlight w:val="none"/>
          <w:lang w:val="en-US" w:eastAsia="zh-CN"/>
          <w14:textFill>
            <w14:solidFill>
              <w14:schemeClr w14:val="tx1"/>
            </w14:solidFill>
          </w14:textFill>
        </w:rPr>
        <w:t>）政府债务预算情况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16" w:firstLineChars="200"/>
        <w:jc w:val="both"/>
        <w:textAlignment w:val="auto"/>
        <w:rPr>
          <w:rFonts w:hint="eastAsia" w:ascii="黑体" w:hAnsi="黑体" w:eastAsia="黑体" w:cs="黑体"/>
          <w:b w:val="0"/>
          <w:bCs w:val="0"/>
          <w:color w:val="000000" w:themeColor="text1"/>
          <w:spacing w:val="0"/>
          <w:sz w:val="32"/>
          <w:szCs w:val="32"/>
          <w:highlight w:val="yellow"/>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目前省政府尚未批准下达我县</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2026</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年地方政府新增债务限额和新增债券额度，待省政府批准下达后再按规定向县人大常委会报告。</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2026</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年县级政府债务到期需要偿还的额度为</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27711</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万元，根据中省政策和债务类型，预算安排偿债资金</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277</w:t>
      </w:r>
      <w:r>
        <w:rPr>
          <w:rFonts w:hint="eastAsia" w:cs="仿宋_GB2312"/>
          <w:b w:val="0"/>
          <w:bCs w:val="0"/>
          <w:color w:val="000000" w:themeColor="text1"/>
          <w:kern w:val="2"/>
          <w:sz w:val="32"/>
          <w:szCs w:val="32"/>
          <w:highlight w:val="none"/>
          <w:lang w:val="en-US" w:eastAsia="zh-CN" w:bidi="ar-SA"/>
          <w14:textFill>
            <w14:solidFill>
              <w14:schemeClr w14:val="tx1"/>
            </w14:solidFill>
          </w14:textFill>
        </w:rPr>
        <w:t>2</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万元，拟争取再融资债券</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2493</w:t>
      </w:r>
      <w:r>
        <w:rPr>
          <w:rFonts w:hint="eastAsia" w:cs="仿宋_GB2312"/>
          <w:b w:val="0"/>
          <w:bCs w:val="0"/>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万元。</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val="0"/>
          <w:color w:val="000000" w:themeColor="text1"/>
          <w:spacing w:val="0"/>
          <w:sz w:val="32"/>
          <w:szCs w:val="32"/>
          <w:highlight w:val="none"/>
          <w14:textFill>
            <w14:solidFill>
              <w14:schemeClr w14:val="tx1"/>
            </w14:solidFill>
          </w14:textFill>
        </w:rPr>
      </w:pPr>
      <w:r>
        <w:rPr>
          <w:rFonts w:hint="eastAsia" w:ascii="黑体" w:hAnsi="黑体" w:eastAsia="黑体" w:cs="黑体"/>
          <w:b w:val="0"/>
          <w:bCs w:val="0"/>
          <w:color w:val="000000" w:themeColor="text1"/>
          <w:spacing w:val="0"/>
          <w:sz w:val="32"/>
          <w:szCs w:val="32"/>
          <w:highlight w:val="none"/>
          <w14:textFill>
            <w14:solidFill>
              <w14:schemeClr w14:val="tx1"/>
            </w14:solidFill>
          </w14:textFill>
        </w:rPr>
        <w:t>四、</w:t>
      </w:r>
      <w:r>
        <w:rPr>
          <w:rFonts w:hint="eastAsia" w:ascii="黑体" w:hAnsi="黑体" w:eastAsia="黑体" w:cs="黑体"/>
          <w:b w:val="0"/>
          <w:bCs w:val="0"/>
          <w:color w:val="000000" w:themeColor="text1"/>
          <w:spacing w:val="0"/>
          <w:sz w:val="32"/>
          <w:szCs w:val="32"/>
          <w:highlight w:val="none"/>
          <w:lang w:eastAsia="zh-CN"/>
          <w14:textFill>
            <w14:solidFill>
              <w14:schemeClr w14:val="tx1"/>
            </w14:solidFill>
          </w14:textFill>
        </w:rPr>
        <w:t>202</w:t>
      </w:r>
      <w:r>
        <w:rPr>
          <w:rFonts w:hint="eastAsia" w:ascii="黑体" w:hAnsi="黑体" w:eastAsia="黑体" w:cs="黑体"/>
          <w:b w:val="0"/>
          <w:bCs w:val="0"/>
          <w:color w:val="000000" w:themeColor="text1"/>
          <w:spacing w:val="0"/>
          <w:sz w:val="32"/>
          <w:szCs w:val="32"/>
          <w:highlight w:val="none"/>
          <w:lang w:val="en-US" w:eastAsia="zh-CN"/>
          <w14:textFill>
            <w14:solidFill>
              <w14:schemeClr w14:val="tx1"/>
            </w14:solidFill>
          </w14:textFill>
        </w:rPr>
        <w:t>6</w:t>
      </w:r>
      <w:r>
        <w:rPr>
          <w:rFonts w:hint="eastAsia" w:ascii="黑体" w:hAnsi="黑体" w:eastAsia="黑体" w:cs="黑体"/>
          <w:b w:val="0"/>
          <w:bCs w:val="0"/>
          <w:color w:val="000000" w:themeColor="text1"/>
          <w:spacing w:val="0"/>
          <w:sz w:val="32"/>
          <w:szCs w:val="32"/>
          <w:highlight w:val="none"/>
          <w14:textFill>
            <w14:solidFill>
              <w14:schemeClr w14:val="tx1"/>
            </w14:solidFill>
          </w14:textFill>
        </w:rPr>
        <w:t>年财政工作重点</w:t>
      </w:r>
    </w:p>
    <w:p>
      <w:pPr>
        <w:pStyle w:val="2"/>
        <w:pageBreakBefore w:val="0"/>
        <w:numPr>
          <w:ilvl w:val="0"/>
          <w:numId w:val="0"/>
        </w:numPr>
        <w:kinsoku/>
        <w:wordWrap/>
        <w:overflowPunct w:val="0"/>
        <w:topLinePunct w:val="0"/>
        <w:autoSpaceDE/>
        <w:autoSpaceDN/>
        <w:bidi w:val="0"/>
        <w:spacing w:line="560" w:lineRule="exact"/>
        <w:ind w:firstLine="640" w:firstLineChars="200"/>
        <w:textAlignment w:val="auto"/>
        <w:rPr>
          <w:b w:val="0"/>
          <w:spacing w:val="0"/>
        </w:rPr>
      </w:pPr>
      <w:r>
        <w:rPr>
          <w:rFonts w:hint="eastAsia" w:ascii="楷体_GB2312" w:hAnsi="楷体_GB2312" w:eastAsia="楷体_GB2312" w:cs="楷体_GB2312"/>
          <w:b w:val="0"/>
          <w:spacing w:val="0"/>
        </w:rPr>
        <w:t>（一）聚焦收入提质，稳固财政基本盘。</w:t>
      </w:r>
      <w:r>
        <w:rPr>
          <w:rFonts w:hint="default"/>
          <w:b w:val="0"/>
          <w:spacing w:val="0"/>
        </w:rPr>
        <w:t>一是着力培育涵养财源。紧扣县域发展定位，围绕构建现代化产业体系，支持传统优势产业升级与战略性新兴产业培育，增强经济发展内生动力与财税贡献能力。二是健全收入协同管理机制。深化财税库银联动，强化重点税源监测分析与非税收入规范化管理，确保依法征收、应收尽收，努力实现财政收入量质齐升。三是全力争取上级支持。精准对接国家及省、市政策导向与资金投向，围绕长宁县发展重大战略，积极谋划申报，全力争取转移支付、专项债券、试点示范等政策资金资源。四是优化财政支出管理。在严格落实过紧日子要求基础上，保持必要支出强度。强化预算严肃性，坚持“先有预算、后有支出”，杜绝无预算、超预算支出。加强财政资源统筹调度，加快预算执行进度，推动资金精准直达、尽早见效，提升财政综合保障效能。</w:t>
      </w:r>
    </w:p>
    <w:p>
      <w:pPr>
        <w:pStyle w:val="2"/>
        <w:pageBreakBefore w:val="0"/>
        <w:numPr>
          <w:ilvl w:val="0"/>
          <w:numId w:val="0"/>
        </w:numPr>
        <w:kinsoku/>
        <w:wordWrap/>
        <w:overflowPunct w:val="0"/>
        <w:topLinePunct w:val="0"/>
        <w:autoSpaceDE/>
        <w:autoSpaceDN/>
        <w:bidi w:val="0"/>
        <w:spacing w:line="560" w:lineRule="exact"/>
        <w:ind w:firstLine="640" w:firstLineChars="200"/>
        <w:textAlignment w:val="auto"/>
        <w:rPr>
          <w:rFonts w:hint="eastAsia" w:eastAsia="仿宋_GB2312"/>
          <w:b w:val="0"/>
          <w:spacing w:val="0"/>
          <w:lang w:eastAsia="zh-CN"/>
        </w:rPr>
      </w:pPr>
      <w:r>
        <w:rPr>
          <w:rFonts w:hint="default" w:ascii="楷体_GB2312" w:hAnsi="楷体_GB2312" w:eastAsia="楷体_GB2312" w:cs="楷体_GB2312"/>
          <w:b w:val="0"/>
          <w:spacing w:val="0"/>
        </w:rPr>
        <w:t>（二）聚焦重大战略，强化重点领域支撑。</w:t>
      </w:r>
      <w:r>
        <w:rPr>
          <w:rFonts w:hint="default"/>
          <w:b w:val="0"/>
          <w:spacing w:val="0"/>
        </w:rPr>
        <w:t>一是确保刚性支出与战略投入。坚持集中财力办大事，优先足额保障“三保”、债务还本付息等刚性需求，重点支持县委、县政府确定的重大战略、重大项目和重点任务落地。二是推动文旅产业融合发展。加大财政对文化旅游发展的投入引导，支持</w:t>
      </w:r>
      <w:r>
        <w:rPr>
          <w:rFonts w:hint="eastAsia"/>
          <w:b w:val="0"/>
          <w:spacing w:val="0"/>
          <w:lang w:eastAsia="zh-CN"/>
        </w:rPr>
        <w:t>建设国家旅游名县，加强</w:t>
      </w:r>
      <w:r>
        <w:rPr>
          <w:rFonts w:hint="default"/>
          <w:b w:val="0"/>
          <w:spacing w:val="0"/>
        </w:rPr>
        <w:t>文化遗产保护传承与活化利用，完善城乡公共文化服务体系。聚焦竹生态康养</w:t>
      </w:r>
      <w:r>
        <w:rPr>
          <w:rFonts w:hint="eastAsia"/>
          <w:b w:val="0"/>
          <w:spacing w:val="0"/>
          <w:lang w:eastAsia="zh-CN"/>
        </w:rPr>
        <w:t>、红色旅游</w:t>
      </w:r>
      <w:r>
        <w:rPr>
          <w:rFonts w:hint="default"/>
          <w:b w:val="0"/>
          <w:spacing w:val="0"/>
        </w:rPr>
        <w:t>等特色资源，支持旅游基础设施提升、品牌宣传推广与业态创新，助推全域旅游发展。三是激发消费增长</w:t>
      </w:r>
      <w:r>
        <w:rPr>
          <w:rFonts w:hint="default"/>
          <w:b w:val="0"/>
          <w:spacing w:val="4"/>
        </w:rPr>
        <w:t>潜能。落实落细各项促消费政策，支持开展多层次消费促</w:t>
      </w:r>
      <w:r>
        <w:rPr>
          <w:rFonts w:hint="default"/>
          <w:b w:val="0"/>
          <w:spacing w:val="0"/>
        </w:rPr>
        <w:t>进活动。</w:t>
      </w:r>
    </w:p>
    <w:p>
      <w:pPr>
        <w:pStyle w:val="2"/>
        <w:pageBreakBefore w:val="0"/>
        <w:numPr>
          <w:ilvl w:val="0"/>
          <w:numId w:val="0"/>
        </w:numPr>
        <w:kinsoku/>
        <w:wordWrap/>
        <w:overflowPunct w:val="0"/>
        <w:topLinePunct w:val="0"/>
        <w:autoSpaceDE/>
        <w:autoSpaceDN/>
        <w:bidi w:val="0"/>
        <w:spacing w:line="560" w:lineRule="exact"/>
        <w:ind w:firstLine="640" w:firstLineChars="200"/>
        <w:textAlignment w:val="auto"/>
        <w:rPr>
          <w:rFonts w:hint="default"/>
          <w:b w:val="0"/>
          <w:spacing w:val="0"/>
        </w:rPr>
      </w:pPr>
      <w:r>
        <w:rPr>
          <w:rFonts w:hint="default" w:ascii="楷体_GB2312" w:hAnsi="楷体_GB2312" w:eastAsia="楷体_GB2312" w:cs="楷体_GB2312"/>
          <w:b w:val="0"/>
          <w:spacing w:val="0"/>
        </w:rPr>
        <w:t>（三）聚焦民生改善，提升公共服务水平。</w:t>
      </w:r>
      <w:r>
        <w:rPr>
          <w:rFonts w:hint="default"/>
          <w:b w:val="0"/>
          <w:spacing w:val="0"/>
        </w:rPr>
        <w:t>一是优先保障教育发展。坚持教育投入“两个只增不减”，优化教育经费保障机制，支持扩大普惠性学前教育资源、促进义务教育优质均衡、改善普通高中办学条件，推动教育高质量发展。二是强化就业优先导向。统筹各类资金加大就业创业扶持力度，重点支持高校毕业生、农民工、就业困难人员等重点群体就业帮扶和职业技能培训，落实创业担保贷款贴息等政策。三是提升卫生健康服务能力。持续增加公共卫生投入，保障基本公共卫生服务经费，支持深化医药卫生体制改革，增强县级医疗机构服务能力，巩固医疗保障水平。四是健全社会保障网络。支持完善养老服务体系，强化社会救助兜底保障，做好困难群体关爱服务工作，筑牢民生安全网。</w:t>
      </w:r>
    </w:p>
    <w:p>
      <w:pPr>
        <w:pStyle w:val="2"/>
        <w:pageBreakBefore w:val="0"/>
        <w:numPr>
          <w:ilvl w:val="0"/>
          <w:numId w:val="0"/>
        </w:numPr>
        <w:kinsoku/>
        <w:wordWrap/>
        <w:overflowPunct w:val="0"/>
        <w:topLinePunct w:val="0"/>
        <w:autoSpaceDE/>
        <w:autoSpaceDN/>
        <w:bidi w:val="0"/>
        <w:spacing w:line="560" w:lineRule="exact"/>
        <w:ind w:firstLine="640" w:firstLineChars="200"/>
        <w:textAlignment w:val="auto"/>
        <w:rPr>
          <w:rFonts w:hint="default"/>
          <w:b w:val="0"/>
          <w:spacing w:val="0"/>
        </w:rPr>
      </w:pPr>
      <w:r>
        <w:rPr>
          <w:rFonts w:hint="default" w:ascii="楷体_GB2312" w:hAnsi="楷体_GB2312" w:eastAsia="楷体_GB2312" w:cs="楷体_GB2312"/>
          <w:b w:val="0"/>
          <w:spacing w:val="0"/>
        </w:rPr>
        <w:t>（四）聚焦管理改革，提升财政治理效能。</w:t>
      </w:r>
      <w:r>
        <w:rPr>
          <w:rFonts w:hint="default"/>
          <w:b w:val="0"/>
          <w:spacing w:val="0"/>
        </w:rPr>
        <w:t>一是深化预算管理制度改革。巩固全口径预算管理成果，持续推进预算管理一体化系统建设与应用。全面深化零基预算改革，打破支出固化格局，强化财政资源统筹能力。二是强化预算执行刚性约束。严格规范预算调剂，加强支出进度管理，常态化清理财政暂付款项，规范政府采购全流程管理。三是全面实施预算绩效管理。将绩效管理深度融入预算编制、执行、监督全过程，强化重点政策和项目事前绩效评估，加强绩效结果应用，建立绩效与预算安排挂钩的激励约束机制。</w:t>
      </w:r>
    </w:p>
    <w:p>
      <w:pPr>
        <w:pStyle w:val="2"/>
        <w:pageBreakBefore w:val="0"/>
        <w:numPr>
          <w:ilvl w:val="0"/>
          <w:numId w:val="0"/>
        </w:numPr>
        <w:kinsoku/>
        <w:wordWrap/>
        <w:overflowPunct w:val="0"/>
        <w:topLinePunct w:val="0"/>
        <w:autoSpaceDE/>
        <w:autoSpaceDN/>
        <w:bidi w:val="0"/>
        <w:spacing w:line="560" w:lineRule="exact"/>
        <w:ind w:firstLine="640" w:firstLineChars="200"/>
        <w:textAlignment w:val="auto"/>
        <w:rPr>
          <w:rFonts w:hint="default"/>
          <w:b w:val="0"/>
          <w:spacing w:val="0"/>
        </w:rPr>
      </w:pPr>
      <w:r>
        <w:rPr>
          <w:rFonts w:hint="default" w:ascii="楷体_GB2312" w:hAnsi="楷体_GB2312" w:eastAsia="楷体_GB2312" w:cs="楷体_GB2312"/>
          <w:b w:val="0"/>
          <w:spacing w:val="0"/>
        </w:rPr>
        <w:t>（五）聚焦风险防控，守牢财政安全底线。</w:t>
      </w:r>
      <w:r>
        <w:rPr>
          <w:rFonts w:hint="default"/>
          <w:b w:val="0"/>
          <w:spacing w:val="0"/>
        </w:rPr>
        <w:t>一是抓实政府债务风险管理。完善规范、安全、高效的政府举债融资机制，加强债券资金“借、用、管、还”全流程监控。坚决遏制隐性债务</w:t>
      </w:r>
      <w:r>
        <w:rPr>
          <w:rFonts w:hint="eastAsia"/>
          <w:b w:val="0"/>
          <w:spacing w:val="0"/>
          <w:lang w:eastAsia="zh-CN"/>
        </w:rPr>
        <w:t>增量</w:t>
      </w:r>
      <w:r>
        <w:rPr>
          <w:rFonts w:hint="default"/>
          <w:b w:val="0"/>
          <w:spacing w:val="0"/>
        </w:rPr>
        <w:t>，有序化解</w:t>
      </w:r>
      <w:r>
        <w:rPr>
          <w:rFonts w:hint="eastAsia"/>
          <w:b w:val="0"/>
          <w:spacing w:val="0"/>
          <w:lang w:eastAsia="zh-CN"/>
        </w:rPr>
        <w:t>隐性</w:t>
      </w:r>
      <w:r>
        <w:rPr>
          <w:rFonts w:hint="default"/>
          <w:b w:val="0"/>
          <w:spacing w:val="0"/>
        </w:rPr>
        <w:t>债务</w:t>
      </w:r>
      <w:r>
        <w:rPr>
          <w:rFonts w:hint="eastAsia"/>
          <w:b w:val="0"/>
          <w:spacing w:val="0"/>
          <w:lang w:eastAsia="zh-CN"/>
        </w:rPr>
        <w:t>存量</w:t>
      </w:r>
      <w:r>
        <w:rPr>
          <w:rFonts w:hint="default"/>
          <w:b w:val="0"/>
          <w:spacing w:val="0"/>
        </w:rPr>
        <w:t>，守住债务风险</w:t>
      </w:r>
      <w:r>
        <w:rPr>
          <w:rFonts w:hint="eastAsia"/>
          <w:b w:val="0"/>
          <w:spacing w:val="0"/>
          <w:lang w:eastAsia="zh-CN"/>
        </w:rPr>
        <w:t>底</w:t>
      </w:r>
      <w:r>
        <w:rPr>
          <w:rFonts w:hint="default"/>
          <w:b w:val="0"/>
          <w:spacing w:val="0"/>
        </w:rPr>
        <w:t>线。二是兜牢基层“三保”底线。坚持“三保”支出在财政支出中的优先顺序，健全监测预警和应急处置机制，确保基层政权平稳运行和基本民生政策落实。三是严肃财经纪律约束。加强财会监督，聚焦重点领域开展专项检查，严肃查处违法违规行为，推动形成依法理财、规范管理的长效机制，维护良好的财经秩序。</w:t>
      </w:r>
    </w:p>
    <w:p>
      <w:pPr>
        <w:pageBreakBefore w:val="0"/>
        <w:kinsoku/>
        <w:wordWrap/>
        <w:overflowPunct w:val="0"/>
        <w:topLinePunct w:val="0"/>
        <w:autoSpaceDE/>
        <w:autoSpaceDN/>
        <w:bidi w:val="0"/>
        <w:spacing w:line="560" w:lineRule="exact"/>
        <w:ind w:firstLine="640" w:firstLineChars="200"/>
        <w:textAlignment w:val="auto"/>
        <w:rPr>
          <w:spacing w:val="0"/>
        </w:rPr>
      </w:pPr>
      <w:r>
        <w:rPr>
          <w:rFonts w:hint="eastAsia"/>
          <w:spacing w:val="0"/>
        </w:rPr>
        <w:t>路虽远，行则将至；事虽难，做则可成。各位代表，做好</w:t>
      </w:r>
      <w:r>
        <w:rPr>
          <w:rFonts w:hint="eastAsia" w:ascii="仿宋_GB2312" w:hAnsi="仿宋_GB2312" w:eastAsia="仿宋_GB2312" w:cs="仿宋_GB2312"/>
          <w:spacing w:val="0"/>
        </w:rPr>
        <w:t>202</w:t>
      </w:r>
      <w:r>
        <w:rPr>
          <w:rFonts w:hint="eastAsia" w:ascii="仿宋_GB2312" w:hAnsi="仿宋_GB2312" w:eastAsia="仿宋_GB2312" w:cs="仿宋_GB2312"/>
          <w:spacing w:val="0"/>
          <w:lang w:val="en-US" w:eastAsia="zh-CN"/>
        </w:rPr>
        <w:t>6</w:t>
      </w:r>
      <w:r>
        <w:rPr>
          <w:rFonts w:hint="eastAsia"/>
          <w:spacing w:val="0"/>
        </w:rPr>
        <w:t>年财政工作，意义重大、任务艰巨。我们将始终坚持以习近平新时代中国特色社会主义思想为指导，在县委坚强领导和县人大、县政协监督指导下，锚定目标、坚定信心，锐意进取、真抓实干，坚决落实本次会议决议，以永不懈怠的精神状态做好财政</w:t>
      </w:r>
      <w:r>
        <w:rPr>
          <w:rFonts w:hint="eastAsia"/>
          <w:spacing w:val="4"/>
        </w:rPr>
        <w:t>各项工作，</w:t>
      </w:r>
      <w:r>
        <w:rPr>
          <w:rFonts w:hint="eastAsia" w:ascii="仿宋_GB2312" w:hAnsi="仿宋_GB2312" w:eastAsia="仿宋_GB2312" w:cs="仿宋_GB2312"/>
          <w:b w:val="0"/>
          <w:bCs w:val="0"/>
          <w:color w:val="000000" w:themeColor="text1"/>
          <w:spacing w:val="3"/>
          <w:sz w:val="32"/>
          <w:szCs w:val="32"/>
          <w:lang w:val="en-US" w:eastAsia="zh-CN"/>
          <w14:textFill>
            <w14:solidFill>
              <w14:schemeClr w14:val="tx1"/>
            </w14:solidFill>
          </w14:textFill>
        </w:rPr>
        <w:t>为加快建设</w:t>
      </w:r>
      <w:r>
        <w:rPr>
          <w:rFonts w:hint="default" w:ascii="仿宋_GB2312" w:hAnsi="仿宋_GB2312" w:eastAsia="仿宋_GB2312" w:cs="仿宋_GB2312"/>
          <w:b w:val="0"/>
          <w:bCs w:val="0"/>
          <w:color w:val="000000" w:themeColor="text1"/>
          <w:spacing w:val="4"/>
          <w:sz w:val="32"/>
          <w:szCs w:val="32"/>
          <w:lang w:val="en-US" w:eastAsia="zh-CN"/>
          <w14:textFill>
            <w14:solidFill>
              <w14:schemeClr w14:val="tx1"/>
            </w14:solidFill>
          </w14:textFill>
        </w:rPr>
        <w:t>现代化区域中心城市卫星城</w:t>
      </w:r>
      <w:r>
        <w:rPr>
          <w:rFonts w:hint="eastAsia" w:ascii="仿宋_GB2312" w:hAnsi="仿宋_GB2312" w:eastAsia="仿宋_GB2312" w:cs="仿宋_GB2312"/>
          <w:b w:val="0"/>
          <w:bCs w:val="0"/>
          <w:color w:val="000000" w:themeColor="text1"/>
          <w:spacing w:val="4"/>
          <w:sz w:val="32"/>
          <w:szCs w:val="32"/>
          <w:lang w:val="en-US" w:eastAsia="zh-CN"/>
          <w14:textFill>
            <w14:solidFill>
              <w14:schemeClr w14:val="tx1"/>
            </w14:solidFill>
          </w14:textFill>
        </w:rPr>
        <w:t>贡献财</w:t>
      </w:r>
      <w:r>
        <w:rPr>
          <w:rFonts w:hint="eastAsia" w:ascii="仿宋_GB2312" w:hAnsi="仿宋_GB2312" w:eastAsia="仿宋_GB2312" w:cs="仿宋_GB2312"/>
          <w:b w:val="0"/>
          <w:bCs w:val="0"/>
          <w:color w:val="000000" w:themeColor="text1"/>
          <w:spacing w:val="0"/>
          <w:sz w:val="32"/>
          <w:szCs w:val="32"/>
          <w:lang w:val="en-US" w:eastAsia="zh-CN"/>
          <w14:textFill>
            <w14:solidFill>
              <w14:schemeClr w14:val="tx1"/>
            </w14:solidFill>
          </w14:textFill>
        </w:rPr>
        <w:t>政力量</w:t>
      </w:r>
      <w:r>
        <w:rPr>
          <w:rFonts w:hint="eastAsia"/>
          <w:spacing w:val="0"/>
        </w:rPr>
        <w:t>！</w:t>
      </w:r>
    </w:p>
    <w:p>
      <w:pPr>
        <w:pageBreakBefore w:val="0"/>
        <w:kinsoku/>
        <w:topLinePunct w:val="0"/>
        <w:bidi w:val="0"/>
        <w:spacing w:line="560" w:lineRule="exact"/>
        <w:rPr>
          <w:rFonts w:hint="default" w:ascii="Times New Roman" w:hAnsi="Times New Roman" w:eastAsia="方正小标宋_GBK" w:cs="Times New Roman"/>
          <w:b w:val="0"/>
          <w:bCs w:val="0"/>
          <w:spacing w:val="0"/>
          <w:sz w:val="44"/>
          <w:szCs w:val="44"/>
          <w:highlight w:val="none"/>
          <w:lang w:val="en-US" w:eastAsia="zh-CN"/>
        </w:rPr>
      </w:pPr>
      <w:r>
        <w:rPr>
          <w:spacing w:val="0"/>
        </w:rPr>
        <w:br w:type="page"/>
      </w:r>
    </w:p>
    <w:p>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方正小标宋_GBK" w:cs="Times New Roman"/>
          <w:b w:val="0"/>
          <w:bCs w:val="0"/>
          <w:spacing w:val="0"/>
          <w:sz w:val="44"/>
          <w:szCs w:val="44"/>
          <w:highlight w:val="none"/>
          <w:lang w:val="en-US" w:eastAsia="zh-CN"/>
        </w:rPr>
      </w:pPr>
      <w:r>
        <w:rPr>
          <w:rFonts w:hint="default" w:ascii="Times New Roman" w:hAnsi="Times New Roman" w:eastAsia="方正小标宋_GBK" w:cs="Times New Roman"/>
          <w:b w:val="0"/>
          <w:bCs w:val="0"/>
          <w:spacing w:val="0"/>
          <w:sz w:val="44"/>
          <w:szCs w:val="44"/>
          <w:highlight w:val="none"/>
          <w:lang w:val="en-US" w:eastAsia="zh-CN"/>
        </w:rPr>
        <w:t>注  解</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spacing w:val="0"/>
          <w:sz w:val="32"/>
          <w:szCs w:val="32"/>
          <w:highlight w:val="none"/>
          <w:lang w:val="en-US" w:eastAsia="zh-CN"/>
        </w:rPr>
      </w:pPr>
    </w:p>
    <w:p>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spacing w:val="0"/>
          <w:sz w:val="32"/>
          <w:szCs w:val="32"/>
          <w:highlight w:val="none"/>
        </w:rPr>
      </w:pPr>
      <w:r>
        <w:rPr>
          <w:rFonts w:hint="default" w:ascii="仿宋_GB2312" w:hAnsi="仿宋_GB2312" w:eastAsia="仿宋_GB2312" w:cs="仿宋_GB2312"/>
          <w:b/>
          <w:bCs/>
          <w:spacing w:val="0"/>
          <w:sz w:val="32"/>
          <w:szCs w:val="32"/>
          <w:lang w:val="en-US" w:eastAsia="zh-CN"/>
        </w:rPr>
        <w:t>地方一般公共预算收入：</w:t>
      </w:r>
      <w:r>
        <w:rPr>
          <w:rFonts w:hint="default" w:ascii="仿宋_GB2312" w:hAnsi="仿宋_GB2312" w:eastAsia="仿宋_GB2312" w:cs="仿宋_GB2312"/>
          <w:b w:val="0"/>
          <w:bCs w:val="0"/>
          <w:spacing w:val="0"/>
          <w:sz w:val="32"/>
          <w:szCs w:val="32"/>
        </w:rPr>
        <w:t>指实施分税制财政体制改革后，各级财政部门通过一定形式和程序组织并纳入本地区或本级预算管理的各项收入，包括税收收入和非税收入，其中：税收收入主要包括增值税、营业税、企业所得税、个人所得税等；非税收入主要包括纳入预算管理的行政事业性收费收入、罚没收入、专项收入、国有资源（资产）有偿使用收入等。</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spacing w:val="0"/>
          <w:sz w:val="32"/>
          <w:szCs w:val="32"/>
          <w:highlight w:val="none"/>
        </w:rPr>
      </w:pPr>
      <w:r>
        <w:rPr>
          <w:rFonts w:hint="default" w:ascii="仿宋_GB2312" w:hAnsi="仿宋_GB2312" w:eastAsia="仿宋_GB2312" w:cs="仿宋_GB2312"/>
          <w:b/>
          <w:bCs/>
          <w:spacing w:val="0"/>
          <w:sz w:val="32"/>
          <w:szCs w:val="32"/>
          <w:lang w:val="en-US" w:eastAsia="zh-CN"/>
        </w:rPr>
        <w:t>一般公共预算支出：</w:t>
      </w:r>
      <w:r>
        <w:rPr>
          <w:rFonts w:hint="default" w:ascii="仿宋_GB2312" w:hAnsi="仿宋_GB2312" w:eastAsia="仿宋_GB2312" w:cs="仿宋_GB2312"/>
          <w:b w:val="0"/>
          <w:bCs w:val="0"/>
          <w:spacing w:val="0"/>
          <w:sz w:val="32"/>
          <w:szCs w:val="32"/>
        </w:rPr>
        <w:t>指通过一般公共预算收入统筹安排的支出。按新的政府收支分类科目，其功能分类范围主要包括：一般公共服务支出、外交支出、国防支出、公共安全支出、教育支出、科学技术支出、文化体育与传媒支出、社会保障和就业支出、医疗卫生与计划生育支出、节能环保支出、城乡社区支出、农林水支出、交通运输支出、资源勘探信息等支出、商业服务业等支出、金融支出、国土海洋气象等支出、住房保障支出、粮油物资储备支出、债务付息支出、债务发行费用支出、其他支出等。</w:t>
      </w:r>
    </w:p>
    <w:p>
      <w:pPr>
        <w:keepNext w:val="0"/>
        <w:keepLines w:val="0"/>
        <w:pageBreakBefore w:val="0"/>
        <w:widowControl w:val="0"/>
        <w:kinsoku/>
        <w:wordWrap/>
        <w:overflowPunct w:val="0"/>
        <w:topLinePunct w:val="0"/>
        <w:autoSpaceDE/>
        <w:autoSpaceDN/>
        <w:bidi w:val="0"/>
        <w:snapToGrid w:val="0"/>
        <w:spacing w:line="560" w:lineRule="exact"/>
        <w:ind w:firstLine="643" w:firstLineChars="200"/>
        <w:textAlignment w:val="auto"/>
        <w:rPr>
          <w:rFonts w:hint="default" w:ascii="Times New Roman" w:hAnsi="Times New Roman" w:eastAsia="仿宋_GB2312" w:cs="Times New Roman"/>
          <w:b w:val="0"/>
          <w:bCs w:val="0"/>
          <w:spacing w:val="0"/>
          <w:sz w:val="32"/>
          <w:szCs w:val="32"/>
          <w:highlight w:val="none"/>
        </w:rPr>
      </w:pPr>
      <w:r>
        <w:rPr>
          <w:rFonts w:hint="default" w:ascii="仿宋_GB2312" w:hAnsi="仿宋_GB2312" w:eastAsia="仿宋_GB2312" w:cs="仿宋_GB2312"/>
          <w:b/>
          <w:bCs/>
          <w:spacing w:val="0"/>
          <w:sz w:val="32"/>
          <w:szCs w:val="32"/>
          <w:lang w:val="en-US" w:eastAsia="zh-CN"/>
        </w:rPr>
        <w:t>政府性基金预算：</w:t>
      </w:r>
      <w:r>
        <w:rPr>
          <w:rFonts w:hint="default" w:ascii="仿宋_GB2312" w:hAnsi="仿宋_GB2312" w:eastAsia="仿宋_GB2312" w:cs="仿宋_GB2312"/>
          <w:b w:val="0"/>
          <w:bCs w:val="0"/>
          <w:spacing w:val="0"/>
          <w:sz w:val="32"/>
          <w:szCs w:val="32"/>
        </w:rPr>
        <w:t>政府性基金预算是对依照法律、行政法规的规定在一定期限内向特定对象征收、收取或者以其他方式筹集的资金，专项用于特定公共事业发展的收支预算。政府性基金预算根据基金项目收入情况和实际支出需要，按基金项目编制，做到以收定支。</w:t>
      </w:r>
    </w:p>
    <w:p>
      <w:pPr>
        <w:keepNext w:val="0"/>
        <w:keepLines w:val="0"/>
        <w:pageBreakBefore w:val="0"/>
        <w:widowControl w:val="0"/>
        <w:kinsoku/>
        <w:wordWrap/>
        <w:overflowPunct w:val="0"/>
        <w:topLinePunct w:val="0"/>
        <w:autoSpaceDE/>
        <w:autoSpaceDN/>
        <w:bidi w:val="0"/>
        <w:snapToGrid w:val="0"/>
        <w:spacing w:line="560" w:lineRule="exact"/>
        <w:ind w:firstLine="643" w:firstLineChars="200"/>
        <w:textAlignment w:val="auto"/>
        <w:rPr>
          <w:rFonts w:hint="default" w:ascii="仿宋_GB2312" w:hAnsi="仿宋_GB2312" w:eastAsia="仿宋_GB2312" w:cs="仿宋_GB2312"/>
          <w:b w:val="0"/>
          <w:bCs w:val="0"/>
          <w:spacing w:val="0"/>
          <w:sz w:val="32"/>
          <w:szCs w:val="32"/>
        </w:rPr>
      </w:pPr>
      <w:r>
        <w:rPr>
          <w:rFonts w:hint="default" w:ascii="仿宋_GB2312" w:hAnsi="仿宋_GB2312" w:eastAsia="仿宋_GB2312" w:cs="仿宋_GB2312"/>
          <w:b/>
          <w:bCs/>
          <w:spacing w:val="0"/>
          <w:sz w:val="32"/>
          <w:szCs w:val="32"/>
          <w:lang w:val="en-US" w:eastAsia="zh-CN"/>
        </w:rPr>
        <w:t>国有资本经营预算：</w:t>
      </w:r>
      <w:r>
        <w:rPr>
          <w:rFonts w:hint="default" w:ascii="仿宋_GB2312" w:hAnsi="仿宋_GB2312" w:eastAsia="仿宋_GB2312" w:cs="仿宋_GB2312"/>
          <w:b w:val="0"/>
          <w:bCs w:val="0"/>
          <w:spacing w:val="0"/>
          <w:sz w:val="32"/>
          <w:szCs w:val="32"/>
        </w:rPr>
        <w:t>国有资本经营预算是对国有资本收益作为支出安排的收支预算。国有资本经营预算应当按照收支平衡的原则编制，不列赤字，并安排资金调入一般公共预算。</w:t>
      </w:r>
    </w:p>
    <w:p>
      <w:pPr>
        <w:keepNext w:val="0"/>
        <w:keepLines w:val="0"/>
        <w:pageBreakBefore w:val="0"/>
        <w:widowControl w:val="0"/>
        <w:kinsoku/>
        <w:wordWrap/>
        <w:overflowPunct w:val="0"/>
        <w:topLinePunct w:val="0"/>
        <w:autoSpaceDE/>
        <w:autoSpaceDN/>
        <w:bidi w:val="0"/>
        <w:snapToGrid w:val="0"/>
        <w:spacing w:line="560" w:lineRule="exact"/>
        <w:ind w:firstLine="643" w:firstLineChars="200"/>
        <w:textAlignment w:val="auto"/>
        <w:rPr>
          <w:rFonts w:hint="default" w:ascii="Times New Roman" w:hAnsi="Times New Roman" w:eastAsia="黑体" w:cs="Times New Roman"/>
          <w:spacing w:val="0"/>
          <w:highlight w:val="none"/>
          <w:lang w:val="en-US" w:eastAsia="zh-CN"/>
        </w:rPr>
      </w:pPr>
      <w:r>
        <w:rPr>
          <w:rFonts w:hint="default" w:ascii="仿宋_GB2312" w:hAnsi="仿宋_GB2312" w:eastAsia="仿宋_GB2312" w:cs="仿宋_GB2312"/>
          <w:b/>
          <w:bCs/>
          <w:spacing w:val="0"/>
          <w:sz w:val="32"/>
          <w:szCs w:val="32"/>
          <w:lang w:val="en-US" w:eastAsia="zh-CN"/>
        </w:rPr>
        <w:t>地方政府债券：</w:t>
      </w:r>
      <w:r>
        <w:rPr>
          <w:rFonts w:hint="default" w:ascii="仿宋_GB2312" w:hAnsi="仿宋_GB2312" w:eastAsia="仿宋_GB2312" w:cs="仿宋_GB2312"/>
          <w:b w:val="0"/>
          <w:bCs w:val="0"/>
          <w:spacing w:val="0"/>
          <w:sz w:val="32"/>
          <w:szCs w:val="32"/>
        </w:rPr>
        <w:t>地方政府债券包括一般债券和专项债券。一般债券指为没有收益的公益性项目发行的、约定一定期限内主要以一般公共预算收入还本付息的政府债券。专项债券指为有一定收益的公益性项目发行的、约定一定期限内以公益性项目对应的政府性基金或专项收入还本付息的政府债券。按照现行政策，对于符合条件的地方政府债券到期应偿还本金，可以发行再融资债券进行“借新还旧”。</w:t>
      </w:r>
    </w:p>
    <w:p>
      <w:pPr>
        <w:keepNext w:val="0"/>
        <w:keepLines w:val="0"/>
        <w:pageBreakBefore w:val="0"/>
        <w:widowControl w:val="0"/>
        <w:kinsoku/>
        <w:wordWrap/>
        <w:overflowPunct w:val="0"/>
        <w:topLinePunct w:val="0"/>
        <w:autoSpaceDE/>
        <w:autoSpaceDN/>
        <w:bidi w:val="0"/>
        <w:snapToGrid w:val="0"/>
        <w:spacing w:line="560" w:lineRule="exact"/>
        <w:ind w:firstLine="643" w:firstLineChars="200"/>
        <w:textAlignment w:val="auto"/>
        <w:rPr>
          <w:rFonts w:hint="default" w:ascii="Times New Roman" w:hAnsi="Times New Roman" w:cs="Times New Roman"/>
          <w:spacing w:val="0"/>
          <w:highlight w:val="none"/>
        </w:rPr>
      </w:pPr>
      <w:r>
        <w:rPr>
          <w:rFonts w:hint="default" w:ascii="仿宋_GB2312" w:hAnsi="仿宋_GB2312" w:eastAsia="仿宋_GB2312" w:cs="仿宋_GB2312"/>
          <w:b/>
          <w:bCs/>
          <w:spacing w:val="0"/>
          <w:sz w:val="32"/>
          <w:szCs w:val="32"/>
          <w:lang w:val="en-US" w:eastAsia="zh-CN"/>
        </w:rPr>
        <w:t>“三保”：</w:t>
      </w:r>
      <w:r>
        <w:rPr>
          <w:rFonts w:hint="default" w:ascii="仿宋_GB2312" w:hAnsi="仿宋_GB2312" w:eastAsia="仿宋_GB2312" w:cs="仿宋_GB2312"/>
          <w:b w:val="0"/>
          <w:bCs w:val="0"/>
          <w:spacing w:val="0"/>
          <w:sz w:val="32"/>
          <w:szCs w:val="32"/>
        </w:rPr>
        <w:t>指保工资、保运转、保基本民生。做好“三保”工作，是保障群众切身利益的基本要求，也是推动政府履职和各项政策实施的基础条件。党中央、国务院明确要求，要确保基层“三保”得到有效保障。</w:t>
      </w:r>
    </w:p>
    <w:p>
      <w:pPr>
        <w:keepNext w:val="0"/>
        <w:keepLines w:val="0"/>
        <w:pageBreakBefore w:val="0"/>
        <w:widowControl w:val="0"/>
        <w:kinsoku/>
        <w:wordWrap/>
        <w:overflowPunct w:val="0"/>
        <w:topLinePunct w:val="0"/>
        <w:autoSpaceDE/>
        <w:autoSpaceDN/>
        <w:bidi w:val="0"/>
        <w:snapToGrid w:val="0"/>
        <w:spacing w:line="560" w:lineRule="exact"/>
        <w:ind w:firstLine="643" w:firstLineChars="200"/>
        <w:textAlignment w:val="auto"/>
        <w:rPr>
          <w:rFonts w:hint="default" w:ascii="Times New Roman" w:hAnsi="Times New Roman" w:cs="Times New Roman"/>
          <w:spacing w:val="0"/>
          <w:highlight w:val="none"/>
          <w:lang w:val="en-US" w:eastAsia="zh-CN"/>
        </w:rPr>
      </w:pPr>
      <w:r>
        <w:rPr>
          <w:rFonts w:hint="default" w:ascii="仿宋_GB2312" w:hAnsi="仿宋_GB2312" w:eastAsia="仿宋_GB2312" w:cs="仿宋_GB2312"/>
          <w:b/>
          <w:bCs/>
          <w:spacing w:val="0"/>
          <w:sz w:val="32"/>
          <w:szCs w:val="32"/>
          <w:lang w:val="en-US" w:eastAsia="zh-CN"/>
        </w:rPr>
        <w:t>“三公”经费：</w:t>
      </w:r>
      <w:r>
        <w:rPr>
          <w:rFonts w:hint="default" w:ascii="仿宋_GB2312" w:hAnsi="仿宋_GB2312" w:eastAsia="仿宋_GB2312" w:cs="仿宋_GB2312"/>
          <w:b w:val="0"/>
          <w:bCs w:val="0"/>
          <w:spacing w:val="0"/>
          <w:sz w:val="32"/>
          <w:szCs w:val="32"/>
          <w:lang w:eastAsia="zh-CN"/>
        </w:rPr>
        <w:t>行政（参公）单位、事业单位用于因公出国（境）、公务用车购置</w:t>
      </w:r>
      <w:r>
        <w:rPr>
          <w:rFonts w:hint="eastAsia" w:ascii="仿宋_GB2312" w:hAnsi="仿宋_GB2312" w:cs="仿宋_GB2312"/>
          <w:b w:val="0"/>
          <w:bCs w:val="0"/>
          <w:spacing w:val="0"/>
          <w:sz w:val="32"/>
          <w:szCs w:val="32"/>
          <w:lang w:val="en-US" w:eastAsia="zh-CN"/>
        </w:rPr>
        <w:t>及</w:t>
      </w:r>
      <w:r>
        <w:rPr>
          <w:rFonts w:hint="default" w:ascii="仿宋_GB2312" w:hAnsi="仿宋_GB2312" w:eastAsia="仿宋_GB2312" w:cs="仿宋_GB2312"/>
          <w:b w:val="0"/>
          <w:bCs w:val="0"/>
          <w:spacing w:val="0"/>
          <w:sz w:val="32"/>
          <w:szCs w:val="32"/>
          <w:lang w:eastAsia="zh-CN"/>
        </w:rPr>
        <w:t>运行维护、公务接待的经费。</w:t>
      </w:r>
    </w:p>
    <w:p>
      <w:pPr>
        <w:keepNext w:val="0"/>
        <w:keepLines w:val="0"/>
        <w:pageBreakBefore w:val="0"/>
        <w:widowControl w:val="0"/>
        <w:kinsoku/>
        <w:wordWrap/>
        <w:overflowPunct w:val="0"/>
        <w:topLinePunct w:val="0"/>
        <w:autoSpaceDE/>
        <w:autoSpaceDN/>
        <w:bidi w:val="0"/>
        <w:snapToGrid w:val="0"/>
        <w:spacing w:line="560" w:lineRule="exact"/>
        <w:ind w:firstLine="643" w:firstLineChars="200"/>
        <w:textAlignment w:val="auto"/>
        <w:rPr>
          <w:rFonts w:hint="default" w:ascii="Times New Roman" w:hAnsi="Times New Roman" w:cs="Times New Roman"/>
          <w:spacing w:val="0"/>
          <w:highlight w:val="none"/>
        </w:rPr>
      </w:pPr>
      <w:r>
        <w:rPr>
          <w:rFonts w:hint="default" w:ascii="仿宋_GB2312" w:hAnsi="仿宋_GB2312" w:eastAsia="仿宋_GB2312" w:cs="仿宋_GB2312"/>
          <w:b/>
          <w:bCs/>
          <w:spacing w:val="0"/>
          <w:sz w:val="32"/>
          <w:szCs w:val="32"/>
          <w:lang w:val="en-US" w:eastAsia="zh-CN"/>
        </w:rPr>
        <w:t>直达资金：</w:t>
      </w:r>
      <w:r>
        <w:rPr>
          <w:rFonts w:hint="default" w:ascii="仿宋_GB2312" w:hAnsi="仿宋_GB2312" w:eastAsia="仿宋_GB2312" w:cs="仿宋_GB2312"/>
          <w:b w:val="0"/>
          <w:bCs w:val="0"/>
          <w:spacing w:val="0"/>
          <w:sz w:val="32"/>
          <w:szCs w:val="32"/>
        </w:rPr>
        <w:t>中央财政建立常态化财政资金直达机制，资金直达市县基层、直接惠企利民，不断扩大直达资金范围，基本实现中央财政民生补助资金全覆盖。</w:t>
      </w:r>
    </w:p>
    <w:p>
      <w:pPr>
        <w:keepNext w:val="0"/>
        <w:keepLines w:val="0"/>
        <w:pageBreakBefore w:val="0"/>
        <w:widowControl w:val="0"/>
        <w:kinsoku/>
        <w:wordWrap/>
        <w:overflowPunct w:val="0"/>
        <w:topLinePunct w:val="0"/>
        <w:autoSpaceDE/>
        <w:autoSpaceDN/>
        <w:bidi w:val="0"/>
        <w:snapToGrid w:val="0"/>
        <w:spacing w:line="560" w:lineRule="exact"/>
        <w:ind w:firstLine="643" w:firstLineChars="200"/>
        <w:textAlignment w:val="auto"/>
        <w:rPr>
          <w:rFonts w:hint="default" w:ascii="Times New Roman" w:hAnsi="Times New Roman" w:cs="Times New Roman"/>
          <w:spacing w:val="0"/>
          <w:highlight w:val="none"/>
        </w:rPr>
      </w:pPr>
      <w:r>
        <w:rPr>
          <w:rFonts w:hint="default" w:ascii="仿宋_GB2312" w:hAnsi="仿宋_GB2312" w:eastAsia="仿宋_GB2312" w:cs="仿宋_GB2312"/>
          <w:b/>
          <w:bCs/>
          <w:spacing w:val="0"/>
          <w:sz w:val="32"/>
          <w:szCs w:val="32"/>
          <w:lang w:val="en-US" w:eastAsia="zh-CN"/>
        </w:rPr>
        <w:t>预算绩效管理：</w:t>
      </w:r>
      <w:r>
        <w:rPr>
          <w:rFonts w:hint="default" w:ascii="仿宋_GB2312" w:hAnsi="仿宋_GB2312" w:eastAsia="仿宋_GB2312" w:cs="仿宋_GB2312"/>
          <w:b w:val="0"/>
          <w:bCs w:val="0"/>
          <w:spacing w:val="0"/>
          <w:sz w:val="32"/>
          <w:szCs w:val="32"/>
        </w:rPr>
        <w:t>是指将绩效理念和方法深度融入预算编制、预算执行和预算监督全过程，主要包括预算绩效评估、绩效目标管理、绩效运行监控、支出绩效评价和绩效结果应用全链条的预算管理机制。</w:t>
      </w:r>
    </w:p>
    <w:p>
      <w:pPr>
        <w:keepNext w:val="0"/>
        <w:keepLines w:val="0"/>
        <w:pageBreakBefore w:val="0"/>
        <w:widowControl w:val="0"/>
        <w:kinsoku/>
        <w:wordWrap/>
        <w:overflowPunct w:val="0"/>
        <w:topLinePunct w:val="0"/>
        <w:autoSpaceDE/>
        <w:autoSpaceDN/>
        <w:bidi w:val="0"/>
        <w:snapToGrid w:val="0"/>
        <w:spacing w:line="560" w:lineRule="exact"/>
        <w:ind w:firstLine="643" w:firstLineChars="200"/>
        <w:textAlignment w:val="auto"/>
        <w:rPr>
          <w:rFonts w:hint="default" w:ascii="Times New Roman" w:hAnsi="Times New Roman" w:cs="Times New Roman"/>
          <w:spacing w:val="0"/>
          <w:highlight w:val="none"/>
        </w:rPr>
      </w:pPr>
      <w:r>
        <w:rPr>
          <w:rFonts w:hint="default" w:ascii="仿宋_GB2312" w:hAnsi="仿宋_GB2312" w:eastAsia="仿宋_GB2312" w:cs="仿宋_GB2312"/>
          <w:b/>
          <w:bCs/>
          <w:spacing w:val="0"/>
          <w:sz w:val="32"/>
          <w:szCs w:val="32"/>
          <w:lang w:val="en-US" w:eastAsia="zh-CN"/>
        </w:rPr>
        <w:t>预算管理一体化系统：</w:t>
      </w:r>
      <w:r>
        <w:rPr>
          <w:rFonts w:hint="default" w:ascii="仿宋_GB2312" w:hAnsi="仿宋_GB2312" w:eastAsia="仿宋_GB2312" w:cs="仿宋_GB2312"/>
          <w:b w:val="0"/>
          <w:bCs w:val="0"/>
          <w:spacing w:val="0"/>
          <w:sz w:val="32"/>
          <w:szCs w:val="32"/>
        </w:rPr>
        <w:t>是由财政部统一部署，以信息化手段为基础，依托全国统一的业务规范和技术标准而建立的集约化财政信息系统，实现各级预算数据的集中统一管理和上下贯通，是有</w:t>
      </w:r>
      <w:r>
        <w:rPr>
          <w:rFonts w:hint="default" w:ascii="仿宋_GB2312" w:hAnsi="仿宋_GB2312" w:eastAsia="仿宋_GB2312" w:cs="仿宋_GB2312"/>
          <w:b w:val="0"/>
          <w:bCs w:val="0"/>
          <w:spacing w:val="10"/>
          <w:sz w:val="32"/>
          <w:szCs w:val="32"/>
        </w:rPr>
        <w:t>效发挥财政在国家治理中的基础和重要支柱作用的基础</w:t>
      </w:r>
      <w:r>
        <w:rPr>
          <w:rFonts w:hint="default" w:ascii="仿宋_GB2312" w:hAnsi="仿宋_GB2312" w:eastAsia="仿宋_GB2312" w:cs="仿宋_GB2312"/>
          <w:b w:val="0"/>
          <w:bCs w:val="0"/>
          <w:spacing w:val="0"/>
          <w:sz w:val="32"/>
          <w:szCs w:val="32"/>
        </w:rPr>
        <w:t>性建设。</w:t>
      </w:r>
    </w:p>
    <w:p>
      <w:pPr>
        <w:keepNext w:val="0"/>
        <w:keepLines w:val="0"/>
        <w:pageBreakBefore w:val="0"/>
        <w:widowControl w:val="0"/>
        <w:kinsoku/>
        <w:wordWrap w:val="0"/>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spacing w:val="0"/>
          <w:kern w:val="2"/>
          <w:sz w:val="32"/>
          <w:szCs w:val="32"/>
          <w:highlight w:val="lightGray"/>
          <w:lang w:val="en-US" w:eastAsia="zh-CN" w:bidi="ar-SA"/>
        </w:rPr>
      </w:pPr>
      <w:r>
        <w:rPr>
          <w:rFonts w:hint="eastAsia" w:ascii="仿宋_GB2312" w:hAnsi="仿宋_GB2312" w:eastAsia="仿宋_GB2312" w:cs="仿宋_GB2312"/>
          <w:b/>
          <w:bCs/>
          <w:spacing w:val="0"/>
          <w:sz w:val="32"/>
          <w:szCs w:val="32"/>
          <w:lang w:val="en-US" w:eastAsia="zh-CN"/>
        </w:rPr>
        <w:t>转移性收入：</w:t>
      </w:r>
      <w:r>
        <w:rPr>
          <w:rFonts w:hint="eastAsia" w:ascii="仿宋_GB2312" w:hAnsi="仿宋_GB2312" w:eastAsia="仿宋_GB2312" w:cs="仿宋_GB2312"/>
          <w:b w:val="0"/>
          <w:bCs w:val="0"/>
          <w:spacing w:val="0"/>
          <w:sz w:val="32"/>
          <w:szCs w:val="32"/>
          <w:lang w:val="en-US" w:eastAsia="zh-CN"/>
        </w:rPr>
        <w:t>指上级税收返还和转移支付、下级上解收入、调入资金以及按照财政部规定列入转移性收入的无隶属关系政府的无偿援助。</w:t>
      </w:r>
    </w:p>
    <w:p>
      <w:pPr>
        <w:pStyle w:val="17"/>
        <w:keepNext w:val="0"/>
        <w:keepLines w:val="0"/>
        <w:pageBreakBefore w:val="0"/>
        <w:widowControl w:val="0"/>
        <w:kinsoku/>
        <w:wordWrap/>
        <w:overflowPunct w:val="0"/>
        <w:topLinePunct w:val="0"/>
        <w:autoSpaceDE/>
        <w:autoSpaceDN/>
        <w:bidi w:val="0"/>
        <w:spacing w:line="560" w:lineRule="exact"/>
        <w:ind w:left="0" w:leftChars="0" w:firstLine="616" w:firstLineChars="200"/>
        <w:textAlignment w:val="auto"/>
        <w:rPr>
          <w:rFonts w:hint="default" w:ascii="仿宋_GB2312" w:hAnsi="Times New Roman" w:eastAsia="仿宋_GB2312" w:cs="Times New Roman"/>
          <w:kern w:val="2"/>
          <w:sz w:val="32"/>
          <w:szCs w:val="32"/>
          <w:lang w:val="en-US" w:eastAsia="zh-CN" w:bidi="ar-SA"/>
        </w:rPr>
      </w:pPr>
    </w:p>
    <w:sectPr>
      <w:footerReference r:id="rId3" w:type="default"/>
      <w:footerReference r:id="rId4" w:type="even"/>
      <w:pgSz w:w="11906" w:h="16838"/>
      <w:pgMar w:top="2098" w:right="1531" w:bottom="1984" w:left="1531" w:header="851" w:footer="1049"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altName w:val="微软雅黑"/>
    <w:panose1 w:val="03000509000000000000"/>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bottomMargin">
                <wp:posOffset>139700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40.75pt;margin-top:753.7pt;height:144pt;width:144pt;mso-position-horizontal-relative:page;mso-position-vertical-relative:page;mso-wrap-style:none;z-index:251659264;mso-width-relative:page;mso-height-relative:page;" filled="f" stroked="f" coordsize="21600,21600" o:gfxdata="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vLypt1wAAAAcBAAAP&#10;AAAAAAAAAAEAIAAAACIAAABkcnMvZG93bnJldi54bWxQSwECFAAUAAAACACHTuJAB18AjhkCAAAd&#10;BAAADgAAAAAAAAABACAAAAAmAQAAZHJzL2Uyb0RvYy54bWxQSwUGAAAAAAYABgBZAQAAsQUAAAAA&#10;">
              <v:fill on="f" focussize="0,0"/>
              <v:stroke on="f" weight="0.5pt"/>
              <v:imagedata o:title=""/>
              <o:lock v:ext="edit" aspectratio="f"/>
              <v:textbox inset="16pt,0mm,16pt,0mm" style="mso-fit-shape-to-text:t;">
                <w:txbxContent>
                  <w:p>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bottomMargin">
                <wp:posOffset>139700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pt;margin-top:0pt;height:144pt;width:144pt;mso-position-horizontal-relative:page;mso-position-vertical-relative:page;mso-wrap-style:none;z-index:251660288;mso-width-relative:page;mso-height-relative:page;" filled="f" stroked="f" coordsize="21600,21600" o:gfxdata="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vLypt1wAAAAcBAAAP&#10;AAAAAAAAAAEAIAAAACIAAABkcnMvZG93bnJldi54bWxQSwECFAAUAAAACACHTuJAUhTp4hkCAAAd&#10;BAAADgAAAAAAAAABACAAAAAmAQAAZHJzL2Uyb0RvYy54bWxQSwUGAAAAAAYABgBZAQAAsQUAAAAA&#10;">
              <v:fill on="f" focussize="0,0"/>
              <v:stroke on="f" weight="0.5pt"/>
              <v:imagedata o:title=""/>
              <o:lock v:ext="edit" aspectratio="f"/>
              <v:textbox inset="16pt,0mm,16pt,0mm" style="mso-fit-shape-to-text:t;">
                <w:txbxContent>
                  <w:p>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D56AC"/>
    <w:multiLevelType w:val="singleLevel"/>
    <w:tmpl w:val="280D56AC"/>
    <w:lvl w:ilvl="0" w:tentative="0">
      <w:start w:val="1"/>
      <w:numFmt w:val="taiwaneseCounting"/>
      <w:suff w:val="nothing"/>
      <w:lvlText w:val="%1、"/>
      <w:lvlJc w:val="left"/>
      <w:pPr>
        <w:ind w:left="0" w:firstLine="640"/>
      </w:pPr>
      <w:rPr>
        <w:rFonts w:hint="eastAsia"/>
      </w:rPr>
    </w:lvl>
  </w:abstractNum>
  <w:abstractNum w:abstractNumId="1">
    <w:nsid w:val="50C556C9"/>
    <w:multiLevelType w:val="singleLevel"/>
    <w:tmpl w:val="50C556C9"/>
    <w:lvl w:ilvl="0" w:tentative="0">
      <w:start w:val="1"/>
      <w:numFmt w:val="taiwaneseCounting"/>
      <w:suff w:val="nothing"/>
      <w:lvlText w:val="（%1）"/>
      <w:lvlJc w:val="left"/>
      <w:pPr>
        <w:ind w:left="0" w:firstLine="616"/>
      </w:pPr>
      <w:rPr>
        <w:rFonts w:hint="eastAsia"/>
      </w:rPr>
    </w:lvl>
  </w:abstractNum>
  <w:abstractNum w:abstractNumId="2">
    <w:nsid w:val="59713CAE"/>
    <w:multiLevelType w:val="singleLevel"/>
    <w:tmpl w:val="59713CAE"/>
    <w:lvl w:ilvl="0" w:tentative="0">
      <w:start w:val="1"/>
      <w:numFmt w:val="taiwaneseCounting"/>
      <w:suff w:val="nothing"/>
      <w:lvlText w:val="（%1）"/>
      <w:lvlJc w:val="left"/>
      <w:pPr>
        <w:ind w:left="0" w:firstLine="64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26FF4"/>
    <w:rsid w:val="00A87242"/>
    <w:rsid w:val="02335284"/>
    <w:rsid w:val="02E1025C"/>
    <w:rsid w:val="08AF316A"/>
    <w:rsid w:val="08D579F7"/>
    <w:rsid w:val="0BEA723A"/>
    <w:rsid w:val="0F946CBE"/>
    <w:rsid w:val="10AD145C"/>
    <w:rsid w:val="12CB096D"/>
    <w:rsid w:val="15233164"/>
    <w:rsid w:val="189A5076"/>
    <w:rsid w:val="19441F7F"/>
    <w:rsid w:val="1ABE460C"/>
    <w:rsid w:val="1ACF2EEB"/>
    <w:rsid w:val="21D818E3"/>
    <w:rsid w:val="21E41C23"/>
    <w:rsid w:val="223D61B8"/>
    <w:rsid w:val="232720EB"/>
    <w:rsid w:val="26A14C25"/>
    <w:rsid w:val="2756509C"/>
    <w:rsid w:val="29C00AAB"/>
    <w:rsid w:val="30F57DBC"/>
    <w:rsid w:val="339102EE"/>
    <w:rsid w:val="35A63BF2"/>
    <w:rsid w:val="36155EDC"/>
    <w:rsid w:val="37836158"/>
    <w:rsid w:val="37CF7474"/>
    <w:rsid w:val="3CE571E4"/>
    <w:rsid w:val="3D6F3FD6"/>
    <w:rsid w:val="3DA212CB"/>
    <w:rsid w:val="3FCC1289"/>
    <w:rsid w:val="40273721"/>
    <w:rsid w:val="40E60108"/>
    <w:rsid w:val="418E451E"/>
    <w:rsid w:val="41DF4B3A"/>
    <w:rsid w:val="4341616E"/>
    <w:rsid w:val="44AF2188"/>
    <w:rsid w:val="44ED304E"/>
    <w:rsid w:val="46B3788B"/>
    <w:rsid w:val="4E4829CD"/>
    <w:rsid w:val="4EC520E1"/>
    <w:rsid w:val="4F362368"/>
    <w:rsid w:val="50AB45B7"/>
    <w:rsid w:val="518217F7"/>
    <w:rsid w:val="57B7719A"/>
    <w:rsid w:val="5C6D689A"/>
    <w:rsid w:val="5D731F24"/>
    <w:rsid w:val="5E1F0394"/>
    <w:rsid w:val="5F610303"/>
    <w:rsid w:val="60D545B3"/>
    <w:rsid w:val="62212577"/>
    <w:rsid w:val="66303079"/>
    <w:rsid w:val="66F83B86"/>
    <w:rsid w:val="6746013C"/>
    <w:rsid w:val="697D4817"/>
    <w:rsid w:val="6B312BC7"/>
    <w:rsid w:val="6CB35356"/>
    <w:rsid w:val="6F372E3F"/>
    <w:rsid w:val="78E12DEA"/>
    <w:rsid w:val="795C61F7"/>
    <w:rsid w:val="7C5D053F"/>
    <w:rsid w:val="7C7B27EB"/>
    <w:rsid w:val="7DD74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仿宋_GB2312" w:hAnsi="仿宋_GB2312" w:eastAsia="仿宋_GB2312" w:cs="Times New Roman"/>
      <w:spacing w:val="-6"/>
      <w:kern w:val="2"/>
      <w:sz w:val="32"/>
      <w:szCs w:val="32"/>
      <w:lang w:bidi="ar-SA"/>
    </w:rPr>
  </w:style>
  <w:style w:type="paragraph" w:styleId="3">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Times New Roman"/>
      <w:kern w:val="44"/>
      <w:sz w:val="32"/>
      <w:szCs w:val="32"/>
    </w:rPr>
  </w:style>
  <w:style w:type="paragraph" w:styleId="4">
    <w:name w:val="heading 2"/>
    <w:next w:val="1"/>
    <w:link w:val="22"/>
    <w:unhideWhenUsed/>
    <w:qFormat/>
    <w:uiPriority w:val="0"/>
    <w:pPr>
      <w:keepNext/>
      <w:keepLines/>
      <w:spacing w:beforeLines="0" w:beforeAutospacing="0" w:afterLines="0" w:afterAutospacing="0" w:line="560" w:lineRule="exact"/>
      <w:ind w:firstLine="894" w:firstLineChars="200"/>
      <w:outlineLvl w:val="1"/>
    </w:pPr>
    <w:rPr>
      <w:rFonts w:ascii="楷体_GB2312" w:hAnsi="楷体_GB2312" w:eastAsia="楷体_GB2312" w:cs="Times New Roman"/>
      <w:sz w:val="32"/>
      <w:szCs w:val="32"/>
    </w:rPr>
  </w:style>
  <w:style w:type="paragraph" w:styleId="5">
    <w:name w:val="heading 3"/>
    <w:next w:val="1"/>
    <w:link w:val="21"/>
    <w:unhideWhenUsed/>
    <w:qFormat/>
    <w:uiPriority w:val="0"/>
    <w:pPr>
      <w:keepNext/>
      <w:keepLines/>
      <w:spacing w:beforeLines="0" w:beforeAutospacing="0" w:afterLines="0" w:afterAutospacing="0" w:line="560" w:lineRule="exact"/>
      <w:ind w:firstLine="894" w:firstLineChars="200"/>
      <w:outlineLvl w:val="2"/>
    </w:pPr>
    <w:rPr>
      <w:rFonts w:ascii="仿宋_GB2312" w:hAnsi="仿宋_GB2312" w:eastAsia="仿宋_GB2312" w:cs="Times New Roman"/>
      <w:sz w:val="32"/>
      <w:szCs w:val="32"/>
    </w:rPr>
  </w:style>
  <w:style w:type="paragraph" w:styleId="6">
    <w:name w:val="heading 4"/>
    <w:basedOn w:val="1"/>
    <w:next w:val="1"/>
    <w:semiHidden/>
    <w:unhideWhenUsed/>
    <w:qFormat/>
    <w:uiPriority w:val="0"/>
    <w:pPr>
      <w:keepNext/>
      <w:keepLines/>
      <w:spacing w:beforeLines="0" w:beforeAutospacing="0" w:afterLines="0" w:afterAutospacing="0" w:line="560" w:lineRule="exact"/>
      <w:ind w:firstLine="894" w:firstLineChars="200"/>
      <w:outlineLvl w:val="3"/>
    </w:pPr>
    <w:rPr>
      <w:rFonts w:ascii="仿宋_GB2312" w:hAnsi="仿宋_GB2312" w:eastAsia="仿宋_GB2312" w:cs="Times New Roman"/>
      <w:sz w:val="32"/>
      <w:szCs w:val="32"/>
    </w:rPr>
  </w:style>
  <w:style w:type="paragraph" w:styleId="7">
    <w:name w:val="heading 5"/>
    <w:next w:val="1"/>
    <w:semiHidden/>
    <w:unhideWhenUsed/>
    <w:qFormat/>
    <w:uiPriority w:val="0"/>
    <w:pPr>
      <w:spacing w:line="560" w:lineRule="exact"/>
      <w:ind w:firstLine="894" w:firstLineChars="200"/>
      <w:outlineLvl w:val="4"/>
    </w:pPr>
    <w:rPr>
      <w:rFonts w:ascii="仿宋_GB2312" w:hAnsi="仿宋_GB2312" w:eastAsia="仿宋_GB2312" w:cs="Times New Roman"/>
      <w:sz w:val="32"/>
      <w:szCs w:val="32"/>
    </w:rPr>
  </w:style>
  <w:style w:type="paragraph" w:styleId="8">
    <w:name w:val="heading 6"/>
    <w:next w:val="1"/>
    <w:semiHidden/>
    <w:unhideWhenUsed/>
    <w:qFormat/>
    <w:uiPriority w:val="0"/>
    <w:pPr>
      <w:spacing w:line="560" w:lineRule="exact"/>
      <w:ind w:firstLine="894" w:firstLineChars="200"/>
      <w:outlineLvl w:val="5"/>
    </w:pPr>
    <w:rPr>
      <w:rFonts w:ascii="仿宋_GB2312" w:hAnsi="仿宋_GB2312" w:eastAsia="仿宋_GB2312" w:cs="Times New Roman"/>
      <w:sz w:val="32"/>
      <w:szCs w:val="32"/>
    </w:rPr>
  </w:style>
  <w:style w:type="paragraph" w:styleId="9">
    <w:name w:val="heading 7"/>
    <w:next w:val="1"/>
    <w:semiHidden/>
    <w:unhideWhenUsed/>
    <w:qFormat/>
    <w:uiPriority w:val="0"/>
    <w:pPr>
      <w:spacing w:line="560" w:lineRule="exact"/>
      <w:ind w:firstLine="894" w:firstLineChars="200"/>
      <w:outlineLvl w:val="6"/>
    </w:pPr>
    <w:rPr>
      <w:rFonts w:ascii="仿宋_GB2312" w:hAnsi="仿宋_GB2312" w:eastAsia="仿宋_GB2312" w:cs="Times New Roman"/>
      <w:sz w:val="32"/>
      <w:szCs w:val="32"/>
    </w:rPr>
  </w:style>
  <w:style w:type="paragraph" w:styleId="10">
    <w:name w:val="heading 8"/>
    <w:next w:val="1"/>
    <w:semiHidden/>
    <w:unhideWhenUsed/>
    <w:qFormat/>
    <w:uiPriority w:val="0"/>
    <w:pPr>
      <w:spacing w:line="560" w:lineRule="exact"/>
      <w:ind w:firstLine="894" w:firstLineChars="200"/>
      <w:outlineLvl w:val="7"/>
    </w:pPr>
    <w:rPr>
      <w:rFonts w:ascii="仿宋_GB2312" w:hAnsi="仿宋_GB2312" w:eastAsia="仿宋_GB2312" w:cs="Times New Roman"/>
      <w:sz w:val="32"/>
      <w:szCs w:val="32"/>
    </w:rPr>
  </w:style>
  <w:style w:type="paragraph" w:styleId="11">
    <w:name w:val="heading 9"/>
    <w:next w:val="1"/>
    <w:semiHidden/>
    <w:unhideWhenUsed/>
    <w:qFormat/>
    <w:uiPriority w:val="0"/>
    <w:pPr>
      <w:spacing w:line="560" w:lineRule="exact"/>
      <w:ind w:firstLine="894" w:firstLineChars="200"/>
      <w:outlineLvl w:val="8"/>
    </w:pPr>
    <w:rPr>
      <w:rFonts w:ascii="仿宋_GB2312" w:hAnsi="仿宋_GB2312" w:eastAsia="仿宋_GB2312" w:cs="Times New Roman"/>
      <w:sz w:val="32"/>
      <w:szCs w:val="32"/>
    </w:rPr>
  </w:style>
  <w:style w:type="character" w:default="1" w:styleId="19">
    <w:name w:val="Default Paragraph Font"/>
    <w:semiHidden/>
    <w:qFormat/>
    <w:uiPriority w:val="0"/>
  </w:style>
  <w:style w:type="table" w:default="1" w:styleId="1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line="560" w:lineRule="exact"/>
      <w:ind w:firstLine="630" w:firstLineChars="200"/>
      <w:jc w:val="both"/>
    </w:pPr>
    <w:rPr>
      <w:rFonts w:ascii="仿宋_GB2312" w:hAnsi="仿宋_GB2312" w:eastAsia="仿宋_GB2312" w:cs="Times New Roman"/>
      <w:spacing w:val="-6"/>
      <w:sz w:val="32"/>
    </w:rPr>
  </w:style>
  <w:style w:type="paragraph" w:styleId="12">
    <w:name w:val="footer"/>
    <w:basedOn w:val="1"/>
    <w:next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560" w:lineRule="exact"/>
      <w:jc w:val="center"/>
      <w:outlineLvl w:val="1"/>
    </w:pPr>
    <w:rPr>
      <w:rFonts w:ascii="楷体_GB2312" w:hAnsi="楷体_GB2312" w:eastAsia="楷体_GB2312" w:cs="Times New Roman"/>
      <w:kern w:val="28"/>
      <w:sz w:val="32"/>
      <w:szCs w:val="32"/>
    </w:rPr>
  </w:style>
  <w:style w:type="paragraph" w:styleId="15">
    <w:name w:val="Normal (Web)"/>
    <w:basedOn w:val="1"/>
    <w:next w:val="12"/>
    <w:qFormat/>
    <w:uiPriority w:val="0"/>
    <w:pPr>
      <w:spacing w:before="0" w:beforeAutospacing="1" w:after="0" w:afterAutospacing="1"/>
      <w:ind w:left="0" w:right="0"/>
      <w:jc w:val="left"/>
    </w:pPr>
    <w:rPr>
      <w:kern w:val="0"/>
      <w:sz w:val="24"/>
      <w:lang w:val="en-US" w:eastAsia="zh-CN" w:bidi="ar"/>
    </w:rPr>
  </w:style>
  <w:style w:type="paragraph" w:styleId="16">
    <w:name w:val="Title"/>
    <w:qFormat/>
    <w:uiPriority w:val="0"/>
    <w:pPr>
      <w:spacing w:line="720" w:lineRule="exact"/>
      <w:jc w:val="center"/>
      <w:outlineLvl w:val="0"/>
    </w:pPr>
    <w:rPr>
      <w:rFonts w:ascii="方正小标宋简体" w:hAnsi="方正小标宋简体" w:eastAsia="方正小标宋简体" w:cs="Times New Roman"/>
      <w:sz w:val="44"/>
      <w:szCs w:val="44"/>
    </w:rPr>
  </w:style>
  <w:style w:type="paragraph" w:styleId="17">
    <w:name w:val="Body Text First Indent 2"/>
    <w:basedOn w:val="1"/>
    <w:next w:val="1"/>
    <w:qFormat/>
    <w:uiPriority w:val="0"/>
    <w:pPr>
      <w:ind w:firstLine="420" w:firstLineChars="200"/>
    </w:pPr>
  </w:style>
  <w:style w:type="paragraph" w:customStyle="1" w:styleId="20">
    <w:name w:val="主送对象"/>
    <w:next w:val="1"/>
    <w:qFormat/>
    <w:uiPriority w:val="0"/>
    <w:pPr>
      <w:spacing w:line="560" w:lineRule="exact"/>
    </w:pPr>
    <w:rPr>
      <w:rFonts w:ascii="仿宋_GB2312" w:hAnsi="仿宋_GB2312" w:eastAsia="仿宋_GB2312" w:cs="Times New Roman"/>
      <w:sz w:val="32"/>
      <w:szCs w:val="32"/>
    </w:rPr>
  </w:style>
  <w:style w:type="character" w:customStyle="1" w:styleId="21">
    <w:name w:val="标题 3 Char"/>
    <w:link w:val="5"/>
    <w:qFormat/>
    <w:uiPriority w:val="0"/>
    <w:rPr>
      <w:rFonts w:ascii="仿宋_GB2312" w:hAnsi="仿宋_GB2312" w:eastAsia="仿宋_GB2312" w:cs="Times New Roman"/>
      <w:sz w:val="32"/>
      <w:szCs w:val="32"/>
    </w:rPr>
  </w:style>
  <w:style w:type="character" w:customStyle="1" w:styleId="22">
    <w:name w:val="标题 2 Char"/>
    <w:link w:val="4"/>
    <w:qFormat/>
    <w:uiPriority w:val="0"/>
    <w:rPr>
      <w:rFonts w:ascii="楷体_GB2312" w:hAnsi="楷体_GB2312" w:eastAsia="楷体_GB2312" w:cs="Times New Roman"/>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9015</Words>
  <Characters>9525</Characters>
  <Lines>0</Lines>
  <Paragraphs>0</Paragraphs>
  <TotalTime>93</TotalTime>
  <ScaleCrop>false</ScaleCrop>
  <LinksUpToDate>false</LinksUpToDate>
  <CharactersWithSpaces>9531</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2025-12-08T10:39:00Z</dcterms:created>
  <dc:creator>Administrator</dc:creator>
  <cp:lastModifiedBy>Administrator</cp:lastModifiedBy>
  <cp:lastPrinted>2026-01-20T02:30:00Z</cp:lastPrinted>
  <dcterms:modified xsi:type="dcterms:W3CDTF">2026-02-12T01:00:04Z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KSOTemplateDocerSaveRecord">
    <vt:lpwstr>eyJoZGlkIjoiOGIwY2Q4YjkyY2QwZjVlMmI5YjM4YTFmMjY4ZTMyMGMiLCJ1c2VySWQiOiI1MTc0MzAyMDMifQ==</vt:lpwstr>
  </property>
  <property fmtid="{D5CDD505-2E9C-101B-9397-08002B2CF9AE}" pid="4" name="ICV">
    <vt:lpwstr>857B97923C2A4A05BA537C2A05FA875F_12</vt:lpwstr>
  </property>
</Properties>
</file>