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Rule="exact" w:line="576" w:before="0" w:after="0"/>
        <w:jc w:val="both"/>
      </w:pPr>
      <w:r>
        <w:rPr>
          <w:rFonts w:ascii="仿宋_GB2312" w:hAnsi="仿宋_GB2312" w:eastAsia="WenQuanYi Zen Hei"/>
          <w:b w:val="0"/>
          <w:sz w:val="32"/>
        </w:rPr>
      </w:r>
    </w:p>
    <w:p>
      <w:pPr>
        <w:spacing w:lineRule="exact" w:line="576" w:before="0" w:after="0"/>
        <w:jc w:val="center"/>
      </w:pPr>
      <w:r>
        <w:rPr>
          <w:rFonts w:ascii="方正小标宋简体" w:hAnsi="方正小标宋简体" w:eastAsia="WenQuanYi Zen Hei"/>
          <w:b w:val="0"/>
          <w:sz w:val="44"/>
        </w:rPr>
        <w:t>AI文章智能校对系统</w:t>
      </w:r>
    </w:p>
    <w:p>
      <w:pPr>
        <w:spacing w:lineRule="exact" w:line="576" w:before="0" w:after="0"/>
        <w:jc w:val="center"/>
      </w:pPr>
      <w:r>
        <w:rPr>
          <w:rFonts w:ascii="方正小标宋简体" w:hAnsi="方正小标宋简体" w:eastAsia="WenQuanYi Zen Hei"/>
          <w:b w:val="0"/>
          <w:sz w:val="44"/>
        </w:rPr>
        <w:t>解决方案书</w:t>
      </w:r>
    </w:p>
    <w:p>
      <w:pPr>
        <w:spacing w:lineRule="exact" w:line="576" w:before="0" w:after="0"/>
        <w:jc w:val="both"/>
      </w:pPr>
      <w:r>
        <w:rPr>
          <w:rFonts w:ascii="仿宋_GB2312" w:hAnsi="仿宋_GB2312" w:eastAsia="WenQuanYi Zen Hei"/>
          <w:b w:val="0"/>
          <w:sz w:val="32"/>
        </w:rPr>
      </w:r>
    </w:p>
    <w:p>
      <w:pPr>
        <w:spacing w:lineRule="exact" w:line="576"/>
        <w:jc w:val="left"/>
      </w:pPr>
      <w:r>
        <w:rPr>
          <w:rFonts w:ascii="仿宋_GB2312" w:hAnsi="仿宋_GB2312" w:eastAsia="WenQuanYi Zen Hei"/>
          <w:b w:val="0"/>
          <w:sz w:val="32"/>
        </w:rPr>
        <w:t>各有关单位：</w:t>
      </w:r>
    </w:p>
    <w:p>
      <w:pPr>
        <w:spacing w:lineRule="exact" w:line="576" w:before="0" w:after="0"/>
        <w:jc w:val="both"/>
      </w:pPr>
      <w:r>
        <w:rPr>
          <w:rFonts w:ascii="黑体" w:hAnsi="黑体" w:eastAsia="WenQuanYi Zen Hei"/>
          <w:b w:val="0"/>
          <w:sz w:val="32"/>
        </w:rPr>
        <w:t>一、项目概述</w:t>
      </w:r>
    </w:p>
    <w:p>
      <w:pPr>
        <w:spacing w:lineRule="exact" w:line="576" w:before="0" w:after="0"/>
        <w:jc w:val="both"/>
      </w:pPr>
      <w:r>
        <w:rPr>
          <w:rFonts w:ascii="楷体_GB2312" w:hAnsi="楷体_GB2312" w:eastAsia="WenQuanYi Zen Hei"/>
          <w:b w:val="0"/>
          <w:sz w:val="32"/>
        </w:rPr>
        <w:t>（一）项目背景</w:t>
      </w:r>
    </w:p>
    <w:p>
      <w:pPr>
        <w:spacing w:lineRule="exact" w:line="576" w:before="0" w:after="0"/>
        <w:ind w:firstLine="8128000"/>
        <w:jc w:val="both"/>
      </w:pPr>
      <w:r>
        <w:rPr>
          <w:rFonts w:ascii="仿宋_GB2312" w:hAnsi="仿宋_GB2312" w:eastAsia="WenQuanYi Zen Hei"/>
          <w:b w:val="0"/>
          <w:sz w:val="32"/>
        </w:rPr>
        <w:t>当前，各级党政机关、企事业单位在公文起草、政策文件审核、新闻稿件编发等日常工作中，文档校对工作主要依赖人工审阅。传统人工校对方式存在以下突出问题：一是效率低下，单篇公文人工校对平均耗时30至60分钟，难以满足急件急办的工作要求；二是准确率受限，长时间伏案审校易产生视觉疲劳，导致错别字、语法错误、表述不规范等问题漏检；三是标准不统一，不同审校人员的业务水平与经验差异较大，校对质量参差不齐；四是缺乏可追溯性，人工校对过程缺乏系统记录，事后难以复盘与改进。</w:t>
      </w:r>
    </w:p>
    <w:p>
      <w:pPr>
        <w:spacing w:lineRule="exact" w:line="576" w:before="0" w:after="0"/>
        <w:ind w:firstLine="8128000"/>
        <w:jc w:val="both"/>
      </w:pPr>
      <w:r>
        <w:rPr>
          <w:rFonts w:ascii="仿宋_GB2312" w:hAnsi="仿宋_GB2312" w:eastAsia="WenQuanYi Zen Hei"/>
          <w:b w:val="0"/>
          <w:sz w:val="32"/>
        </w:rPr>
        <w:t>随着国家数字化转型的深入推进，各级机关对公文质量的要求日益提高。《党政机关公文处理工作条例》明确要求公文应当"内容准确、格式规范"，各级单位亟需借助信息化手段提升文档质量管理水平。在此背景下，基于深度学习与自然语言处理技术的智能校对系统应运而生，旨在以技术手段弥补人工校对的不足，全面提升文档质量与工作效率。</w:t>
      </w:r>
    </w:p>
    <w:p>
      <w:pPr>
        <w:spacing w:lineRule="exact" w:line="576" w:before="0" w:after="0"/>
        <w:jc w:val="both"/>
      </w:pPr>
      <w:r>
        <w:rPr>
          <w:rFonts w:ascii="楷体_GB2312" w:hAnsi="楷体_GB2312" w:eastAsia="WenQuanYi Zen Hei"/>
          <w:b w:val="0"/>
          <w:sz w:val="32"/>
        </w:rPr>
        <w:t>（二）系统定位</w:t>
      </w:r>
    </w:p>
    <w:p>
      <w:pPr>
        <w:spacing w:lineRule="exact" w:line="576" w:before="0" w:after="0"/>
        <w:ind w:firstLine="8128000"/>
        <w:jc w:val="both"/>
      </w:pPr>
      <w:r>
        <w:rPr>
          <w:rFonts w:ascii="仿宋_GB2312" w:hAnsi="仿宋_GB2312" w:eastAsia="WenQuanYi Zen Hei"/>
          <w:b w:val="0"/>
          <w:sz w:val="32"/>
        </w:rPr>
        <w:t>AI文章智能校对系统是一款基于深度学习与NLP技术、专为党政机关公文与企业正式文档打造的智能校对工具。系统通过模拟人工专家审校逻辑，自动识别并修正错别字、语法错误、格式不规范、政治表述不合规等多类问题，实现从"人工审校"到"智能辅助"的范式转变。</w:t>
      </w:r>
    </w:p>
    <w:p>
      <w:pPr>
        <w:spacing w:lineRule="exact" w:line="576" w:before="0" w:after="0"/>
        <w:ind w:firstLine="8128000"/>
        <w:jc w:val="both"/>
      </w:pPr>
      <w:r>
        <w:rPr>
          <w:rFonts w:ascii="仿宋_GB2312" w:hAnsi="仿宋_GB2312" w:eastAsia="WenQuanYi Zen Hei"/>
          <w:b w:val="0"/>
          <w:sz w:val="32"/>
        </w:rPr>
        <w:t>系统采用多模型并行处理与交叉验证算法，大幅提升错误检出率与校对准确性；基于本地知识库的私有化部署方案，确保核心数据物理隔离、安全可控；支持文件上传、文本粘贴、URL链接解析等多种输入方式，灵活适配不同工作场景。</w:t>
      </w:r>
    </w:p>
    <w:p>
      <w:pPr>
        <w:spacing w:lineRule="exact" w:line="576" w:before="0" w:after="0"/>
        <w:jc w:val="both"/>
      </w:pPr>
      <w:r>
        <w:rPr>
          <w:rFonts w:ascii="楷体_GB2312" w:hAnsi="楷体_GB2312" w:eastAsia="WenQuanYi Zen Hei"/>
          <w:b w:val="0"/>
          <w:sz w:val="32"/>
        </w:rPr>
        <w:t>（三）核心价值</w:t>
      </w:r>
    </w:p>
    <w:p>
      <w:pPr>
        <w:spacing w:lineRule="exact" w:line="576" w:before="0" w:after="0"/>
        <w:ind w:firstLine="8128000"/>
        <w:jc w:val="both"/>
      </w:pPr>
      <w:r>
        <w:rPr>
          <w:rFonts w:ascii="仿宋_GB2312" w:hAnsi="仿宋_GB2312" w:eastAsia="WenQuanYi Zen Hei"/>
          <w:b w:val="0"/>
          <w:sz w:val="32"/>
        </w:rPr>
        <w:t>本系统的核心价值体现在以下四个方面：</w:t>
      </w:r>
    </w:p>
    <w:p>
      <w:pPr>
        <w:spacing w:lineRule="exact" w:line="576" w:before="0" w:after="0"/>
        <w:ind w:firstLine="8128000"/>
        <w:jc w:val="both"/>
      </w:pPr>
      <w:r>
        <w:rPr>
          <w:rFonts w:ascii="仿宋_GB2312" w:hAnsi="仿宋_GB2312" w:eastAsia="WenQuanYi Zen Hei"/>
          <w:b w:val="0"/>
          <w:sz w:val="32"/>
        </w:rPr>
        <w:t>一是效率提升。校对速度较人工提升50%以上，支持批量处理多个文档，显著缩短文档处理周期，满足急件急办需求。</w:t>
      </w:r>
    </w:p>
    <w:p>
      <w:pPr>
        <w:spacing w:lineRule="exact" w:line="576" w:before="0" w:after="0"/>
        <w:ind w:firstLine="8128000"/>
        <w:jc w:val="both"/>
      </w:pPr>
      <w:r>
        <w:rPr>
          <w:rFonts w:ascii="仿宋_GB2312" w:hAnsi="仿宋_GB2312" w:eastAsia="WenQuanYi Zen Hei"/>
          <w:b w:val="0"/>
          <w:sz w:val="32"/>
        </w:rPr>
        <w:t>二是准确性保障。多模型交叉验证机制确保校对结果可靠性，有效规避因文字疏漏导致的政策风险与舆论风险。</w:t>
      </w:r>
    </w:p>
    <w:p>
      <w:pPr>
        <w:spacing w:lineRule="exact" w:line="576" w:before="0" w:after="0"/>
        <w:ind w:firstLine="8128000"/>
        <w:jc w:val="both"/>
      </w:pPr>
      <w:r>
        <w:rPr>
          <w:rFonts w:ascii="仿宋_GB2312" w:hAnsi="仿宋_GB2312" w:eastAsia="WenQuanYi Zen Hei"/>
          <w:b w:val="0"/>
          <w:sz w:val="32"/>
        </w:rPr>
        <w:t>三是安全可控。本地化部署方案保障数据安全，校对过程与结果均在本地完成，核心数据不出域、不外泄。</w:t>
      </w:r>
    </w:p>
    <w:p>
      <w:pPr>
        <w:spacing w:lineRule="exact" w:line="576" w:before="0" w:after="0"/>
        <w:ind w:firstLine="8128000"/>
        <w:jc w:val="both"/>
      </w:pPr>
      <w:r>
        <w:rPr>
          <w:rFonts w:ascii="仿宋_GB2312" w:hAnsi="仿宋_GB2312" w:eastAsia="WenQuanYi Zen Hei"/>
          <w:b w:val="0"/>
          <w:sz w:val="32"/>
        </w:rPr>
        <w:t>四是规范统一。内置专业公文校对规则库，统一校对标准，消除人为差异，确保公文质量的一致性与规范性。</w:t>
      </w:r>
    </w:p>
    <w:p>
      <w:pPr>
        <w:spacing w:lineRule="exact" w:line="576" w:before="0" w:after="0"/>
        <w:jc w:val="both"/>
      </w:pPr>
      <w:r>
        <w:rPr>
          <w:rFonts w:ascii="仿宋_GB2312" w:hAnsi="仿宋_GB2312" w:eastAsia="WenQuanYi Zen Hei"/>
          <w:b w:val="0"/>
          <w:sz w:val="32"/>
        </w:rPr>
      </w:r>
    </w:p>
    <w:tbl>
      <w:tblPr>
        <w:tblW w:type="auto" w:w="0"/>
        <w:jc w:val="center"/>
        <w:tblLayout w:type="fixed"/>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948"/>
        <w:gridCol w:w="2948"/>
        <w:gridCol w:w="2948"/>
      </w:tblGrid>
      <w:tr>
        <w:tc>
          <w:tcPr>
            <w:tcW w:type="dxa" w:w="2268"/>
            <w:vAlign w:val="center"/>
            <w:shd w:fill="D9E2F3" w:val="clear"/>
          </w:tcPr>
          <w:p>
            <w:pPr>
              <w:spacing w:lineRule="exact" w:line="440" w:before="0" w:after="0"/>
              <w:jc w:val="both"/>
            </w:pPr>
            <w:r/>
            <w:r>
              <w:rPr>
                <w:rFonts w:ascii="黑体" w:hAnsi="黑体" w:eastAsia="WenQuanYi Zen Hei"/>
                <w:b/>
                <w:sz w:val="28"/>
              </w:rPr>
              <w:t>价值维度</w:t>
            </w:r>
          </w:p>
        </w:tc>
        <w:tc>
          <w:tcPr>
            <w:tcW w:type="dxa" w:w="3402"/>
            <w:vAlign w:val="center"/>
            <w:shd w:fill="D9E2F3" w:val="clear"/>
          </w:tcPr>
          <w:p>
            <w:pPr>
              <w:spacing w:lineRule="exact" w:line="440" w:before="0" w:after="0"/>
              <w:jc w:val="both"/>
            </w:pPr>
            <w:r/>
            <w:r>
              <w:rPr>
                <w:rFonts w:ascii="黑体" w:hAnsi="黑体" w:eastAsia="WenQuanYi Zen Hei"/>
                <w:b/>
                <w:sz w:val="28"/>
              </w:rPr>
              <w:t>量化指标</w:t>
            </w:r>
          </w:p>
        </w:tc>
        <w:tc>
          <w:tcPr>
            <w:tcW w:type="dxa" w:w="3402"/>
            <w:vAlign w:val="center"/>
            <w:shd w:fill="D9E2F3" w:val="clear"/>
          </w:tcPr>
          <w:p>
            <w:pPr>
              <w:spacing w:lineRule="exact" w:line="440" w:before="0" w:after="0"/>
              <w:jc w:val="both"/>
            </w:pPr>
            <w:r/>
            <w:r>
              <w:rPr>
                <w:rFonts w:ascii="黑体" w:hAnsi="黑体" w:eastAsia="WenQuanYi Zen Hei"/>
                <w:b/>
                <w:sz w:val="28"/>
              </w:rPr>
              <w:t>对比基准</w:t>
            </w:r>
          </w:p>
        </w:tc>
      </w:tr>
      <w:tr>
        <w:tc>
          <w:tcPr>
            <w:tcW w:type="dxa" w:w="2268"/>
            <w:vAlign w:val="center"/>
          </w:tcPr>
          <w:p>
            <w:pPr>
              <w:spacing w:lineRule="exact" w:line="440" w:before="0" w:after="0"/>
              <w:jc w:val="both"/>
            </w:pPr>
            <w:r/>
            <w:r>
              <w:rPr>
                <w:rFonts w:ascii="仿宋_GB2312" w:hAnsi="仿宋_GB2312" w:eastAsia="WenQuanYi Zen Hei"/>
                <w:b w:val="0"/>
                <w:sz w:val="28"/>
              </w:rPr>
              <w:t>效率提升</w:t>
            </w:r>
          </w:p>
        </w:tc>
        <w:tc>
          <w:tcPr>
            <w:tcW w:type="dxa" w:w="3402"/>
            <w:vAlign w:val="center"/>
          </w:tcPr>
          <w:p>
            <w:pPr>
              <w:spacing w:lineRule="exact" w:line="440" w:before="0" w:after="0"/>
              <w:jc w:val="both"/>
            </w:pPr>
            <w:r/>
            <w:r>
              <w:rPr>
                <w:rFonts w:ascii="仿宋_GB2312" w:hAnsi="仿宋_GB2312" w:eastAsia="WenQuanYi Zen Hei"/>
                <w:b w:val="0"/>
                <w:sz w:val="28"/>
              </w:rPr>
              <w:t>校对速度提升50%以上</w:t>
            </w:r>
          </w:p>
        </w:tc>
        <w:tc>
          <w:tcPr>
            <w:tcW w:type="dxa" w:w="3402"/>
            <w:vAlign w:val="center"/>
          </w:tcPr>
          <w:p>
            <w:pPr>
              <w:spacing w:lineRule="exact" w:line="440" w:before="0" w:after="0"/>
              <w:jc w:val="both"/>
            </w:pPr>
            <w:r/>
            <w:r>
              <w:rPr>
                <w:rFonts w:ascii="仿宋_GB2312" w:hAnsi="仿宋_GB2312" w:eastAsia="WenQuanYi Zen Hei"/>
                <w:b w:val="0"/>
                <w:sz w:val="28"/>
              </w:rPr>
              <w:t>单篇人工校对30-60分钟</w:t>
            </w:r>
          </w:p>
        </w:tc>
      </w:tr>
      <w:tr>
        <w:tc>
          <w:tcPr>
            <w:tcW w:type="dxa" w:w="2268"/>
            <w:vAlign w:val="center"/>
            <w:shd w:fill="F2F2F2" w:val="clear"/>
          </w:tcPr>
          <w:p>
            <w:pPr>
              <w:spacing w:lineRule="exact" w:line="440" w:before="0" w:after="0"/>
              <w:jc w:val="both"/>
            </w:pPr>
            <w:r/>
            <w:r>
              <w:rPr>
                <w:rFonts w:ascii="仿宋_GB2312" w:hAnsi="仿宋_GB2312" w:eastAsia="WenQuanYi Zen Hei"/>
                <w:b w:val="0"/>
                <w:sz w:val="28"/>
              </w:rPr>
              <w:t>准确性保障</w:t>
            </w:r>
          </w:p>
        </w:tc>
        <w:tc>
          <w:tcPr>
            <w:tcW w:type="dxa" w:w="3402"/>
            <w:vAlign w:val="center"/>
            <w:shd w:fill="F2F2F2" w:val="clear"/>
          </w:tcPr>
          <w:p>
            <w:pPr>
              <w:spacing w:lineRule="exact" w:line="440" w:before="0" w:after="0"/>
              <w:jc w:val="both"/>
            </w:pPr>
            <w:r/>
            <w:r>
              <w:rPr>
                <w:rFonts w:ascii="仿宋_GB2312" w:hAnsi="仿宋_GB2312" w:eastAsia="WenQuanYi Zen Hei"/>
                <w:b w:val="0"/>
                <w:sz w:val="28"/>
              </w:rPr>
              <w:t>错误检出率提升85%</w:t>
            </w:r>
          </w:p>
        </w:tc>
        <w:tc>
          <w:tcPr>
            <w:tcW w:type="dxa" w:w="3402"/>
            <w:vAlign w:val="center"/>
            <w:shd w:fill="F2F2F2" w:val="clear"/>
          </w:tcPr>
          <w:p>
            <w:pPr>
              <w:spacing w:lineRule="exact" w:line="440" w:before="0" w:after="0"/>
              <w:jc w:val="both"/>
            </w:pPr>
            <w:r/>
            <w:r>
              <w:rPr>
                <w:rFonts w:ascii="仿宋_GB2312" w:hAnsi="仿宋_GB2312" w:eastAsia="WenQuanYi Zen Hei"/>
                <w:b w:val="0"/>
                <w:sz w:val="28"/>
              </w:rPr>
              <w:t>人工校对漏检率15%-25%</w:t>
            </w:r>
          </w:p>
        </w:tc>
      </w:tr>
      <w:tr>
        <w:tc>
          <w:tcPr>
            <w:tcW w:type="dxa" w:w="2268"/>
            <w:vAlign w:val="center"/>
          </w:tcPr>
          <w:p>
            <w:pPr>
              <w:spacing w:lineRule="exact" w:line="440" w:before="0" w:after="0"/>
              <w:jc w:val="both"/>
            </w:pPr>
            <w:r/>
            <w:r>
              <w:rPr>
                <w:rFonts w:ascii="仿宋_GB2312" w:hAnsi="仿宋_GB2312" w:eastAsia="WenQuanYi Zen Hei"/>
                <w:b w:val="0"/>
                <w:sz w:val="28"/>
              </w:rPr>
              <w:t>安全可控</w:t>
            </w:r>
          </w:p>
        </w:tc>
        <w:tc>
          <w:tcPr>
            <w:tcW w:type="dxa" w:w="3402"/>
            <w:vAlign w:val="center"/>
          </w:tcPr>
          <w:p>
            <w:pPr>
              <w:spacing w:lineRule="exact" w:line="440" w:before="0" w:after="0"/>
              <w:jc w:val="both"/>
            </w:pPr>
            <w:r/>
            <w:r>
              <w:rPr>
                <w:rFonts w:ascii="仿宋_GB2312" w:hAnsi="仿宋_GB2312" w:eastAsia="WenQuanYi Zen Hei"/>
                <w:b w:val="0"/>
                <w:sz w:val="28"/>
              </w:rPr>
              <w:t>数据本地留存，零外泄风险</w:t>
            </w:r>
          </w:p>
        </w:tc>
        <w:tc>
          <w:tcPr>
            <w:tcW w:type="dxa" w:w="3402"/>
            <w:vAlign w:val="center"/>
          </w:tcPr>
          <w:p>
            <w:pPr>
              <w:spacing w:lineRule="exact" w:line="440" w:before="0" w:after="0"/>
              <w:jc w:val="both"/>
            </w:pPr>
            <w:r/>
            <w:r>
              <w:rPr>
                <w:rFonts w:ascii="仿宋_GB2312" w:hAnsi="仿宋_GB2312" w:eastAsia="WenQuanYi Zen Hei"/>
                <w:b w:val="0"/>
                <w:sz w:val="28"/>
              </w:rPr>
              <w:t>云端方案存在传输风险</w:t>
            </w:r>
          </w:p>
        </w:tc>
      </w:tr>
      <w:tr>
        <w:tc>
          <w:tcPr>
            <w:tcW w:type="dxa" w:w="2268"/>
            <w:vAlign w:val="center"/>
            <w:shd w:fill="F2F2F2" w:val="clear"/>
          </w:tcPr>
          <w:p>
            <w:pPr>
              <w:spacing w:lineRule="exact" w:line="440" w:before="0" w:after="0"/>
              <w:jc w:val="both"/>
            </w:pPr>
            <w:r/>
            <w:r>
              <w:rPr>
                <w:rFonts w:ascii="仿宋_GB2312" w:hAnsi="仿宋_GB2312" w:eastAsia="WenQuanYi Zen Hei"/>
                <w:b w:val="0"/>
                <w:sz w:val="28"/>
              </w:rPr>
              <w:t>规范统一</w:t>
            </w:r>
          </w:p>
        </w:tc>
        <w:tc>
          <w:tcPr>
            <w:tcW w:type="dxa" w:w="3402"/>
            <w:vAlign w:val="center"/>
            <w:shd w:fill="F2F2F2" w:val="clear"/>
          </w:tcPr>
          <w:p>
            <w:pPr>
              <w:spacing w:lineRule="exact" w:line="440" w:before="0" w:after="0"/>
              <w:jc w:val="both"/>
            </w:pPr>
            <w:r/>
            <w:r>
              <w:rPr>
                <w:rFonts w:ascii="仿宋_GB2312" w:hAnsi="仿宋_GB2312" w:eastAsia="WenQuanYi Zen Hei"/>
                <w:b w:val="0"/>
                <w:sz w:val="28"/>
              </w:rPr>
              <w:t>8+种专业规则全覆盖</w:t>
            </w:r>
          </w:p>
        </w:tc>
        <w:tc>
          <w:tcPr>
            <w:tcW w:type="dxa" w:w="3402"/>
            <w:vAlign w:val="center"/>
            <w:shd w:fill="F2F2F2" w:val="clear"/>
          </w:tcPr>
          <w:p>
            <w:pPr>
              <w:spacing w:lineRule="exact" w:line="440" w:before="0" w:after="0"/>
              <w:jc w:val="both"/>
            </w:pPr>
            <w:r/>
            <w:r>
              <w:rPr>
                <w:rFonts w:ascii="仿宋_GB2312" w:hAnsi="仿宋_GB2312" w:eastAsia="WenQuanYi Zen Hei"/>
                <w:b w:val="0"/>
                <w:sz w:val="28"/>
              </w:rPr>
              <w:t>人工标准因人而异</w:t>
            </w:r>
          </w:p>
        </w:tc>
      </w:tr>
    </w:tbl>
    <w:p>
      <w:pPr>
        <w:spacing w:lineRule="exact" w:line="576" w:before="0" w:after="0"/>
        <w:jc w:val="both"/>
      </w:pPr>
      <w:r>
        <w:rPr>
          <w:rFonts w:ascii="仿宋_GB2312" w:hAnsi="仿宋_GB2312" w:eastAsia="WenQuanYi Zen Hei"/>
          <w:b w:val="0"/>
          <w:sz w:val="32"/>
        </w:rPr>
      </w:r>
    </w:p>
    <w:p>
      <w:pPr>
        <w:spacing w:lineRule="exact" w:line="576" w:before="0" w:after="0"/>
        <w:jc w:val="both"/>
      </w:pPr>
      <w:r>
        <w:rPr>
          <w:rFonts w:ascii="黑体" w:hAnsi="黑体" w:eastAsia="WenQuanYi Zen Hei"/>
          <w:b w:val="0"/>
          <w:sz w:val="32"/>
        </w:rPr>
        <w:t>二、核心功能详解</w:t>
      </w:r>
    </w:p>
    <w:p>
      <w:pPr>
        <w:spacing w:lineRule="exact" w:line="576" w:before="0" w:after="0"/>
        <w:jc w:val="both"/>
      </w:pPr>
      <w:r>
        <w:rPr>
          <w:rFonts w:ascii="楷体_GB2312" w:hAnsi="楷体_GB2312" w:eastAsia="WenQuanYi Zen Hei"/>
          <w:b w:val="0"/>
          <w:sz w:val="32"/>
        </w:rPr>
        <w:t>（一）多模型并行纠错引擎</w:t>
      </w:r>
    </w:p>
    <w:p>
      <w:pPr>
        <w:spacing w:lineRule="exact" w:line="576" w:before="0" w:after="0"/>
        <w:ind w:firstLine="8128000"/>
        <w:jc w:val="both"/>
      </w:pPr>
      <w:r>
        <w:rPr>
          <w:rFonts w:ascii="仿宋_GB2312" w:hAnsi="仿宋_GB2312" w:eastAsia="WenQuanYi Zen Hei"/>
          <w:b w:val="0"/>
          <w:sz w:val="32"/>
        </w:rPr>
        <w:t>系统采用多模型并行处理架构，支持11款以上主流大语言模型接入，通过交叉验证算法实现校对结果的多重交叉比对，大幅提升错误检出率与校对准确性。用户可按需选择特定模型组合，灵活适配不同业务场景与安全等级要求。</w:t>
      </w:r>
    </w:p>
    <w:p>
      <w:pPr>
        <w:spacing w:lineRule="exact" w:line="576" w:before="0" w:after="0"/>
        <w:jc w:val="both"/>
      </w:pPr>
      <w:r>
        <w:rPr>
          <w:rFonts w:ascii="仿宋_GB2312" w:hAnsi="仿宋_GB2312" w:eastAsia="WenQuanYi Zen Hei"/>
          <w:b/>
          <w:sz w:val="32"/>
        </w:rPr>
        <w:t>1.支持模型生态</w:t>
      </w:r>
    </w:p>
    <w:p>
      <w:pPr>
        <w:spacing w:lineRule="exact" w:line="576" w:before="0" w:after="0"/>
        <w:ind w:firstLine="8128000"/>
        <w:jc w:val="both"/>
      </w:pPr>
      <w:r>
        <w:rPr>
          <w:rFonts w:ascii="仿宋_GB2312" w:hAnsi="仿宋_GB2312" w:eastAsia="WenQuanYi Zen Hei"/>
          <w:b w:val="0"/>
          <w:sz w:val="32"/>
        </w:rPr>
        <w:t>系统当前支持以下主流模型系列，覆盖国内主流大语言模型厂商，可根据客户需求灵活扩展：</w:t>
      </w:r>
    </w:p>
    <w:tbl>
      <w:tblPr>
        <w:tblW w:type="auto" w:w="0"/>
        <w:jc w:val="center"/>
        <w:tblLayout w:type="fixed"/>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211"/>
        <w:gridCol w:w="2211"/>
        <w:gridCol w:w="2211"/>
        <w:gridCol w:w="2211"/>
      </w:tblGrid>
      <w:tr>
        <w:tc>
          <w:tcPr>
            <w:tcW w:type="dxa" w:w="1701"/>
            <w:vAlign w:val="center"/>
            <w:shd w:fill="D9E2F3" w:val="clear"/>
          </w:tcPr>
          <w:p>
            <w:pPr>
              <w:spacing w:lineRule="exact" w:line="440" w:before="0" w:after="0"/>
              <w:jc w:val="both"/>
            </w:pPr>
            <w:r/>
            <w:r>
              <w:rPr>
                <w:rFonts w:ascii="黑体" w:hAnsi="黑体" w:eastAsia="WenQuanYi Zen Hei"/>
                <w:b/>
                <w:sz w:val="28"/>
              </w:rPr>
              <w:t>模型系列</w:t>
            </w:r>
          </w:p>
        </w:tc>
        <w:tc>
          <w:tcPr>
            <w:tcW w:type="dxa" w:w="2268"/>
            <w:vAlign w:val="center"/>
            <w:shd w:fill="D9E2F3" w:val="clear"/>
          </w:tcPr>
          <w:p>
            <w:pPr>
              <w:spacing w:lineRule="exact" w:line="440" w:before="0" w:after="0"/>
              <w:jc w:val="both"/>
            </w:pPr>
            <w:r/>
            <w:r>
              <w:rPr>
                <w:rFonts w:ascii="黑体" w:hAnsi="黑体" w:eastAsia="WenQuanYi Zen Hei"/>
                <w:b/>
                <w:sz w:val="28"/>
              </w:rPr>
              <w:t>模型版本</w:t>
            </w:r>
          </w:p>
        </w:tc>
        <w:tc>
          <w:tcPr>
            <w:tcW w:type="dxa" w:w="2835"/>
            <w:vAlign w:val="center"/>
            <w:shd w:fill="D9E2F3" w:val="clear"/>
          </w:tcPr>
          <w:p>
            <w:pPr>
              <w:spacing w:lineRule="exact" w:line="440" w:before="0" w:after="0"/>
              <w:jc w:val="both"/>
            </w:pPr>
            <w:r/>
            <w:r>
              <w:rPr>
                <w:rFonts w:ascii="黑体" w:hAnsi="黑体" w:eastAsia="WenQuanYi Zen Hei"/>
                <w:b/>
                <w:sz w:val="28"/>
              </w:rPr>
              <w:t>核心能力</w:t>
            </w:r>
          </w:p>
        </w:tc>
        <w:tc>
          <w:tcPr>
            <w:tcW w:type="dxa" w:w="1701"/>
            <w:vAlign w:val="center"/>
            <w:shd w:fill="D9E2F3" w:val="clear"/>
          </w:tcPr>
          <w:p>
            <w:pPr>
              <w:spacing w:lineRule="exact" w:line="440" w:before="0" w:after="0"/>
              <w:jc w:val="both"/>
            </w:pPr>
            <w:r/>
            <w:r>
              <w:rPr>
                <w:rFonts w:ascii="黑体" w:hAnsi="黑体" w:eastAsia="WenQuanYi Zen Hei"/>
                <w:b/>
                <w:sz w:val="28"/>
              </w:rPr>
              <w:t>推荐等级</w:t>
            </w:r>
          </w:p>
        </w:tc>
      </w:tr>
      <w:tr>
        <w:tc>
          <w:tcPr>
            <w:tcW w:type="dxa" w:w="1701"/>
            <w:vAlign w:val="center"/>
          </w:tcPr>
          <w:p>
            <w:pPr>
              <w:spacing w:lineRule="exact" w:line="440" w:before="0" w:after="0"/>
              <w:jc w:val="both"/>
            </w:pPr>
            <w:r/>
            <w:r>
              <w:rPr>
                <w:rFonts w:ascii="仿宋_GB2312" w:hAnsi="仿宋_GB2312" w:eastAsia="WenQuanYi Zen Hei"/>
                <w:b w:val="0"/>
                <w:sz w:val="28"/>
              </w:rPr>
              <w:t>DeepSeek系列</w:t>
            </w:r>
          </w:p>
        </w:tc>
        <w:tc>
          <w:tcPr>
            <w:tcW w:type="dxa" w:w="2268"/>
            <w:vAlign w:val="center"/>
          </w:tcPr>
          <w:p>
            <w:pPr>
              <w:spacing w:lineRule="exact" w:line="440" w:before="0" w:after="0"/>
              <w:jc w:val="both"/>
            </w:pPr>
            <w:r/>
            <w:r>
              <w:rPr>
                <w:rFonts w:ascii="仿宋_GB2312" w:hAnsi="仿宋_GB2312" w:eastAsia="WenQuanYi Zen Hei"/>
                <w:b w:val="0"/>
                <w:sz w:val="28"/>
              </w:rPr>
              <w:t>V3.2</w:t>
            </w:r>
          </w:p>
        </w:tc>
        <w:tc>
          <w:tcPr>
            <w:tcW w:type="dxa" w:w="2835"/>
            <w:vAlign w:val="center"/>
          </w:tcPr>
          <w:p>
            <w:pPr>
              <w:spacing w:lineRule="exact" w:line="440" w:before="0" w:after="0"/>
              <w:jc w:val="both"/>
            </w:pPr>
            <w:r/>
            <w:r>
              <w:rPr>
                <w:rFonts w:ascii="仿宋_GB2312" w:hAnsi="仿宋_GB2312" w:eastAsia="WenQuanYi Zen Hei"/>
                <w:b w:val="0"/>
                <w:sz w:val="28"/>
              </w:rPr>
              <w:t>深度语义理解，长文本处理能力强</w:t>
            </w:r>
          </w:p>
        </w:tc>
        <w:tc>
          <w:tcPr>
            <w:tcW w:type="dxa" w:w="1701"/>
            <w:vAlign w:val="center"/>
          </w:tcPr>
          <w:p>
            <w:pPr>
              <w:spacing w:lineRule="exact" w:line="440" w:before="0" w:after="0"/>
              <w:jc w:val="both"/>
            </w:pPr>
            <w:r/>
            <w:r>
              <w:rPr>
                <w:rFonts w:ascii="仿宋_GB2312" w:hAnsi="仿宋_GB2312" w:eastAsia="WenQuanYi Zen Hei"/>
                <w:b w:val="0"/>
                <w:sz w:val="28"/>
              </w:rPr>
              <w:t>★★★★★</w:t>
            </w:r>
          </w:p>
        </w:tc>
      </w:tr>
      <w:tr>
        <w:tc>
          <w:tcPr>
            <w:tcW w:type="dxa" w:w="1701"/>
            <w:vAlign w:val="center"/>
            <w:shd w:fill="F2F2F2" w:val="clear"/>
          </w:tcPr>
          <w:p>
            <w:pPr>
              <w:spacing w:lineRule="exact" w:line="440" w:before="0" w:after="0"/>
              <w:jc w:val="both"/>
            </w:pPr>
            <w:r/>
            <w:r>
              <w:rPr>
                <w:rFonts w:ascii="仿宋_GB2312" w:hAnsi="仿宋_GB2312" w:eastAsia="WenQuanYi Zen Hei"/>
                <w:b w:val="0"/>
                <w:sz w:val="28"/>
              </w:rPr>
              <w:t>Qwen系列</w:t>
            </w:r>
          </w:p>
        </w:tc>
        <w:tc>
          <w:tcPr>
            <w:tcW w:type="dxa" w:w="2268"/>
            <w:vAlign w:val="center"/>
            <w:shd w:fill="F2F2F2" w:val="clear"/>
          </w:tcPr>
          <w:p>
            <w:pPr>
              <w:spacing w:lineRule="exact" w:line="440" w:before="0" w:after="0"/>
              <w:jc w:val="both"/>
            </w:pPr>
            <w:r/>
            <w:r>
              <w:rPr>
                <w:rFonts w:ascii="仿宋_GB2312" w:hAnsi="仿宋_GB2312" w:eastAsia="WenQuanYi Zen Hei"/>
                <w:b w:val="0"/>
                <w:sz w:val="28"/>
              </w:rPr>
              <w:t>3.5 Plus / Qwen3 Max</w:t>
            </w:r>
          </w:p>
        </w:tc>
        <w:tc>
          <w:tcPr>
            <w:tcW w:type="dxa" w:w="2835"/>
            <w:vAlign w:val="center"/>
            <w:shd w:fill="F2F2F2" w:val="clear"/>
          </w:tcPr>
          <w:p>
            <w:pPr>
              <w:spacing w:lineRule="exact" w:line="440" w:before="0" w:after="0"/>
              <w:jc w:val="both"/>
            </w:pPr>
            <w:r/>
            <w:r>
              <w:rPr>
                <w:rFonts w:ascii="仿宋_GB2312" w:hAnsi="仿宋_GB2312" w:eastAsia="WenQuanYi Zen Hei"/>
                <w:b w:val="0"/>
                <w:sz w:val="28"/>
              </w:rPr>
              <w:t>通用能力均衡，多语言支持</w:t>
            </w:r>
          </w:p>
        </w:tc>
        <w:tc>
          <w:tcPr>
            <w:tcW w:type="dxa" w:w="1701"/>
            <w:vAlign w:val="center"/>
            <w:shd w:fill="F2F2F2" w:val="clear"/>
          </w:tcPr>
          <w:p>
            <w:pPr>
              <w:spacing w:lineRule="exact" w:line="440" w:before="0" w:after="0"/>
              <w:jc w:val="both"/>
            </w:pPr>
            <w:r/>
            <w:r>
              <w:rPr>
                <w:rFonts w:ascii="仿宋_GB2312" w:hAnsi="仿宋_GB2312" w:eastAsia="WenQuanYi Zen Hei"/>
                <w:b w:val="0"/>
                <w:sz w:val="28"/>
              </w:rPr>
              <w:t>★★★★★</w:t>
            </w:r>
          </w:p>
        </w:tc>
      </w:tr>
      <w:tr>
        <w:tc>
          <w:tcPr>
            <w:tcW w:type="dxa" w:w="1701"/>
            <w:vAlign w:val="center"/>
          </w:tcPr>
          <w:p>
            <w:pPr>
              <w:spacing w:lineRule="exact" w:line="440" w:before="0" w:after="0"/>
              <w:jc w:val="both"/>
            </w:pPr>
            <w:r/>
            <w:r>
              <w:rPr>
                <w:rFonts w:ascii="仿宋_GB2312" w:hAnsi="仿宋_GB2312" w:eastAsia="WenQuanYi Zen Hei"/>
                <w:b w:val="0"/>
                <w:sz w:val="28"/>
              </w:rPr>
              <w:t>GLM系列</w:t>
            </w:r>
          </w:p>
        </w:tc>
        <w:tc>
          <w:tcPr>
            <w:tcW w:type="dxa" w:w="2268"/>
            <w:vAlign w:val="center"/>
          </w:tcPr>
          <w:p>
            <w:pPr>
              <w:spacing w:lineRule="exact" w:line="440" w:before="0" w:after="0"/>
              <w:jc w:val="both"/>
            </w:pPr>
            <w:r/>
            <w:r>
              <w:rPr>
                <w:rFonts w:ascii="仿宋_GB2312" w:hAnsi="仿宋_GB2312" w:eastAsia="WenQuanYi Zen Hei"/>
                <w:b w:val="0"/>
                <w:sz w:val="28"/>
              </w:rPr>
              <w:t>GLM 5 / GLM 4.7</w:t>
            </w:r>
          </w:p>
        </w:tc>
        <w:tc>
          <w:tcPr>
            <w:tcW w:type="dxa" w:w="2835"/>
            <w:vAlign w:val="center"/>
          </w:tcPr>
          <w:p>
            <w:pPr>
              <w:spacing w:lineRule="exact" w:line="440" w:before="0" w:after="0"/>
              <w:jc w:val="both"/>
            </w:pPr>
            <w:r/>
            <w:r>
              <w:rPr>
                <w:rFonts w:ascii="仿宋_GB2312" w:hAnsi="仿宋_GB2312" w:eastAsia="WenQuanYi Zen Hei"/>
                <w:b w:val="0"/>
                <w:sz w:val="28"/>
              </w:rPr>
              <w:t>中文语义精度高，公文理解能力强</w:t>
            </w:r>
          </w:p>
        </w:tc>
        <w:tc>
          <w:tcPr>
            <w:tcW w:type="dxa" w:w="1701"/>
            <w:vAlign w:val="center"/>
          </w:tcPr>
          <w:p>
            <w:pPr>
              <w:spacing w:lineRule="exact" w:line="440" w:before="0" w:after="0"/>
              <w:jc w:val="both"/>
            </w:pPr>
            <w:r/>
            <w:r>
              <w:rPr>
                <w:rFonts w:ascii="仿宋_GB2312" w:hAnsi="仿宋_GB2312" w:eastAsia="WenQuanYi Zen Hei"/>
                <w:b w:val="0"/>
                <w:sz w:val="28"/>
              </w:rPr>
              <w:t>★★★★☆</w:t>
            </w:r>
          </w:p>
        </w:tc>
      </w:tr>
      <w:tr>
        <w:tc>
          <w:tcPr>
            <w:tcW w:type="dxa" w:w="1701"/>
            <w:vAlign w:val="center"/>
            <w:shd w:fill="F2F2F2" w:val="clear"/>
          </w:tcPr>
          <w:p>
            <w:pPr>
              <w:spacing w:lineRule="exact" w:line="440" w:before="0" w:after="0"/>
              <w:jc w:val="both"/>
            </w:pPr>
            <w:r/>
            <w:r>
              <w:rPr>
                <w:rFonts w:ascii="仿宋_GB2312" w:hAnsi="仿宋_GB2312" w:eastAsia="WenQuanYi Zen Hei"/>
                <w:b w:val="0"/>
                <w:sz w:val="28"/>
              </w:rPr>
              <w:t>MiniMax</w:t>
            </w:r>
          </w:p>
        </w:tc>
        <w:tc>
          <w:tcPr>
            <w:tcW w:type="dxa" w:w="2268"/>
            <w:vAlign w:val="center"/>
            <w:shd w:fill="F2F2F2" w:val="clear"/>
          </w:tcPr>
          <w:p>
            <w:pPr>
              <w:spacing w:lineRule="exact" w:line="440" w:before="0" w:after="0"/>
              <w:jc w:val="both"/>
            </w:pPr>
            <w:r/>
            <w:r>
              <w:rPr>
                <w:rFonts w:ascii="仿宋_GB2312" w:hAnsi="仿宋_GB2312" w:eastAsia="WenQuanYi Zen Hei"/>
                <w:b w:val="0"/>
                <w:sz w:val="28"/>
              </w:rPr>
              <w:t>MiniMax-Text-01</w:t>
            </w:r>
          </w:p>
        </w:tc>
        <w:tc>
          <w:tcPr>
            <w:tcW w:type="dxa" w:w="2835"/>
            <w:vAlign w:val="center"/>
            <w:shd w:fill="F2F2F2" w:val="clear"/>
          </w:tcPr>
          <w:p>
            <w:pPr>
              <w:spacing w:lineRule="exact" w:line="440" w:before="0" w:after="0"/>
              <w:jc w:val="both"/>
            </w:pPr>
            <w:r/>
            <w:r>
              <w:rPr>
                <w:rFonts w:ascii="仿宋_GB2312" w:hAnsi="仿宋_GB2312" w:eastAsia="WenQuanYi Zen Hei"/>
                <w:b w:val="0"/>
                <w:sz w:val="28"/>
              </w:rPr>
              <w:t>对话式交互，响应速度快</w:t>
            </w:r>
          </w:p>
        </w:tc>
        <w:tc>
          <w:tcPr>
            <w:tcW w:type="dxa" w:w="1701"/>
            <w:vAlign w:val="center"/>
            <w:shd w:fill="F2F2F2" w:val="clear"/>
          </w:tcPr>
          <w:p>
            <w:pPr>
              <w:spacing w:lineRule="exact" w:line="440" w:before="0" w:after="0"/>
              <w:jc w:val="both"/>
            </w:pPr>
            <w:r/>
            <w:r>
              <w:rPr>
                <w:rFonts w:ascii="仿宋_GB2312" w:hAnsi="仿宋_GB2312" w:eastAsia="WenQuanYi Zen Hei"/>
                <w:b w:val="0"/>
                <w:sz w:val="28"/>
              </w:rPr>
              <w:t>★★★★☆</w:t>
            </w:r>
          </w:p>
        </w:tc>
      </w:tr>
      <w:tr>
        <w:tc>
          <w:tcPr>
            <w:tcW w:type="dxa" w:w="1701"/>
            <w:vAlign w:val="center"/>
          </w:tcPr>
          <w:p>
            <w:pPr>
              <w:spacing w:lineRule="exact" w:line="440" w:before="0" w:after="0"/>
              <w:jc w:val="both"/>
            </w:pPr>
            <w:r/>
            <w:r>
              <w:rPr>
                <w:rFonts w:ascii="仿宋_GB2312" w:hAnsi="仿宋_GB2312" w:eastAsia="WenQuanYi Zen Hei"/>
                <w:b w:val="0"/>
                <w:sz w:val="28"/>
              </w:rPr>
              <w:t>Kimi</w:t>
            </w:r>
          </w:p>
        </w:tc>
        <w:tc>
          <w:tcPr>
            <w:tcW w:type="dxa" w:w="2268"/>
            <w:vAlign w:val="center"/>
          </w:tcPr>
          <w:p>
            <w:pPr>
              <w:spacing w:lineRule="exact" w:line="440" w:before="0" w:after="0"/>
              <w:jc w:val="both"/>
            </w:pPr>
            <w:r/>
            <w:r>
              <w:rPr>
                <w:rFonts w:ascii="仿宋_GB2312" w:hAnsi="仿宋_GB2312" w:eastAsia="WenQuanYi Zen Hei"/>
                <w:b w:val="0"/>
                <w:sz w:val="28"/>
              </w:rPr>
              <w:t>Kimi-Moonshot</w:t>
            </w:r>
          </w:p>
        </w:tc>
        <w:tc>
          <w:tcPr>
            <w:tcW w:type="dxa" w:w="2835"/>
            <w:vAlign w:val="center"/>
          </w:tcPr>
          <w:p>
            <w:pPr>
              <w:spacing w:lineRule="exact" w:line="440" w:before="0" w:after="0"/>
              <w:jc w:val="both"/>
            </w:pPr>
            <w:r/>
            <w:r>
              <w:rPr>
                <w:rFonts w:ascii="仿宋_GB2312" w:hAnsi="仿宋_GB2312" w:eastAsia="WenQuanYi Zen Hei"/>
                <w:b w:val="0"/>
                <w:sz w:val="28"/>
              </w:rPr>
              <w:t>长上下文理解，超长文档处理</w:t>
            </w:r>
          </w:p>
        </w:tc>
        <w:tc>
          <w:tcPr>
            <w:tcW w:type="dxa" w:w="1701"/>
            <w:vAlign w:val="center"/>
          </w:tcPr>
          <w:p>
            <w:pPr>
              <w:spacing w:lineRule="exact" w:line="440" w:before="0" w:after="0"/>
              <w:jc w:val="both"/>
            </w:pPr>
            <w:r/>
            <w:r>
              <w:rPr>
                <w:rFonts w:ascii="仿宋_GB2312" w:hAnsi="仿宋_GB2312" w:eastAsia="WenQuanYi Zen Hei"/>
                <w:b w:val="0"/>
                <w:sz w:val="28"/>
              </w:rPr>
              <w:t>★★★★☆</w:t>
            </w:r>
          </w:p>
        </w:tc>
      </w:tr>
      <w:tr>
        <w:tc>
          <w:tcPr>
            <w:tcW w:type="dxa" w:w="1701"/>
            <w:vAlign w:val="center"/>
            <w:shd w:fill="F2F2F2" w:val="clear"/>
          </w:tcPr>
          <w:p>
            <w:pPr>
              <w:spacing w:lineRule="exact" w:line="440" w:before="0" w:after="0"/>
              <w:jc w:val="both"/>
            </w:pPr>
            <w:r/>
            <w:r>
              <w:rPr>
                <w:rFonts w:ascii="仿宋_GB2312" w:hAnsi="仿宋_GB2312" w:eastAsia="WenQuanYi Zen Hei"/>
                <w:b w:val="0"/>
                <w:sz w:val="28"/>
              </w:rPr>
              <w:t>其他模型</w:t>
            </w:r>
          </w:p>
        </w:tc>
        <w:tc>
          <w:tcPr>
            <w:tcW w:type="dxa" w:w="2268"/>
            <w:vAlign w:val="center"/>
            <w:shd w:fill="F2F2F2" w:val="clear"/>
          </w:tcPr>
          <w:p>
            <w:pPr>
              <w:spacing w:lineRule="exact" w:line="440" w:before="0" w:after="0"/>
              <w:jc w:val="both"/>
            </w:pPr>
            <w:r/>
            <w:r>
              <w:rPr>
                <w:rFonts w:ascii="仿宋_GB2312" w:hAnsi="仿宋_GB2312" w:eastAsia="WenQuanYi Zen Hei"/>
                <w:b w:val="0"/>
                <w:sz w:val="28"/>
              </w:rPr>
              <w:t>持续扩展中</w:t>
            </w:r>
          </w:p>
        </w:tc>
        <w:tc>
          <w:tcPr>
            <w:tcW w:type="dxa" w:w="2835"/>
            <w:vAlign w:val="center"/>
            <w:shd w:fill="F2F2F2" w:val="clear"/>
          </w:tcPr>
          <w:p>
            <w:pPr>
              <w:spacing w:lineRule="exact" w:line="440" w:before="0" w:after="0"/>
              <w:jc w:val="both"/>
            </w:pPr>
            <w:r/>
            <w:r>
              <w:rPr>
                <w:rFonts w:ascii="仿宋_GB2312" w:hAnsi="仿宋_GB2312" w:eastAsia="WenQuanYi Zen Hei"/>
                <w:b w:val="0"/>
                <w:sz w:val="28"/>
              </w:rPr>
              <w:t>按需对接客户指定模型</w:t>
            </w:r>
          </w:p>
        </w:tc>
        <w:tc>
          <w:tcPr>
            <w:tcW w:type="dxa" w:w="1701"/>
            <w:vAlign w:val="center"/>
            <w:shd w:fill="F2F2F2" w:val="clear"/>
          </w:tcPr>
          <w:p>
            <w:pPr>
              <w:spacing w:lineRule="exact" w:line="440" w:before="0" w:after="0"/>
              <w:jc w:val="both"/>
            </w:pPr>
            <w:r/>
            <w:r>
              <w:rPr>
                <w:rFonts w:ascii="仿宋_GB2312" w:hAnsi="仿宋_GB2312" w:eastAsia="WenQuanYi Zen Hei"/>
                <w:b w:val="0"/>
                <w:sz w:val="28"/>
              </w:rPr>
              <w:t>按需评估</w:t>
            </w:r>
          </w:p>
        </w:tc>
      </w:tr>
    </w:tbl>
    <w:p>
      <w:pPr>
        <w:spacing w:lineRule="exact" w:line="576" w:before="0" w:after="0"/>
        <w:jc w:val="both"/>
      </w:pPr>
      <w:r>
        <w:rPr>
          <w:rFonts w:ascii="仿宋_GB2312" w:hAnsi="仿宋_GB2312" w:eastAsia="WenQuanYi Zen Hei"/>
          <w:b/>
          <w:sz w:val="32"/>
        </w:rPr>
        <w:t>2.多模型交叉验证机制</w:t>
      </w:r>
    </w:p>
    <w:p>
      <w:pPr>
        <w:spacing w:lineRule="exact" w:line="576" w:before="0" w:after="0"/>
        <w:ind w:firstLine="8128000"/>
        <w:jc w:val="both"/>
      </w:pPr>
      <w:r>
        <w:rPr>
          <w:rFonts w:ascii="仿宋_GB2312" w:hAnsi="仿宋_GB2312" w:eastAsia="WenQuanYi Zen Hei"/>
          <w:b w:val="0"/>
          <w:sz w:val="32"/>
        </w:rPr>
        <w:t>系统采用四步交叉验证机制，确保校对结果的准确性与可靠性：</w:t>
      </w:r>
    </w:p>
    <w:p>
      <w:pPr>
        <w:spacing w:lineRule="exact" w:line="576" w:before="0" w:after="0"/>
        <w:ind w:firstLine="8128000"/>
        <w:jc w:val="both"/>
      </w:pPr>
      <w:r>
        <w:rPr>
          <w:rFonts w:ascii="仿宋_GB2312" w:hAnsi="仿宋_GB2312" w:eastAsia="WenQuanYi Zen Hei"/>
          <w:b w:val="0"/>
          <w:sz w:val="32"/>
        </w:rPr>
        <w:t>第一步：并行校对。同一文本同时送入多个选定模型进行独立校对，各模型基于不同训练数据与算法逻辑，独立输出校对结果。</w:t>
      </w:r>
    </w:p>
    <w:p>
      <w:pPr>
        <w:spacing w:lineRule="exact" w:line="576" w:before="0" w:after="0"/>
        <w:ind w:firstLine="8128000"/>
        <w:jc w:val="both"/>
      </w:pPr>
      <w:r>
        <w:rPr>
          <w:rFonts w:ascii="仿宋_GB2312" w:hAnsi="仿宋_GB2312" w:eastAsia="WenQuanYi Zen Hei"/>
          <w:b w:val="0"/>
          <w:sz w:val="32"/>
        </w:rPr>
        <w:t>第二步：结果比对。系统将各模型输出结果进行逐一比对，标注一致性结论与差异结论，形成交叉比对矩阵。</w:t>
      </w:r>
    </w:p>
    <w:p>
      <w:pPr>
        <w:spacing w:lineRule="exact" w:line="576" w:before="0" w:after="0"/>
        <w:ind w:firstLine="8128000"/>
        <w:jc w:val="both"/>
      </w:pPr>
      <w:r>
        <w:rPr>
          <w:rFonts w:ascii="仿宋_GB2312" w:hAnsi="仿宋_GB2312" w:eastAsia="WenQuanYi Zen Hei"/>
          <w:b w:val="0"/>
          <w:sz w:val="32"/>
        </w:rPr>
        <w:t>第三步：置信度评分。对每个校对结论进行置信度评分，多模型一致结论置信度最高，差异结论根据模型权重与历史准确率加权计算。</w:t>
      </w:r>
    </w:p>
    <w:p>
      <w:pPr>
        <w:spacing w:lineRule="exact" w:line="576" w:before="0" w:after="0"/>
        <w:ind w:firstLine="8128000"/>
        <w:jc w:val="both"/>
      </w:pPr>
      <w:r>
        <w:rPr>
          <w:rFonts w:ascii="仿宋_GB2312" w:hAnsi="仿宋_GB2312" w:eastAsia="WenQuanYi Zen Hei"/>
          <w:b w:val="0"/>
          <w:sz w:val="32"/>
        </w:rPr>
        <w:t>第四步：结果融合。基于置信度评分与规则引擎进行结果融合，输出最终校对结论与修改建议，并标注建议来源与置信度等级。</w:t>
      </w:r>
    </w:p>
    <w:p>
      <w:pPr>
        <w:spacing w:lineRule="exact" w:line="576" w:before="0" w:after="0"/>
        <w:jc w:val="both"/>
      </w:pPr>
      <w:r>
        <w:rPr>
          <w:rFonts w:ascii="仿宋_GB2312" w:hAnsi="仿宋_GB2312" w:eastAsia="WenQuanYi Zen Hei"/>
          <w:b/>
          <w:sz w:val="32"/>
        </w:rPr>
        <w:t>3.自定义模型组合方案</w:t>
      </w:r>
    </w:p>
    <w:p>
      <w:pPr>
        <w:spacing w:lineRule="exact" w:line="576" w:before="0" w:after="0"/>
        <w:ind w:firstLine="8128000"/>
        <w:jc w:val="both"/>
      </w:pPr>
      <w:r>
        <w:rPr>
          <w:rFonts w:ascii="仿宋_GB2312" w:hAnsi="仿宋_GB2312" w:eastAsia="WenQuanYi Zen Hei"/>
          <w:b w:val="0"/>
          <w:sz w:val="32"/>
        </w:rPr>
        <w:t>系统支持用户根据业务场景与安全等级要求，灵活配置模型组合方案：</w:t>
      </w:r>
    </w:p>
    <w:p>
      <w:pPr>
        <w:spacing w:lineRule="exact" w:line="576" w:before="0" w:after="0"/>
        <w:ind w:firstLine="8128000"/>
        <w:jc w:val="both"/>
      </w:pPr>
      <w:r>
        <w:rPr>
          <w:rFonts w:ascii="仿宋_GB2312" w:hAnsi="仿宋_GB2312" w:eastAsia="WenQuanYi Zen Hei"/>
          <w:b w:val="0"/>
          <w:sz w:val="32"/>
        </w:rPr>
        <w:t>方案一：高安全模式。仅启用已通过安全评估的本地部署模型，适用于涉密公文与高敏感度文档校对场景。</w:t>
      </w:r>
    </w:p>
    <w:p>
      <w:pPr>
        <w:spacing w:lineRule="exact" w:line="576" w:before="0" w:after="0"/>
        <w:ind w:firstLine="8128000"/>
        <w:jc w:val="both"/>
      </w:pPr>
      <w:r>
        <w:rPr>
          <w:rFonts w:ascii="仿宋_GB2312" w:hAnsi="仿宋_GB2312" w:eastAsia="WenQuanYi Zen Hei"/>
          <w:b w:val="0"/>
          <w:sz w:val="32"/>
        </w:rPr>
        <w:t>方案二：均衡模式。同时启用本地模型与经安全审计的云端模型，兼顾校对准确性与响应速度，适用于日常公文处理。</w:t>
      </w:r>
    </w:p>
    <w:p>
      <w:pPr>
        <w:spacing w:lineRule="exact" w:line="576" w:before="0" w:after="0"/>
        <w:ind w:firstLine="8128000"/>
        <w:jc w:val="both"/>
      </w:pPr>
      <w:r>
        <w:rPr>
          <w:rFonts w:ascii="仿宋_GB2312" w:hAnsi="仿宋_GB2312" w:eastAsia="WenQuanYi Zen Hei"/>
          <w:b w:val="0"/>
          <w:sz w:val="32"/>
        </w:rPr>
        <w:t>方案三：高性能模式。启用全部可用模型并行处理，追求最高校对覆盖率，适用于重大政策文件与对外发布文档。</w:t>
      </w:r>
    </w:p>
    <w:p>
      <w:pPr>
        <w:spacing w:lineRule="exact" w:line="576" w:before="0" w:after="0"/>
        <w:ind w:firstLine="8128000"/>
        <w:jc w:val="both"/>
      </w:pPr>
      <w:r>
        <w:rPr>
          <w:rFonts w:ascii="仿宋_GB2312" w:hAnsi="仿宋_GB2312" w:eastAsia="WenQuanYi Zen Hei"/>
          <w:b w:val="0"/>
          <w:sz w:val="32"/>
        </w:rPr>
        <w:t>方案四：自定义模式。用户可按需指定任意模型组合与权重配置，满足个性化业务需求。</w:t>
      </w:r>
    </w:p>
    <w:p>
      <w:pPr>
        <w:spacing w:lineRule="exact" w:line="576" w:before="0" w:after="0"/>
        <w:ind w:firstLine="8128000"/>
        <w:jc w:val="both"/>
      </w:pPr>
      <w:r>
        <w:rPr>
          <w:rFonts w:ascii="仿宋_GB2312" w:hAnsi="仿宋_GB2312" w:eastAsia="WenQuanYi Zen Hei"/>
          <w:b w:val="0"/>
          <w:sz w:val="32"/>
        </w:rPr>
        <w:t>方案五：专项模式。针对特定领域（如法律条文、财务报表、技术规范）配置专业模型组合，提升领域适配度。</w:t>
      </w:r>
    </w:p>
    <w:p>
      <w:pPr>
        <w:spacing w:lineRule="exact" w:line="576" w:before="0" w:after="0"/>
        <w:jc w:val="both"/>
      </w:pPr>
      <w:r>
        <w:rPr>
          <w:rFonts w:ascii="仿宋_GB2312" w:hAnsi="仿宋_GB2312" w:eastAsia="WenQuanYi Zen Hei"/>
          <w:b w:val="0"/>
          <w:sz w:val="32"/>
        </w:rPr>
      </w:r>
    </w:p>
    <w:p>
      <w:pPr>
        <w:spacing w:lineRule="exact" w:line="576" w:before="0" w:after="0"/>
        <w:jc w:val="both"/>
      </w:pPr>
      <w:r>
        <w:rPr>
          <w:rFonts w:ascii="楷体_GB2312" w:hAnsi="楷体_GB2312" w:eastAsia="WenQuanYi Zen Hei"/>
          <w:b w:val="0"/>
          <w:sz w:val="32"/>
        </w:rPr>
        <w:t>（二）智能校对规则体系</w:t>
      </w:r>
    </w:p>
    <w:p>
      <w:pPr>
        <w:spacing w:lineRule="exact" w:line="576" w:before="0" w:after="0"/>
        <w:ind w:firstLine="8128000"/>
        <w:jc w:val="both"/>
      </w:pPr>
      <w:r>
        <w:rPr>
          <w:rFonts w:ascii="仿宋_GB2312" w:hAnsi="仿宋_GB2312" w:eastAsia="WenQuanYi Zen Hei"/>
          <w:b w:val="0"/>
          <w:sz w:val="32"/>
        </w:rPr>
        <w:t>系统内置8种以上专业校对规则，覆盖党政机关公文常见错误类型，并支持用户根据特定业务场景需求灵活添加或修改校对规则库，确保校对标准与单位规范高度一致。</w:t>
      </w:r>
    </w:p>
    <w:tbl>
      <w:tblPr>
        <w:tblW w:type="auto" w:w="0"/>
        <w:jc w:val="center"/>
        <w:tblLayout w:type="fixed"/>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211"/>
        <w:gridCol w:w="2211"/>
        <w:gridCol w:w="2211"/>
        <w:gridCol w:w="2211"/>
      </w:tblGrid>
      <w:tr>
        <w:tc>
          <w:tcPr>
            <w:tcW w:type="dxa" w:w="1701"/>
            <w:vAlign w:val="center"/>
            <w:shd w:fill="D9E2F3" w:val="clear"/>
          </w:tcPr>
          <w:p>
            <w:pPr>
              <w:spacing w:lineRule="exact" w:line="440" w:before="0" w:after="0"/>
              <w:jc w:val="both"/>
            </w:pPr>
            <w:r/>
            <w:r>
              <w:rPr>
                <w:rFonts w:ascii="黑体" w:hAnsi="黑体" w:eastAsia="WenQuanYi Zen Hei"/>
                <w:b/>
                <w:sz w:val="28"/>
              </w:rPr>
              <w:t>规则类别</w:t>
            </w:r>
          </w:p>
        </w:tc>
        <w:tc>
          <w:tcPr>
            <w:tcW w:type="dxa" w:w="2268"/>
            <w:vAlign w:val="center"/>
            <w:shd w:fill="D9E2F3" w:val="clear"/>
          </w:tcPr>
          <w:p>
            <w:pPr>
              <w:spacing w:lineRule="exact" w:line="440" w:before="0" w:after="0"/>
              <w:jc w:val="both"/>
            </w:pPr>
            <w:r/>
            <w:r>
              <w:rPr>
                <w:rFonts w:ascii="黑体" w:hAnsi="黑体" w:eastAsia="WenQuanYi Zen Hei"/>
                <w:b/>
                <w:sz w:val="28"/>
              </w:rPr>
              <w:t>检测内容</w:t>
            </w:r>
          </w:p>
        </w:tc>
        <w:tc>
          <w:tcPr>
            <w:tcW w:type="dxa" w:w="2835"/>
            <w:vAlign w:val="center"/>
            <w:shd w:fill="D9E2F3" w:val="clear"/>
          </w:tcPr>
          <w:p>
            <w:pPr>
              <w:spacing w:lineRule="exact" w:line="440" w:before="0" w:after="0"/>
              <w:jc w:val="both"/>
            </w:pPr>
            <w:r/>
            <w:r>
              <w:rPr>
                <w:rFonts w:ascii="黑体" w:hAnsi="黑体" w:eastAsia="WenQuanYi Zen Hei"/>
                <w:b/>
                <w:sz w:val="28"/>
              </w:rPr>
              <w:t>典型示例</w:t>
            </w:r>
          </w:p>
        </w:tc>
        <w:tc>
          <w:tcPr>
            <w:tcW w:type="dxa" w:w="1417"/>
            <w:vAlign w:val="center"/>
            <w:shd w:fill="D9E2F3" w:val="clear"/>
          </w:tcPr>
          <w:p>
            <w:pPr>
              <w:spacing w:lineRule="exact" w:line="440" w:before="0" w:after="0"/>
              <w:jc w:val="both"/>
            </w:pPr>
            <w:r/>
            <w:r>
              <w:rPr>
                <w:rFonts w:ascii="黑体" w:hAnsi="黑体" w:eastAsia="WenQuanYi Zen Hei"/>
                <w:b/>
                <w:sz w:val="28"/>
              </w:rPr>
              <w:t>重要度</w:t>
            </w:r>
          </w:p>
        </w:tc>
      </w:tr>
      <w:tr>
        <w:tc>
          <w:tcPr>
            <w:tcW w:type="dxa" w:w="1701"/>
            <w:vAlign w:val="center"/>
          </w:tcPr>
          <w:p>
            <w:pPr>
              <w:spacing w:lineRule="exact" w:line="440" w:before="0" w:after="0"/>
              <w:jc w:val="both"/>
            </w:pPr>
            <w:r/>
            <w:r>
              <w:rPr>
                <w:rFonts w:ascii="仿宋_GB2312" w:hAnsi="仿宋_GB2312" w:eastAsia="WenQuanYi Zen Hei"/>
                <w:b w:val="0"/>
                <w:sz w:val="28"/>
              </w:rPr>
              <w:t>错别字检测</w:t>
            </w:r>
          </w:p>
        </w:tc>
        <w:tc>
          <w:tcPr>
            <w:tcW w:type="dxa" w:w="2268"/>
            <w:vAlign w:val="center"/>
          </w:tcPr>
          <w:p>
            <w:pPr>
              <w:spacing w:lineRule="exact" w:line="440" w:before="0" w:after="0"/>
              <w:jc w:val="both"/>
            </w:pPr>
            <w:r/>
            <w:r>
              <w:rPr>
                <w:rFonts w:ascii="仿宋_GB2312" w:hAnsi="仿宋_GB2312" w:eastAsia="WenQuanYi Zen Hei"/>
                <w:b w:val="0"/>
                <w:sz w:val="28"/>
              </w:rPr>
              <w:t>识别常见错别字、形近字、同音字</w:t>
            </w:r>
          </w:p>
        </w:tc>
        <w:tc>
          <w:tcPr>
            <w:tcW w:type="dxa" w:w="2835"/>
            <w:vAlign w:val="center"/>
          </w:tcPr>
          <w:p>
            <w:pPr>
              <w:spacing w:lineRule="exact" w:line="440" w:before="0" w:after="0"/>
              <w:jc w:val="both"/>
            </w:pPr>
            <w:r/>
            <w:r>
              <w:rPr>
                <w:rFonts w:ascii="仿宋_GB2312" w:hAnsi="仿宋_GB2312" w:eastAsia="WenQuanYi Zen Hei"/>
                <w:b w:val="0"/>
                <w:sz w:val="28"/>
              </w:rPr>
              <w:t>"部署"误为"布署"，"登录"误为"登陆"</w:t>
            </w:r>
          </w:p>
        </w:tc>
        <w:tc>
          <w:tcPr>
            <w:tcW w:type="dxa" w:w="1417"/>
            <w:vAlign w:val="center"/>
          </w:tcPr>
          <w:p>
            <w:pPr>
              <w:spacing w:lineRule="exact" w:line="440" w:before="0" w:after="0"/>
              <w:jc w:val="both"/>
            </w:pPr>
            <w:r/>
            <w:r>
              <w:rPr>
                <w:rFonts w:ascii="仿宋_GB2312" w:hAnsi="仿宋_GB2312" w:eastAsia="WenQuanYi Zen Hei"/>
                <w:b w:val="0"/>
                <w:sz w:val="28"/>
              </w:rPr>
              <w:t>★★★★★</w:t>
            </w:r>
          </w:p>
        </w:tc>
      </w:tr>
      <w:tr>
        <w:tc>
          <w:tcPr>
            <w:tcW w:type="dxa" w:w="1701"/>
            <w:vAlign w:val="center"/>
            <w:shd w:fill="F2F2F2" w:val="clear"/>
          </w:tcPr>
          <w:p>
            <w:pPr>
              <w:spacing w:lineRule="exact" w:line="440" w:before="0" w:after="0"/>
              <w:jc w:val="both"/>
            </w:pPr>
            <w:r/>
            <w:r>
              <w:rPr>
                <w:rFonts w:ascii="仿宋_GB2312" w:hAnsi="仿宋_GB2312" w:eastAsia="WenQuanYi Zen Hei"/>
                <w:b w:val="0"/>
                <w:sz w:val="28"/>
              </w:rPr>
              <w:t>语法错误</w:t>
            </w:r>
          </w:p>
        </w:tc>
        <w:tc>
          <w:tcPr>
            <w:tcW w:type="dxa" w:w="2268"/>
            <w:vAlign w:val="center"/>
            <w:shd w:fill="F2F2F2" w:val="clear"/>
          </w:tcPr>
          <w:p>
            <w:pPr>
              <w:spacing w:lineRule="exact" w:line="440" w:before="0" w:after="0"/>
              <w:jc w:val="both"/>
            </w:pPr>
            <w:r/>
            <w:r>
              <w:rPr>
                <w:rFonts w:ascii="仿宋_GB2312" w:hAnsi="仿宋_GB2312" w:eastAsia="WenQuanYi Zen Hei"/>
                <w:b w:val="0"/>
                <w:sz w:val="28"/>
              </w:rPr>
              <w:t>主谓搭配、成分残缺、语序不当</w:t>
            </w:r>
          </w:p>
        </w:tc>
        <w:tc>
          <w:tcPr>
            <w:tcW w:type="dxa" w:w="2835"/>
            <w:vAlign w:val="center"/>
            <w:shd w:fill="F2F2F2" w:val="clear"/>
          </w:tcPr>
          <w:p>
            <w:pPr>
              <w:spacing w:lineRule="exact" w:line="440" w:before="0" w:after="0"/>
              <w:jc w:val="both"/>
            </w:pPr>
            <w:r/>
            <w:r>
              <w:rPr>
                <w:rFonts w:ascii="仿宋_GB2312" w:hAnsi="仿宋_GB2312" w:eastAsia="WenQuanYi Zen Hei"/>
                <w:b w:val="0"/>
                <w:sz w:val="28"/>
              </w:rPr>
              <w:t>"通过……使……"句式杂糅</w:t>
            </w:r>
          </w:p>
        </w:tc>
        <w:tc>
          <w:tcPr>
            <w:tcW w:type="dxa" w:w="1417"/>
            <w:vAlign w:val="center"/>
            <w:shd w:fill="F2F2F2" w:val="clear"/>
          </w:tcPr>
          <w:p>
            <w:pPr>
              <w:spacing w:lineRule="exact" w:line="440" w:before="0" w:after="0"/>
              <w:jc w:val="both"/>
            </w:pPr>
            <w:r/>
            <w:r>
              <w:rPr>
                <w:rFonts w:ascii="仿宋_GB2312" w:hAnsi="仿宋_GB2312" w:eastAsia="WenQuanYi Zen Hei"/>
                <w:b w:val="0"/>
                <w:sz w:val="28"/>
              </w:rPr>
              <w:t>★★★★★</w:t>
            </w:r>
          </w:p>
        </w:tc>
      </w:tr>
      <w:tr>
        <w:tc>
          <w:tcPr>
            <w:tcW w:type="dxa" w:w="1701"/>
            <w:vAlign w:val="center"/>
          </w:tcPr>
          <w:p>
            <w:pPr>
              <w:spacing w:lineRule="exact" w:line="440" w:before="0" w:after="0"/>
              <w:jc w:val="both"/>
            </w:pPr>
            <w:r/>
            <w:r>
              <w:rPr>
                <w:rFonts w:ascii="仿宋_GB2312" w:hAnsi="仿宋_GB2312" w:eastAsia="WenQuanYi Zen Hei"/>
                <w:b w:val="0"/>
                <w:sz w:val="28"/>
              </w:rPr>
              <w:t>标点符号规范</w:t>
            </w:r>
          </w:p>
        </w:tc>
        <w:tc>
          <w:tcPr>
            <w:tcW w:type="dxa" w:w="2268"/>
            <w:vAlign w:val="center"/>
          </w:tcPr>
          <w:p>
            <w:pPr>
              <w:spacing w:lineRule="exact" w:line="440" w:before="0" w:after="0"/>
              <w:jc w:val="both"/>
            </w:pPr>
            <w:r/>
            <w:r>
              <w:rPr>
                <w:rFonts w:ascii="仿宋_GB2312" w:hAnsi="仿宋_GB2312" w:eastAsia="WenQuanYi Zen Hei"/>
                <w:b w:val="0"/>
                <w:sz w:val="28"/>
              </w:rPr>
              <w:t>标点误用、缺失、中英文混用</w:t>
            </w:r>
          </w:p>
        </w:tc>
        <w:tc>
          <w:tcPr>
            <w:tcW w:type="dxa" w:w="2835"/>
            <w:vAlign w:val="center"/>
          </w:tcPr>
          <w:p>
            <w:pPr>
              <w:spacing w:lineRule="exact" w:line="440" w:before="0" w:after="0"/>
              <w:jc w:val="both"/>
            </w:pPr>
            <w:r/>
            <w:r>
              <w:rPr>
                <w:rFonts w:ascii="仿宋_GB2312" w:hAnsi="仿宋_GB2312" w:eastAsia="WenQuanYi Zen Hei"/>
                <w:b w:val="0"/>
                <w:sz w:val="28"/>
              </w:rPr>
              <w:t>中文语境使用英文逗号、句号</w:t>
            </w:r>
          </w:p>
        </w:tc>
        <w:tc>
          <w:tcPr>
            <w:tcW w:type="dxa" w:w="1417"/>
            <w:vAlign w:val="center"/>
          </w:tcPr>
          <w:p>
            <w:pPr>
              <w:spacing w:lineRule="exact" w:line="440" w:before="0" w:after="0"/>
              <w:jc w:val="both"/>
            </w:pPr>
            <w:r/>
            <w:r>
              <w:rPr>
                <w:rFonts w:ascii="仿宋_GB2312" w:hAnsi="仿宋_GB2312" w:eastAsia="WenQuanYi Zen Hei"/>
                <w:b w:val="0"/>
                <w:sz w:val="28"/>
              </w:rPr>
              <w:t>★★★★☆</w:t>
            </w:r>
          </w:p>
        </w:tc>
      </w:tr>
      <w:tr>
        <w:tc>
          <w:tcPr>
            <w:tcW w:type="dxa" w:w="1701"/>
            <w:vAlign w:val="center"/>
            <w:shd w:fill="F2F2F2" w:val="clear"/>
          </w:tcPr>
          <w:p>
            <w:pPr>
              <w:spacing w:lineRule="exact" w:line="440" w:before="0" w:after="0"/>
              <w:jc w:val="both"/>
            </w:pPr>
            <w:r/>
            <w:r>
              <w:rPr>
                <w:rFonts w:ascii="仿宋_GB2312" w:hAnsi="仿宋_GB2312" w:eastAsia="WenQuanYi Zen Hei"/>
                <w:b w:val="0"/>
                <w:sz w:val="28"/>
              </w:rPr>
              <w:t>用词不当检测</w:t>
            </w:r>
          </w:p>
        </w:tc>
        <w:tc>
          <w:tcPr>
            <w:tcW w:type="dxa" w:w="2268"/>
            <w:vAlign w:val="center"/>
            <w:shd w:fill="F2F2F2" w:val="clear"/>
          </w:tcPr>
          <w:p>
            <w:pPr>
              <w:spacing w:lineRule="exact" w:line="440" w:before="0" w:after="0"/>
              <w:jc w:val="both"/>
            </w:pPr>
            <w:r/>
            <w:r>
              <w:rPr>
                <w:rFonts w:ascii="仿宋_GB2312" w:hAnsi="仿宋_GB2312" w:eastAsia="WenQuanYi Zen Hei"/>
                <w:b w:val="0"/>
                <w:sz w:val="28"/>
              </w:rPr>
              <w:t>词语搭配不当、词义混淆</w:t>
            </w:r>
          </w:p>
        </w:tc>
        <w:tc>
          <w:tcPr>
            <w:tcW w:type="dxa" w:w="2835"/>
            <w:vAlign w:val="center"/>
            <w:shd w:fill="F2F2F2" w:val="clear"/>
          </w:tcPr>
          <w:p>
            <w:pPr>
              <w:spacing w:lineRule="exact" w:line="440" w:before="0" w:after="0"/>
              <w:jc w:val="both"/>
            </w:pPr>
            <w:r/>
            <w:r>
              <w:rPr>
                <w:rFonts w:ascii="仿宋_GB2312" w:hAnsi="仿宋_GB2312" w:eastAsia="WenQuanYi Zen Hei"/>
                <w:b w:val="0"/>
                <w:sz w:val="28"/>
              </w:rPr>
              <w:t>"截止"与"截至"混用</w:t>
            </w:r>
          </w:p>
        </w:tc>
        <w:tc>
          <w:tcPr>
            <w:tcW w:type="dxa" w:w="1417"/>
            <w:vAlign w:val="center"/>
            <w:shd w:fill="F2F2F2" w:val="clear"/>
          </w:tcPr>
          <w:p>
            <w:pPr>
              <w:spacing w:lineRule="exact" w:line="440" w:before="0" w:after="0"/>
              <w:jc w:val="both"/>
            </w:pPr>
            <w:r/>
            <w:r>
              <w:rPr>
                <w:rFonts w:ascii="仿宋_GB2312" w:hAnsi="仿宋_GB2312" w:eastAsia="WenQuanYi Zen Hei"/>
                <w:b w:val="0"/>
                <w:sz w:val="28"/>
              </w:rPr>
              <w:t>★★★★★</w:t>
            </w:r>
          </w:p>
        </w:tc>
      </w:tr>
      <w:tr>
        <w:tc>
          <w:tcPr>
            <w:tcW w:type="dxa" w:w="1701"/>
            <w:vAlign w:val="center"/>
          </w:tcPr>
          <w:p>
            <w:pPr>
              <w:spacing w:lineRule="exact" w:line="440" w:before="0" w:after="0"/>
              <w:jc w:val="both"/>
            </w:pPr>
            <w:r/>
            <w:r>
              <w:rPr>
                <w:rFonts w:ascii="仿宋_GB2312" w:hAnsi="仿宋_GB2312" w:eastAsia="WenQuanYi Zen Hei"/>
                <w:b w:val="0"/>
                <w:sz w:val="28"/>
              </w:rPr>
              <w:t>格式规范检查</w:t>
            </w:r>
          </w:p>
        </w:tc>
        <w:tc>
          <w:tcPr>
            <w:tcW w:type="dxa" w:w="2268"/>
            <w:vAlign w:val="center"/>
          </w:tcPr>
          <w:p>
            <w:pPr>
              <w:spacing w:lineRule="exact" w:line="440" w:before="0" w:after="0"/>
              <w:jc w:val="both"/>
            </w:pPr>
            <w:r/>
            <w:r>
              <w:rPr>
                <w:rFonts w:ascii="仿宋_GB2312" w:hAnsi="仿宋_GB2312" w:eastAsia="WenQuanYi Zen Hei"/>
                <w:b w:val="0"/>
                <w:sz w:val="28"/>
              </w:rPr>
              <w:t>公文格式、层次序号、字体字号</w:t>
            </w:r>
          </w:p>
        </w:tc>
        <w:tc>
          <w:tcPr>
            <w:tcW w:type="dxa" w:w="2835"/>
            <w:vAlign w:val="center"/>
          </w:tcPr>
          <w:p>
            <w:pPr>
              <w:spacing w:lineRule="exact" w:line="440" w:before="0" w:after="0"/>
              <w:jc w:val="both"/>
            </w:pPr>
            <w:r/>
            <w:r>
              <w:rPr>
                <w:rFonts w:ascii="仿宋_GB2312" w:hAnsi="仿宋_GB2312" w:eastAsia="WenQuanYi Zen Hei"/>
                <w:b w:val="0"/>
                <w:sz w:val="28"/>
              </w:rPr>
              <w:t>层次序号不合规（一、（一）、1.）</w:t>
            </w:r>
          </w:p>
        </w:tc>
        <w:tc>
          <w:tcPr>
            <w:tcW w:type="dxa" w:w="1417"/>
            <w:vAlign w:val="center"/>
          </w:tcPr>
          <w:p>
            <w:pPr>
              <w:spacing w:lineRule="exact" w:line="440" w:before="0" w:after="0"/>
              <w:jc w:val="both"/>
            </w:pPr>
            <w:r/>
            <w:r>
              <w:rPr>
                <w:rFonts w:ascii="仿宋_GB2312" w:hAnsi="仿宋_GB2312" w:eastAsia="WenQuanYi Zen Hei"/>
                <w:b w:val="0"/>
                <w:sz w:val="28"/>
              </w:rPr>
              <w:t>★★★★☆</w:t>
            </w:r>
          </w:p>
        </w:tc>
      </w:tr>
      <w:tr>
        <w:tc>
          <w:tcPr>
            <w:tcW w:type="dxa" w:w="1701"/>
            <w:vAlign w:val="center"/>
            <w:shd w:fill="F2F2F2" w:val="clear"/>
          </w:tcPr>
          <w:p>
            <w:pPr>
              <w:spacing w:lineRule="exact" w:line="440" w:before="0" w:after="0"/>
              <w:jc w:val="both"/>
            </w:pPr>
            <w:r/>
            <w:r>
              <w:rPr>
                <w:rFonts w:ascii="仿宋_GB2312" w:hAnsi="仿宋_GB2312" w:eastAsia="WenQuanYi Zen Hei"/>
                <w:b w:val="0"/>
                <w:sz w:val="28"/>
              </w:rPr>
              <w:t>政治表述合规</w:t>
            </w:r>
          </w:p>
        </w:tc>
        <w:tc>
          <w:tcPr>
            <w:tcW w:type="dxa" w:w="2268"/>
            <w:vAlign w:val="center"/>
            <w:shd w:fill="F2F2F2" w:val="clear"/>
          </w:tcPr>
          <w:p>
            <w:pPr>
              <w:spacing w:lineRule="exact" w:line="440" w:before="0" w:after="0"/>
              <w:jc w:val="both"/>
            </w:pPr>
            <w:r/>
            <w:r>
              <w:rPr>
                <w:rFonts w:ascii="仿宋_GB2312" w:hAnsi="仿宋_GB2312" w:eastAsia="WenQuanYi Zen Hei"/>
                <w:b w:val="0"/>
                <w:sz w:val="28"/>
              </w:rPr>
              <w:t>领导人职务表述、政治术语规范</w:t>
            </w:r>
          </w:p>
        </w:tc>
        <w:tc>
          <w:tcPr>
            <w:tcW w:type="dxa" w:w="2835"/>
            <w:vAlign w:val="center"/>
            <w:shd w:fill="F2F2F2" w:val="clear"/>
          </w:tcPr>
          <w:p>
            <w:pPr>
              <w:spacing w:lineRule="exact" w:line="440" w:before="0" w:after="0"/>
              <w:jc w:val="both"/>
            </w:pPr>
            <w:r/>
            <w:r>
              <w:rPr>
                <w:rFonts w:ascii="仿宋_GB2312" w:hAnsi="仿宋_GB2312" w:eastAsia="WenQuanYi Zen Hei"/>
                <w:b w:val="0"/>
                <w:sz w:val="28"/>
              </w:rPr>
              <w:t>党和国家领导人姓名职务排序</w:t>
            </w:r>
          </w:p>
        </w:tc>
        <w:tc>
          <w:tcPr>
            <w:tcW w:type="dxa" w:w="1417"/>
            <w:vAlign w:val="center"/>
            <w:shd w:fill="F2F2F2" w:val="clear"/>
          </w:tcPr>
          <w:p>
            <w:pPr>
              <w:spacing w:lineRule="exact" w:line="440" w:before="0" w:after="0"/>
              <w:jc w:val="both"/>
            </w:pPr>
            <w:r/>
            <w:r>
              <w:rPr>
                <w:rFonts w:ascii="仿宋_GB2312" w:hAnsi="仿宋_GB2312" w:eastAsia="WenQuanYi Zen Hei"/>
                <w:b w:val="0"/>
                <w:sz w:val="28"/>
              </w:rPr>
              <w:t>★★★★★</w:t>
            </w:r>
          </w:p>
        </w:tc>
      </w:tr>
      <w:tr>
        <w:tc>
          <w:tcPr>
            <w:tcW w:type="dxa" w:w="1701"/>
            <w:vAlign w:val="center"/>
          </w:tcPr>
          <w:p>
            <w:pPr>
              <w:spacing w:lineRule="exact" w:line="440" w:before="0" w:after="0"/>
              <w:jc w:val="both"/>
            </w:pPr>
            <w:r/>
            <w:r>
              <w:rPr>
                <w:rFonts w:ascii="仿宋_GB2312" w:hAnsi="仿宋_GB2312" w:eastAsia="WenQuanYi Zen Hei"/>
                <w:b w:val="0"/>
                <w:sz w:val="28"/>
              </w:rPr>
              <w:t>公文特定词汇</w:t>
            </w:r>
          </w:p>
        </w:tc>
        <w:tc>
          <w:tcPr>
            <w:tcW w:type="dxa" w:w="2268"/>
            <w:vAlign w:val="center"/>
          </w:tcPr>
          <w:p>
            <w:pPr>
              <w:spacing w:lineRule="exact" w:line="440" w:before="0" w:after="0"/>
              <w:jc w:val="both"/>
            </w:pPr>
            <w:r/>
            <w:r>
              <w:rPr>
                <w:rFonts w:ascii="仿宋_GB2312" w:hAnsi="仿宋_GB2312" w:eastAsia="WenQuanYi Zen Hei"/>
                <w:b w:val="0"/>
                <w:sz w:val="28"/>
              </w:rPr>
              <w:t>公文用语规范、行文风格统一</w:t>
            </w:r>
          </w:p>
        </w:tc>
        <w:tc>
          <w:tcPr>
            <w:tcW w:type="dxa" w:w="2835"/>
            <w:vAlign w:val="center"/>
          </w:tcPr>
          <w:p>
            <w:pPr>
              <w:spacing w:lineRule="exact" w:line="440" w:before="0" w:after="0"/>
              <w:jc w:val="both"/>
            </w:pPr>
            <w:r/>
            <w:r>
              <w:rPr>
                <w:rFonts w:ascii="仿宋_GB2312" w:hAnsi="仿宋_GB2312" w:eastAsia="WenQuanYi Zen Hei"/>
                <w:b w:val="0"/>
                <w:sz w:val="28"/>
              </w:rPr>
              <w:t>"拟定"与"制定"语境区分</w:t>
            </w:r>
          </w:p>
        </w:tc>
        <w:tc>
          <w:tcPr>
            <w:tcW w:type="dxa" w:w="1417"/>
            <w:vAlign w:val="center"/>
          </w:tcPr>
          <w:p>
            <w:pPr>
              <w:spacing w:lineRule="exact" w:line="440" w:before="0" w:after="0"/>
              <w:jc w:val="both"/>
            </w:pPr>
            <w:r/>
            <w:r>
              <w:rPr>
                <w:rFonts w:ascii="仿宋_GB2312" w:hAnsi="仿宋_GB2312" w:eastAsia="WenQuanYi Zen Hei"/>
                <w:b w:val="0"/>
                <w:sz w:val="28"/>
              </w:rPr>
              <w:t>★★★★☆</w:t>
            </w:r>
          </w:p>
        </w:tc>
      </w:tr>
      <w:tr>
        <w:tc>
          <w:tcPr>
            <w:tcW w:type="dxa" w:w="1701"/>
            <w:vAlign w:val="center"/>
            <w:shd w:fill="F2F2F2" w:val="clear"/>
          </w:tcPr>
          <w:p>
            <w:pPr>
              <w:spacing w:lineRule="exact" w:line="440" w:before="0" w:after="0"/>
              <w:jc w:val="both"/>
            </w:pPr>
            <w:r/>
            <w:r>
              <w:rPr>
                <w:rFonts w:ascii="仿宋_GB2312" w:hAnsi="仿宋_GB2312" w:eastAsia="WenQuanYi Zen Hei"/>
                <w:b w:val="0"/>
                <w:sz w:val="28"/>
              </w:rPr>
              <w:t>逻辑错误识别</w:t>
            </w:r>
          </w:p>
        </w:tc>
        <w:tc>
          <w:tcPr>
            <w:tcW w:type="dxa" w:w="2268"/>
            <w:vAlign w:val="center"/>
            <w:shd w:fill="F2F2F2" w:val="clear"/>
          </w:tcPr>
          <w:p>
            <w:pPr>
              <w:spacing w:lineRule="exact" w:line="440" w:before="0" w:after="0"/>
              <w:jc w:val="both"/>
            </w:pPr>
            <w:r/>
            <w:r>
              <w:rPr>
                <w:rFonts w:ascii="仿宋_GB2312" w:hAnsi="仿宋_GB2312" w:eastAsia="WenQuanYi Zen Hei"/>
                <w:b w:val="0"/>
                <w:sz w:val="28"/>
              </w:rPr>
              <w:t>前后矛盾、数据不一致、时间逻辑</w:t>
            </w:r>
          </w:p>
        </w:tc>
        <w:tc>
          <w:tcPr>
            <w:tcW w:type="dxa" w:w="2835"/>
            <w:vAlign w:val="center"/>
            <w:shd w:fill="F2F2F2" w:val="clear"/>
          </w:tcPr>
          <w:p>
            <w:pPr>
              <w:spacing w:lineRule="exact" w:line="440" w:before="0" w:after="0"/>
              <w:jc w:val="both"/>
            </w:pPr>
            <w:r/>
            <w:r>
              <w:rPr>
                <w:rFonts w:ascii="仿宋_GB2312" w:hAnsi="仿宋_GB2312" w:eastAsia="WenQuanYi Zen Hei"/>
                <w:b w:val="0"/>
                <w:sz w:val="28"/>
              </w:rPr>
              <w:t>文中前后数据矛盾、时间倒置</w:t>
            </w:r>
          </w:p>
        </w:tc>
        <w:tc>
          <w:tcPr>
            <w:tcW w:type="dxa" w:w="1417"/>
            <w:vAlign w:val="center"/>
            <w:shd w:fill="F2F2F2" w:val="clear"/>
          </w:tcPr>
          <w:p>
            <w:pPr>
              <w:spacing w:lineRule="exact" w:line="440" w:before="0" w:after="0"/>
              <w:jc w:val="both"/>
            </w:pPr>
            <w:r/>
            <w:r>
              <w:rPr>
                <w:rFonts w:ascii="仿宋_GB2312" w:hAnsi="仿宋_GB2312" w:eastAsia="WenQuanYi Zen Hei"/>
                <w:b w:val="0"/>
                <w:sz w:val="28"/>
              </w:rPr>
              <w:t>★★★★☆</w:t>
            </w:r>
          </w:p>
        </w:tc>
      </w:tr>
    </w:tbl>
    <w:p>
      <w:pPr>
        <w:spacing w:lineRule="exact" w:line="576" w:before="0" w:after="0"/>
        <w:jc w:val="both"/>
      </w:pPr>
      <w:r>
        <w:rPr>
          <w:rFonts w:ascii="仿宋_GB2312" w:hAnsi="仿宋_GB2312" w:eastAsia="WenQuanYi Zen Hei"/>
          <w:b/>
          <w:sz w:val="32"/>
        </w:rPr>
        <w:t>1.自定义规则引擎</w:t>
      </w:r>
    </w:p>
    <w:p>
      <w:pPr>
        <w:spacing w:lineRule="exact" w:line="576" w:before="0" w:after="0"/>
        <w:ind w:firstLine="8128000"/>
        <w:jc w:val="both"/>
      </w:pPr>
      <w:r>
        <w:rPr>
          <w:rFonts w:ascii="仿宋_GB2312" w:hAnsi="仿宋_GB2312" w:eastAsia="WenQuanYi Zen Hei"/>
          <w:b w:val="0"/>
          <w:sz w:val="32"/>
        </w:rPr>
        <w:t>系统提供三种自定义规则配置方式，满足不同层次的个性化需求：</w:t>
      </w:r>
    </w:p>
    <w:p>
      <w:pPr>
        <w:spacing w:lineRule="exact" w:line="576" w:before="0" w:after="0"/>
        <w:ind w:firstLine="8128000"/>
        <w:jc w:val="both"/>
      </w:pPr>
      <w:r>
        <w:rPr>
          <w:rFonts w:ascii="仿宋_GB2312" w:hAnsi="仿宋_GB2312" w:eastAsia="WenQuanYi Zen Hei"/>
          <w:b w:val="0"/>
          <w:sz w:val="32"/>
        </w:rPr>
        <w:t>关键词替换规则。用户可自定义特定词汇的替换映射关系，如将"建国"自动替换为"新中国成立"，将特定简称替换为全称，确保公文用语规范统一。</w:t>
      </w:r>
    </w:p>
    <w:p>
      <w:pPr>
        <w:spacing w:lineRule="exact" w:line="576" w:before="0" w:after="0"/>
        <w:ind w:firstLine="8128000"/>
        <w:jc w:val="both"/>
      </w:pPr>
      <w:r>
        <w:rPr>
          <w:rFonts w:ascii="仿宋_GB2312" w:hAnsi="仿宋_GB2312" w:eastAsia="WenQuanYi Zen Hei"/>
          <w:b w:val="0"/>
          <w:sz w:val="32"/>
        </w:rPr>
        <w:t>正则表达式规则。支持使用正则表达式定义复杂匹配模式，如身份证号格式校验、统一社会信用代码格式校验、特定编号规则校验等，满足精细化校对需求。</w:t>
      </w:r>
    </w:p>
    <w:p>
      <w:pPr>
        <w:spacing w:lineRule="exact" w:line="576" w:before="0" w:after="0"/>
        <w:ind w:firstLine="8128000"/>
        <w:jc w:val="both"/>
      </w:pPr>
      <w:r>
        <w:rPr>
          <w:rFonts w:ascii="仿宋_GB2312" w:hAnsi="仿宋_GB2312" w:eastAsia="WenQuanYi Zen Hei"/>
          <w:b w:val="0"/>
          <w:sz w:val="32"/>
        </w:rPr>
        <w:t>AI语义规则。基于大语言模型语义理解能力，定义抽象语义层面的校对规则，如"检测是否出现与上下文语义矛盾的表述""检测是否存在歧义表述"等，实现超越关键词匹配的智能校对。</w:t>
      </w:r>
    </w:p>
    <w:p>
      <w:pPr>
        <w:spacing w:lineRule="exact" w:line="576" w:before="0" w:after="0"/>
        <w:jc w:val="both"/>
      </w:pPr>
      <w:r>
        <w:rPr>
          <w:rFonts w:ascii="仿宋_GB2312" w:hAnsi="仿宋_GB2312" w:eastAsia="WenQuanYi Zen Hei"/>
          <w:b w:val="0"/>
          <w:sz w:val="32"/>
        </w:rPr>
      </w:r>
    </w:p>
    <w:p>
      <w:pPr>
        <w:spacing w:lineRule="exact" w:line="576" w:before="0" w:after="0"/>
        <w:jc w:val="both"/>
      </w:pPr>
      <w:r>
        <w:rPr>
          <w:rFonts w:ascii="楷体_GB2312" w:hAnsi="楷体_GB2312" w:eastAsia="WenQuanYi Zen Hei"/>
          <w:b w:val="0"/>
          <w:sz w:val="32"/>
        </w:rPr>
        <w:t>（三）本地知识库与结果导出</w:t>
      </w:r>
    </w:p>
    <w:p>
      <w:pPr>
        <w:spacing w:lineRule="exact" w:line="576" w:before="0" w:after="0"/>
        <w:jc w:val="both"/>
      </w:pPr>
      <w:r>
        <w:rPr>
          <w:rFonts w:ascii="仿宋_GB2312" w:hAnsi="仿宋_GB2312" w:eastAsia="WenQuanYi Zen Hei"/>
          <w:b/>
          <w:sz w:val="32"/>
        </w:rPr>
        <w:t>1.本地知识库</w:t>
      </w:r>
    </w:p>
    <w:p>
      <w:pPr>
        <w:spacing w:lineRule="exact" w:line="576" w:before="0" w:after="0"/>
        <w:ind w:firstLine="8128000"/>
        <w:jc w:val="both"/>
      </w:pPr>
      <w:r>
        <w:rPr>
          <w:rFonts w:ascii="仿宋_GB2312" w:hAnsi="仿宋_GB2312" w:eastAsia="WenQuanYi Zen Hei"/>
          <w:b w:val="0"/>
          <w:sz w:val="32"/>
        </w:rPr>
        <w:t>系统基于SQLite轻量级数据库构建本地知识库，实现校对数据的本地化存储与管理，确保数据安全可控。</w:t>
      </w:r>
    </w:p>
    <w:p>
      <w:pPr>
        <w:spacing w:lineRule="exact" w:line="576" w:before="0" w:after="0"/>
        <w:ind w:firstLine="8128000"/>
        <w:jc w:val="both"/>
      </w:pPr>
      <w:r>
        <w:rPr>
          <w:rFonts w:ascii="仿宋_GB2312" w:hAnsi="仿宋_GB2312" w:eastAsia="WenQuanYi Zen Hei"/>
          <w:b w:val="0"/>
          <w:sz w:val="32"/>
        </w:rPr>
        <w:t>数据本地留存。所有校对数据均在本地存储，不经过任何外部网络传输，从物理层面杜绝数据泄露风险，满足涉密单位的数据安全要求。</w:t>
      </w:r>
    </w:p>
    <w:p>
      <w:pPr>
        <w:spacing w:lineRule="exact" w:line="576" w:before="0" w:after="0"/>
        <w:ind w:firstLine="8128000"/>
        <w:jc w:val="both"/>
      </w:pPr>
      <w:r>
        <w:rPr>
          <w:rFonts w:ascii="仿宋_GB2312" w:hAnsi="仿宋_GB2312" w:eastAsia="WenQuanYi Zen Hei"/>
          <w:b w:val="0"/>
          <w:sz w:val="32"/>
        </w:rPr>
        <w:t>自动保存历史。系统自动保存所有校对历史记录，包括原始文本、校对结果、修改建议、操作时间等完整信息，支持按时间、关键词、文档名称等多维度检索与回溯。</w:t>
      </w:r>
    </w:p>
    <w:p>
      <w:pPr>
        <w:spacing w:lineRule="exact" w:line="576" w:before="0" w:after="0"/>
        <w:ind w:firstLine="8128000"/>
        <w:jc w:val="both"/>
      </w:pPr>
      <w:r>
        <w:rPr>
          <w:rFonts w:ascii="仿宋_GB2312" w:hAnsi="仿宋_GB2312" w:eastAsia="WenQuanYi Zen Hei"/>
          <w:b w:val="0"/>
          <w:sz w:val="32"/>
        </w:rPr>
        <w:t>关键词快速筛选。支持对校对历史记录进行关键词快速筛选与搜索，方便用户回顾高频问题类型，为改进文稿质量提供数据支撑。</w:t>
      </w:r>
    </w:p>
    <w:p>
      <w:pPr>
        <w:spacing w:lineRule="exact" w:line="576" w:before="0" w:after="0"/>
        <w:ind w:firstLine="8128000"/>
        <w:jc w:val="both"/>
      </w:pPr>
      <w:r>
        <w:rPr>
          <w:rFonts w:ascii="仿宋_GB2312" w:hAnsi="仿宋_GB2312" w:eastAsia="WenQuanYi Zen Hei"/>
          <w:b w:val="0"/>
          <w:sz w:val="32"/>
        </w:rPr>
        <w:t>轻量高效。SQLite数据库无需独立部署数据库服务器，占用系统资源极少，保障校对系统本身的轻量化与高性能运行。</w:t>
      </w:r>
    </w:p>
    <w:p>
      <w:pPr>
        <w:spacing w:lineRule="exact" w:line="576" w:before="0" w:after="0"/>
        <w:jc w:val="both"/>
      </w:pPr>
      <w:r>
        <w:rPr>
          <w:rFonts w:ascii="仿宋_GB2312" w:hAnsi="仿宋_GB2312" w:eastAsia="WenQuanYi Zen Hei"/>
          <w:b/>
          <w:sz w:val="32"/>
        </w:rPr>
        <w:t>2.结果导出</w:t>
      </w:r>
    </w:p>
    <w:p>
      <w:pPr>
        <w:spacing w:lineRule="exact" w:line="576" w:before="0" w:after="0"/>
        <w:ind w:firstLine="8128000"/>
        <w:jc w:val="both"/>
      </w:pPr>
      <w:r>
        <w:rPr>
          <w:rFonts w:ascii="仿宋_GB2312" w:hAnsi="仿宋_GB2312" w:eastAsia="WenQuanYi Zen Hei"/>
          <w:b w:val="0"/>
          <w:sz w:val="32"/>
        </w:rPr>
        <w:t>系统支持多格式导出，满足多样化工作需求：</w:t>
      </w:r>
    </w:p>
    <w:tbl>
      <w:tblPr>
        <w:tblW w:type="auto" w:w="0"/>
        <w:jc w:val="center"/>
        <w:tblLayout w:type="fixed"/>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948"/>
        <w:gridCol w:w="2948"/>
        <w:gridCol w:w="2948"/>
      </w:tblGrid>
      <w:tr>
        <w:tc>
          <w:tcPr>
            <w:tcW w:type="dxa" w:w="1984"/>
            <w:vAlign w:val="center"/>
            <w:shd w:fill="D9E2F3" w:val="clear"/>
          </w:tcPr>
          <w:p>
            <w:pPr>
              <w:spacing w:lineRule="exact" w:line="440" w:before="0" w:after="0"/>
              <w:jc w:val="both"/>
            </w:pPr>
            <w:r/>
            <w:r>
              <w:rPr>
                <w:rFonts w:ascii="黑体" w:hAnsi="黑体" w:eastAsia="WenQuanYi Zen Hei"/>
                <w:b/>
                <w:sz w:val="28"/>
              </w:rPr>
              <w:t>导出格式</w:t>
            </w:r>
          </w:p>
        </w:tc>
        <w:tc>
          <w:tcPr>
            <w:tcW w:type="dxa" w:w="2551"/>
            <w:vAlign w:val="center"/>
            <w:shd w:fill="D9E2F3" w:val="clear"/>
          </w:tcPr>
          <w:p>
            <w:pPr>
              <w:spacing w:lineRule="exact" w:line="440" w:before="0" w:after="0"/>
              <w:jc w:val="both"/>
            </w:pPr>
            <w:r/>
            <w:r>
              <w:rPr>
                <w:rFonts w:ascii="黑体" w:hAnsi="黑体" w:eastAsia="WenQuanYi Zen Hei"/>
                <w:b/>
                <w:sz w:val="28"/>
              </w:rPr>
              <w:t>适用场景</w:t>
            </w:r>
          </w:p>
        </w:tc>
        <w:tc>
          <w:tcPr>
            <w:tcW w:type="dxa" w:w="3969"/>
            <w:vAlign w:val="center"/>
            <w:shd w:fill="D9E2F3" w:val="clear"/>
          </w:tcPr>
          <w:p>
            <w:pPr>
              <w:spacing w:lineRule="exact" w:line="440" w:before="0" w:after="0"/>
              <w:jc w:val="both"/>
            </w:pPr>
            <w:r/>
            <w:r>
              <w:rPr>
                <w:rFonts w:ascii="黑体" w:hAnsi="黑体" w:eastAsia="WenQuanYi Zen Hei"/>
                <w:b/>
                <w:sz w:val="28"/>
              </w:rPr>
              <w:t>格式特点</w:t>
            </w:r>
          </w:p>
        </w:tc>
      </w:tr>
      <w:tr>
        <w:tc>
          <w:tcPr>
            <w:tcW w:type="dxa" w:w="1984"/>
            <w:vAlign w:val="center"/>
          </w:tcPr>
          <w:p>
            <w:pPr>
              <w:spacing w:lineRule="exact" w:line="440" w:before="0" w:after="0"/>
              <w:jc w:val="both"/>
            </w:pPr>
            <w:r/>
            <w:r>
              <w:rPr>
                <w:rFonts w:ascii="仿宋_GB2312" w:hAnsi="仿宋_GB2312" w:eastAsia="WenQuanYi Zen Hei"/>
                <w:b w:val="0"/>
                <w:sz w:val="28"/>
              </w:rPr>
              <w:t>纯文本（.txt）</w:t>
            </w:r>
          </w:p>
        </w:tc>
        <w:tc>
          <w:tcPr>
            <w:tcW w:type="dxa" w:w="2551"/>
            <w:vAlign w:val="center"/>
          </w:tcPr>
          <w:p>
            <w:pPr>
              <w:spacing w:lineRule="exact" w:line="440" w:before="0" w:after="0"/>
              <w:jc w:val="both"/>
            </w:pPr>
            <w:r/>
            <w:r>
              <w:rPr>
                <w:rFonts w:ascii="仿宋_GB2312" w:hAnsi="仿宋_GB2312" w:eastAsia="WenQuanYi Zen Hei"/>
                <w:b w:val="0"/>
                <w:sz w:val="28"/>
              </w:rPr>
              <w:t>简要记录、系统对接</w:t>
            </w:r>
          </w:p>
        </w:tc>
        <w:tc>
          <w:tcPr>
            <w:tcW w:type="dxa" w:w="3969"/>
            <w:vAlign w:val="center"/>
          </w:tcPr>
          <w:p>
            <w:pPr>
              <w:spacing w:lineRule="exact" w:line="440" w:before="0" w:after="0"/>
              <w:jc w:val="both"/>
            </w:pPr>
            <w:r/>
            <w:r>
              <w:rPr>
                <w:rFonts w:ascii="仿宋_GB2312" w:hAnsi="仿宋_GB2312" w:eastAsia="WenQuanYi Zen Hei"/>
                <w:b w:val="0"/>
                <w:sz w:val="28"/>
              </w:rPr>
              <w:t>简洁通用，兼容性最强</w:t>
            </w:r>
          </w:p>
        </w:tc>
      </w:tr>
      <w:tr>
        <w:tc>
          <w:tcPr>
            <w:tcW w:type="dxa" w:w="1984"/>
            <w:vAlign w:val="center"/>
            <w:shd w:fill="F2F2F2" w:val="clear"/>
          </w:tcPr>
          <w:p>
            <w:pPr>
              <w:spacing w:lineRule="exact" w:line="440" w:before="0" w:after="0"/>
              <w:jc w:val="both"/>
            </w:pPr>
            <w:r/>
            <w:r>
              <w:rPr>
                <w:rFonts w:ascii="仿宋_GB2312" w:hAnsi="仿宋_GB2312" w:eastAsia="WenQuanYi Zen Hei"/>
                <w:b w:val="0"/>
                <w:sz w:val="28"/>
              </w:rPr>
              <w:t>图片（.png）</w:t>
            </w:r>
          </w:p>
        </w:tc>
        <w:tc>
          <w:tcPr>
            <w:tcW w:type="dxa" w:w="2551"/>
            <w:vAlign w:val="center"/>
            <w:shd w:fill="F2F2F2" w:val="clear"/>
          </w:tcPr>
          <w:p>
            <w:pPr>
              <w:spacing w:lineRule="exact" w:line="440" w:before="0" w:after="0"/>
              <w:jc w:val="both"/>
            </w:pPr>
            <w:r/>
            <w:r>
              <w:rPr>
                <w:rFonts w:ascii="仿宋_GB2312" w:hAnsi="仿宋_GB2312" w:eastAsia="WenQuanYi Zen Hei"/>
                <w:b w:val="0"/>
                <w:sz w:val="28"/>
              </w:rPr>
              <w:t>存档备查、非编辑场景</w:t>
            </w:r>
          </w:p>
        </w:tc>
        <w:tc>
          <w:tcPr>
            <w:tcW w:type="dxa" w:w="3969"/>
            <w:vAlign w:val="center"/>
            <w:shd w:fill="F2F2F2" w:val="clear"/>
          </w:tcPr>
          <w:p>
            <w:pPr>
              <w:spacing w:lineRule="exact" w:line="440" w:before="0" w:after="0"/>
              <w:jc w:val="both"/>
            </w:pPr>
            <w:r/>
            <w:r>
              <w:rPr>
                <w:rFonts w:ascii="仿宋_GB2312" w:hAnsi="仿宋_GB2312" w:eastAsia="WenQuanYi Zen Hei"/>
                <w:b w:val="0"/>
                <w:sz w:val="28"/>
              </w:rPr>
              <w:t>保留原文排版样式，所见即所得</w:t>
            </w:r>
          </w:p>
        </w:tc>
      </w:tr>
      <w:tr>
        <w:tc>
          <w:tcPr>
            <w:tcW w:type="dxa" w:w="1984"/>
            <w:vAlign w:val="center"/>
          </w:tcPr>
          <w:p>
            <w:pPr>
              <w:spacing w:lineRule="exact" w:line="440" w:before="0" w:after="0"/>
              <w:jc w:val="both"/>
            </w:pPr>
            <w:r/>
            <w:r>
              <w:rPr>
                <w:rFonts w:ascii="仿宋_GB2312" w:hAnsi="仿宋_GB2312" w:eastAsia="WenQuanYi Zen Hei"/>
                <w:b w:val="0"/>
                <w:sz w:val="28"/>
              </w:rPr>
              <w:t>Markdown（.md）</w:t>
            </w:r>
          </w:p>
        </w:tc>
        <w:tc>
          <w:tcPr>
            <w:tcW w:type="dxa" w:w="2551"/>
            <w:vAlign w:val="center"/>
          </w:tcPr>
          <w:p>
            <w:pPr>
              <w:spacing w:lineRule="exact" w:line="440" w:before="0" w:after="0"/>
              <w:jc w:val="both"/>
            </w:pPr>
            <w:r/>
            <w:r>
              <w:rPr>
                <w:rFonts w:ascii="仿宋_GB2312" w:hAnsi="仿宋_GB2312" w:eastAsia="WenQuanYi Zen Hei"/>
                <w:b w:val="0"/>
                <w:sz w:val="28"/>
              </w:rPr>
              <w:t>二次编辑、内容复用</w:t>
            </w:r>
          </w:p>
        </w:tc>
        <w:tc>
          <w:tcPr>
            <w:tcW w:type="dxa" w:w="3969"/>
            <w:vAlign w:val="center"/>
          </w:tcPr>
          <w:p>
            <w:pPr>
              <w:spacing w:lineRule="exact" w:line="440" w:before="0" w:after="0"/>
              <w:jc w:val="both"/>
            </w:pPr>
            <w:r/>
            <w:r>
              <w:rPr>
                <w:rFonts w:ascii="仿宋_GB2312" w:hAnsi="仿宋_GB2312" w:eastAsia="WenQuanYi Zen Hei"/>
                <w:b w:val="0"/>
                <w:sz w:val="28"/>
              </w:rPr>
              <w:t>结构化标记，便于二次编辑与格式转换</w:t>
            </w:r>
          </w:p>
        </w:tc>
      </w:tr>
      <w:tr>
        <w:tc>
          <w:tcPr>
            <w:tcW w:type="dxa" w:w="1984"/>
            <w:vAlign w:val="center"/>
            <w:shd w:fill="F2F2F2" w:val="clear"/>
          </w:tcPr>
          <w:p>
            <w:pPr>
              <w:spacing w:lineRule="exact" w:line="440" w:before="0" w:after="0"/>
              <w:jc w:val="both"/>
            </w:pPr>
            <w:r/>
            <w:r>
              <w:rPr>
                <w:rFonts w:ascii="仿宋_GB2312" w:hAnsi="仿宋_GB2312" w:eastAsia="WenQuanYi Zen Hei"/>
                <w:b w:val="0"/>
                <w:sz w:val="28"/>
              </w:rPr>
              <w:t>Word（.docx）</w:t>
            </w:r>
          </w:p>
        </w:tc>
        <w:tc>
          <w:tcPr>
            <w:tcW w:type="dxa" w:w="2551"/>
            <w:vAlign w:val="center"/>
            <w:shd w:fill="F2F2F2" w:val="clear"/>
          </w:tcPr>
          <w:p>
            <w:pPr>
              <w:spacing w:lineRule="exact" w:line="440" w:before="0" w:after="0"/>
              <w:jc w:val="both"/>
            </w:pPr>
            <w:r/>
            <w:r>
              <w:rPr>
                <w:rFonts w:ascii="仿宋_GB2312" w:hAnsi="仿宋_GB2312" w:eastAsia="WenQuanYi Zen Hei"/>
                <w:b w:val="0"/>
                <w:sz w:val="28"/>
              </w:rPr>
              <w:t>正式报告、向上汇报</w:t>
            </w:r>
          </w:p>
        </w:tc>
        <w:tc>
          <w:tcPr>
            <w:tcW w:type="dxa" w:w="3969"/>
            <w:vAlign w:val="center"/>
            <w:shd w:fill="F2F2F2" w:val="clear"/>
          </w:tcPr>
          <w:p>
            <w:pPr>
              <w:spacing w:lineRule="exact" w:line="440" w:before="0" w:after="0"/>
              <w:jc w:val="both"/>
            </w:pPr>
            <w:r/>
            <w:r>
              <w:rPr>
                <w:rFonts w:ascii="仿宋_GB2312" w:hAnsi="仿宋_GB2312" w:eastAsia="WenQuanYi Zen Hei"/>
                <w:b w:val="0"/>
                <w:sz w:val="28"/>
              </w:rPr>
              <w:t>标准公文格式，直接进入公文流转</w:t>
            </w:r>
          </w:p>
        </w:tc>
      </w:tr>
      <w:tr>
        <w:tc>
          <w:tcPr>
            <w:tcW w:type="dxa" w:w="1984"/>
            <w:vAlign w:val="center"/>
          </w:tcPr>
          <w:p>
            <w:pPr>
              <w:spacing w:lineRule="exact" w:line="440" w:before="0" w:after="0"/>
              <w:jc w:val="both"/>
            </w:pPr>
            <w:r/>
            <w:r>
              <w:rPr>
                <w:rFonts w:ascii="仿宋_GB2312" w:hAnsi="仿宋_GB2312" w:eastAsia="WenQuanYi Zen Hei"/>
                <w:b w:val="0"/>
                <w:sz w:val="28"/>
              </w:rPr>
              <w:t>PDF（.pdf）</w:t>
            </w:r>
          </w:p>
        </w:tc>
        <w:tc>
          <w:tcPr>
            <w:tcW w:type="dxa" w:w="2551"/>
            <w:vAlign w:val="center"/>
          </w:tcPr>
          <w:p>
            <w:pPr>
              <w:spacing w:lineRule="exact" w:line="440" w:before="0" w:after="0"/>
              <w:jc w:val="both"/>
            </w:pPr>
            <w:r/>
            <w:r>
              <w:rPr>
                <w:rFonts w:ascii="仿宋_GB2312" w:hAnsi="仿宋_GB2312" w:eastAsia="WenQuanYi Zen Hei"/>
                <w:b w:val="0"/>
                <w:sz w:val="28"/>
              </w:rPr>
              <w:t>归档存证、对外报送</w:t>
            </w:r>
          </w:p>
        </w:tc>
        <w:tc>
          <w:tcPr>
            <w:tcW w:type="dxa" w:w="3969"/>
            <w:vAlign w:val="center"/>
          </w:tcPr>
          <w:p>
            <w:pPr>
              <w:spacing w:lineRule="exact" w:line="440" w:before="0" w:after="0"/>
              <w:jc w:val="both"/>
            </w:pPr>
            <w:r/>
            <w:r>
              <w:rPr>
                <w:rFonts w:ascii="仿宋_GB2312" w:hAnsi="仿宋_GB2312" w:eastAsia="WenQuanYi Zen Hei"/>
                <w:b w:val="0"/>
                <w:sz w:val="28"/>
              </w:rPr>
              <w:t>不可篡改，符合归档要求</w:t>
            </w:r>
          </w:p>
        </w:tc>
      </w:tr>
    </w:tbl>
    <w:p>
      <w:pPr>
        <w:spacing w:lineRule="exact" w:line="576" w:before="0" w:after="0"/>
        <w:jc w:val="both"/>
      </w:pPr>
      <w:r>
        <w:rPr>
          <w:rFonts w:ascii="仿宋_GB2312" w:hAnsi="仿宋_GB2312" w:eastAsia="WenQuanYi Zen Hei"/>
          <w:b/>
          <w:sz w:val="32"/>
        </w:rPr>
        <w:t>3.校对报告</w:t>
      </w:r>
    </w:p>
    <w:p>
      <w:pPr>
        <w:spacing w:lineRule="exact" w:line="576" w:before="0" w:after="0"/>
        <w:ind w:firstLine="8128000"/>
        <w:jc w:val="both"/>
      </w:pPr>
      <w:r>
        <w:rPr>
          <w:rFonts w:ascii="仿宋_GB2312" w:hAnsi="仿宋_GB2312" w:eastAsia="WenQuanYi Zen Hei"/>
          <w:b w:val="0"/>
          <w:sz w:val="32"/>
        </w:rPr>
        <w:t>系统自动生成详细校对报告，包含以下四大内容模块：</w:t>
      </w:r>
    </w:p>
    <w:p>
      <w:pPr>
        <w:spacing w:lineRule="exact" w:line="576" w:before="0" w:after="0"/>
        <w:ind w:firstLine="8128000"/>
        <w:jc w:val="both"/>
      </w:pPr>
      <w:r>
        <w:rPr>
          <w:rFonts w:ascii="仿宋_GB2312" w:hAnsi="仿宋_GB2312" w:eastAsia="WenQuanYi Zen Hei"/>
          <w:b w:val="0"/>
          <w:sz w:val="32"/>
        </w:rPr>
        <w:t>问题总览。汇总校对发现的问题数量与类型分布，按严重程度（严重、一般、提示）分类统计，便于用户快速了解文档质量概况。</w:t>
      </w:r>
    </w:p>
    <w:p>
      <w:pPr>
        <w:spacing w:lineRule="exact" w:line="576" w:before="0" w:after="0"/>
        <w:ind w:firstLine="8128000"/>
        <w:jc w:val="both"/>
      </w:pPr>
      <w:r>
        <w:rPr>
          <w:rFonts w:ascii="仿宋_GB2312" w:hAnsi="仿宋_GB2312" w:eastAsia="WenQuanYi Zen Hei"/>
          <w:b w:val="0"/>
          <w:sz w:val="32"/>
        </w:rPr>
        <w:t>逐条修改建议。对每个校对问题逐一列出原文位置、问题描述、修改建议与置信度等级，用户可逐条审阅并决定是否采纳。</w:t>
      </w:r>
    </w:p>
    <w:p>
      <w:pPr>
        <w:spacing w:lineRule="exact" w:line="576" w:before="0" w:after="0"/>
        <w:ind w:firstLine="8128000"/>
        <w:jc w:val="both"/>
      </w:pPr>
      <w:r>
        <w:rPr>
          <w:rFonts w:ascii="仿宋_GB2312" w:hAnsi="仿宋_GB2312" w:eastAsia="WenQuanYi Zen Hei"/>
          <w:b w:val="0"/>
          <w:sz w:val="32"/>
        </w:rPr>
        <w:t>规则命中分析。统计各校对规则的命中次数与频率，帮助用户了解文档的薄弱环节与高频问题类型，为后续文稿写作提供改进方向。</w:t>
      </w:r>
    </w:p>
    <w:p>
      <w:pPr>
        <w:spacing w:lineRule="exact" w:line="576" w:before="0" w:after="0"/>
        <w:ind w:firstLine="8128000"/>
        <w:jc w:val="both"/>
      </w:pPr>
      <w:r>
        <w:rPr>
          <w:rFonts w:ascii="仿宋_GB2312" w:hAnsi="仿宋_GB2312" w:eastAsia="WenQuanYi Zen Hei"/>
          <w:b w:val="0"/>
          <w:sz w:val="32"/>
        </w:rPr>
        <w:t>质量评分。根据校对结果对文档进行综合质量评分，量化反映文档的规范性、准确性与一致性水平，便于横向对比与纵向追踪。</w:t>
      </w:r>
    </w:p>
    <w:p>
      <w:pPr>
        <w:spacing w:lineRule="exact" w:line="576" w:before="0" w:after="0"/>
        <w:jc w:val="both"/>
      </w:pPr>
      <w:r>
        <w:rPr>
          <w:rFonts w:ascii="仿宋_GB2312" w:hAnsi="仿宋_GB2312" w:eastAsia="WenQuanYi Zen Hei"/>
          <w:b w:val="0"/>
          <w:sz w:val="32"/>
        </w:rPr>
      </w:r>
    </w:p>
    <w:p>
      <w:pPr>
        <w:spacing w:lineRule="exact" w:line="576" w:before="0" w:after="0"/>
        <w:jc w:val="both"/>
      </w:pPr>
      <w:r>
        <w:rPr>
          <w:rFonts w:ascii="黑体" w:hAnsi="黑体" w:eastAsia="WenQuanYi Zen Hei"/>
          <w:b w:val="0"/>
          <w:sz w:val="32"/>
        </w:rPr>
        <w:t>三、核心优势分析</w:t>
      </w:r>
    </w:p>
    <w:p>
      <w:pPr>
        <w:spacing w:lineRule="exact" w:line="576" w:before="0" w:after="0"/>
        <w:jc w:val="both"/>
      </w:pPr>
      <w:r>
        <w:rPr>
          <w:rFonts w:ascii="楷体_GB2312" w:hAnsi="楷体_GB2312" w:eastAsia="WenQuanYi Zen Hei"/>
          <w:b w:val="0"/>
          <w:sz w:val="32"/>
        </w:rPr>
        <w:t>（一）效率与准确性</w:t>
      </w:r>
    </w:p>
    <w:p>
      <w:pPr>
        <w:spacing w:lineRule="exact" w:line="576" w:before="0" w:after="0"/>
        <w:ind w:firstLine="8128000"/>
        <w:jc w:val="both"/>
      </w:pPr>
      <w:r>
        <w:rPr>
          <w:rFonts w:ascii="仿宋_GB2312" w:hAnsi="仿宋_GB2312" w:eastAsia="WenQuanYi Zen Hei"/>
          <w:b w:val="0"/>
          <w:sz w:val="32"/>
        </w:rPr>
        <w:t>系统在效率与准确性方面具有显著优势：</w:t>
      </w:r>
    </w:p>
    <w:tbl>
      <w:tblPr>
        <w:tblW w:type="auto" w:w="0"/>
        <w:jc w:val="center"/>
        <w:tblLayout w:type="fixed"/>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948"/>
        <w:gridCol w:w="2948"/>
        <w:gridCol w:w="2948"/>
      </w:tblGrid>
      <w:tr>
        <w:tc>
          <w:tcPr>
            <w:tcW w:type="dxa" w:w="2268"/>
            <w:vAlign w:val="center"/>
            <w:shd w:fill="D9E2F3" w:val="clear"/>
          </w:tcPr>
          <w:p>
            <w:pPr>
              <w:spacing w:lineRule="exact" w:line="440" w:before="0" w:after="0"/>
              <w:jc w:val="both"/>
            </w:pPr>
            <w:r/>
            <w:r>
              <w:rPr>
                <w:rFonts w:ascii="黑体" w:hAnsi="黑体" w:eastAsia="WenQuanYi Zen Hei"/>
                <w:b/>
                <w:sz w:val="28"/>
              </w:rPr>
              <w:t>优势指标</w:t>
            </w:r>
          </w:p>
        </w:tc>
        <w:tc>
          <w:tcPr>
            <w:tcW w:type="dxa" w:w="3118"/>
            <w:vAlign w:val="center"/>
            <w:shd w:fill="D9E2F3" w:val="clear"/>
          </w:tcPr>
          <w:p>
            <w:pPr>
              <w:spacing w:lineRule="exact" w:line="440" w:before="0" w:after="0"/>
              <w:jc w:val="both"/>
            </w:pPr>
            <w:r/>
            <w:r>
              <w:rPr>
                <w:rFonts w:ascii="黑体" w:hAnsi="黑体" w:eastAsia="WenQuanYi Zen Hei"/>
                <w:b/>
                <w:sz w:val="28"/>
              </w:rPr>
              <w:t>具体表现</w:t>
            </w:r>
          </w:p>
        </w:tc>
        <w:tc>
          <w:tcPr>
            <w:tcW w:type="dxa" w:w="3118"/>
            <w:vAlign w:val="center"/>
            <w:shd w:fill="D9E2F3" w:val="clear"/>
          </w:tcPr>
          <w:p>
            <w:pPr>
              <w:spacing w:lineRule="exact" w:line="440" w:before="0" w:after="0"/>
              <w:jc w:val="both"/>
            </w:pPr>
            <w:r/>
            <w:r>
              <w:rPr>
                <w:rFonts w:ascii="黑体" w:hAnsi="黑体" w:eastAsia="WenQuanYi Zen Hei"/>
                <w:b/>
                <w:sz w:val="28"/>
              </w:rPr>
              <w:t>对比人工校对</w:t>
            </w:r>
          </w:p>
        </w:tc>
      </w:tr>
      <w:tr>
        <w:tc>
          <w:tcPr>
            <w:tcW w:type="dxa" w:w="2268"/>
            <w:vAlign w:val="center"/>
          </w:tcPr>
          <w:p>
            <w:pPr>
              <w:spacing w:lineRule="exact" w:line="440" w:before="0" w:after="0"/>
              <w:jc w:val="both"/>
            </w:pPr>
            <w:r/>
            <w:r>
              <w:rPr>
                <w:rFonts w:ascii="仿宋_GB2312" w:hAnsi="仿宋_GB2312" w:eastAsia="WenQuanYi Zen Hei"/>
                <w:b w:val="0"/>
                <w:sz w:val="28"/>
              </w:rPr>
              <w:t>校对速度</w:t>
            </w:r>
          </w:p>
        </w:tc>
        <w:tc>
          <w:tcPr>
            <w:tcW w:type="dxa" w:w="3118"/>
            <w:vAlign w:val="center"/>
          </w:tcPr>
          <w:p>
            <w:pPr>
              <w:spacing w:lineRule="exact" w:line="440" w:before="0" w:after="0"/>
              <w:jc w:val="both"/>
            </w:pPr>
            <w:r/>
            <w:r>
              <w:rPr>
                <w:rFonts w:ascii="仿宋_GB2312" w:hAnsi="仿宋_GB2312" w:eastAsia="WenQuanYi Zen Hei"/>
                <w:b w:val="0"/>
                <w:sz w:val="28"/>
              </w:rPr>
              <w:t>较人工快50%以上</w:t>
            </w:r>
          </w:p>
        </w:tc>
        <w:tc>
          <w:tcPr>
            <w:tcW w:type="dxa" w:w="3118"/>
            <w:vAlign w:val="center"/>
          </w:tcPr>
          <w:p>
            <w:pPr>
              <w:spacing w:lineRule="exact" w:line="440" w:before="0" w:after="0"/>
              <w:jc w:val="both"/>
            </w:pPr>
            <w:r/>
            <w:r>
              <w:rPr>
                <w:rFonts w:ascii="仿宋_GB2312" w:hAnsi="仿宋_GB2312" w:eastAsia="WenQuanYi Zen Hei"/>
                <w:b w:val="0"/>
                <w:sz w:val="28"/>
              </w:rPr>
              <w:t>单篇30-60分钟→5-10分钟</w:t>
            </w:r>
          </w:p>
        </w:tc>
      </w:tr>
      <w:tr>
        <w:tc>
          <w:tcPr>
            <w:tcW w:type="dxa" w:w="2268"/>
            <w:vAlign w:val="center"/>
            <w:shd w:fill="F2F2F2" w:val="clear"/>
          </w:tcPr>
          <w:p>
            <w:pPr>
              <w:spacing w:lineRule="exact" w:line="440" w:before="0" w:after="0"/>
              <w:jc w:val="both"/>
            </w:pPr>
            <w:r/>
            <w:r>
              <w:rPr>
                <w:rFonts w:ascii="仿宋_GB2312" w:hAnsi="仿宋_GB2312" w:eastAsia="WenQuanYi Zen Hei"/>
                <w:b w:val="0"/>
                <w:sz w:val="28"/>
              </w:rPr>
              <w:t>多模型交叉验证</w:t>
            </w:r>
          </w:p>
        </w:tc>
        <w:tc>
          <w:tcPr>
            <w:tcW w:type="dxa" w:w="3118"/>
            <w:vAlign w:val="center"/>
            <w:shd w:fill="F2F2F2" w:val="clear"/>
          </w:tcPr>
          <w:p>
            <w:pPr>
              <w:spacing w:lineRule="exact" w:line="440" w:before="0" w:after="0"/>
              <w:jc w:val="both"/>
            </w:pPr>
            <w:r/>
            <w:r>
              <w:rPr>
                <w:rFonts w:ascii="仿宋_GB2312" w:hAnsi="仿宋_GB2312" w:eastAsia="WenQuanYi Zen Hei"/>
                <w:b w:val="0"/>
                <w:sz w:val="28"/>
              </w:rPr>
              <w:t>确保校对结果可靠</w:t>
            </w:r>
          </w:p>
        </w:tc>
        <w:tc>
          <w:tcPr>
            <w:tcW w:type="dxa" w:w="3118"/>
            <w:vAlign w:val="center"/>
            <w:shd w:fill="F2F2F2" w:val="clear"/>
          </w:tcPr>
          <w:p>
            <w:pPr>
              <w:spacing w:lineRule="exact" w:line="440" w:before="0" w:after="0"/>
              <w:jc w:val="both"/>
            </w:pPr>
            <w:r/>
            <w:r>
              <w:rPr>
                <w:rFonts w:ascii="仿宋_GB2312" w:hAnsi="仿宋_GB2312" w:eastAsia="WenQuanYi Zen Hei"/>
                <w:b w:val="0"/>
                <w:sz w:val="28"/>
              </w:rPr>
              <w:t>单一人工审阅存在盲区</w:t>
            </w:r>
          </w:p>
        </w:tc>
      </w:tr>
      <w:tr>
        <w:tc>
          <w:tcPr>
            <w:tcW w:type="dxa" w:w="2268"/>
            <w:vAlign w:val="center"/>
          </w:tcPr>
          <w:p>
            <w:pPr>
              <w:spacing w:lineRule="exact" w:line="440" w:before="0" w:after="0"/>
              <w:jc w:val="both"/>
            </w:pPr>
            <w:r/>
            <w:r>
              <w:rPr>
                <w:rFonts w:ascii="仿宋_GB2312" w:hAnsi="仿宋_GB2312" w:eastAsia="WenQuanYi Zen Hei"/>
                <w:b w:val="0"/>
                <w:sz w:val="28"/>
              </w:rPr>
              <w:t>批量处理能力</w:t>
            </w:r>
          </w:p>
        </w:tc>
        <w:tc>
          <w:tcPr>
            <w:tcW w:type="dxa" w:w="3118"/>
            <w:vAlign w:val="center"/>
          </w:tcPr>
          <w:p>
            <w:pPr>
              <w:spacing w:lineRule="exact" w:line="440" w:before="0" w:after="0"/>
              <w:jc w:val="both"/>
            </w:pPr>
            <w:r/>
            <w:r>
              <w:rPr>
                <w:rFonts w:ascii="仿宋_GB2312" w:hAnsi="仿宋_GB2312" w:eastAsia="WenQuanYi Zen Hei"/>
                <w:b w:val="0"/>
                <w:sz w:val="28"/>
              </w:rPr>
              <w:t>支持批量处理多个文档</w:t>
            </w:r>
          </w:p>
        </w:tc>
        <w:tc>
          <w:tcPr>
            <w:tcW w:type="dxa" w:w="3118"/>
            <w:vAlign w:val="center"/>
          </w:tcPr>
          <w:p>
            <w:pPr>
              <w:spacing w:lineRule="exact" w:line="440" w:before="0" w:after="0"/>
              <w:jc w:val="both"/>
            </w:pPr>
            <w:r/>
            <w:r>
              <w:rPr>
                <w:rFonts w:ascii="仿宋_GB2312" w:hAnsi="仿宋_GB2312" w:eastAsia="WenQuanYi Zen Hei"/>
                <w:b w:val="0"/>
                <w:sz w:val="28"/>
              </w:rPr>
              <w:t>人工逐一审阅效率低下</w:t>
            </w:r>
          </w:p>
        </w:tc>
      </w:tr>
      <w:tr>
        <w:tc>
          <w:tcPr>
            <w:tcW w:type="dxa" w:w="2268"/>
            <w:vAlign w:val="center"/>
            <w:shd w:fill="F2F2F2" w:val="clear"/>
          </w:tcPr>
          <w:p>
            <w:pPr>
              <w:spacing w:lineRule="exact" w:line="440" w:before="0" w:after="0"/>
              <w:jc w:val="both"/>
            </w:pPr>
            <w:r/>
            <w:r>
              <w:rPr>
                <w:rFonts w:ascii="仿宋_GB2312" w:hAnsi="仿宋_GB2312" w:eastAsia="WenQuanYi Zen Hei"/>
                <w:b w:val="0"/>
                <w:sz w:val="28"/>
              </w:rPr>
              <w:t>专业规则库</w:t>
            </w:r>
          </w:p>
        </w:tc>
        <w:tc>
          <w:tcPr>
            <w:tcW w:type="dxa" w:w="3118"/>
            <w:vAlign w:val="center"/>
            <w:shd w:fill="F2F2F2" w:val="clear"/>
          </w:tcPr>
          <w:p>
            <w:pPr>
              <w:spacing w:lineRule="exact" w:line="440" w:before="0" w:after="0"/>
              <w:jc w:val="both"/>
            </w:pPr>
            <w:r/>
            <w:r>
              <w:rPr>
                <w:rFonts w:ascii="仿宋_GB2312" w:hAnsi="仿宋_GB2312" w:eastAsia="WenQuanYi Zen Hei"/>
                <w:b w:val="0"/>
                <w:sz w:val="28"/>
              </w:rPr>
              <w:t>内置8+种专业公文校对规则</w:t>
            </w:r>
          </w:p>
        </w:tc>
        <w:tc>
          <w:tcPr>
            <w:tcW w:type="dxa" w:w="3118"/>
            <w:vAlign w:val="center"/>
            <w:shd w:fill="F2F2F2" w:val="clear"/>
          </w:tcPr>
          <w:p>
            <w:pPr>
              <w:spacing w:lineRule="exact" w:line="440" w:before="0" w:after="0"/>
              <w:jc w:val="both"/>
            </w:pPr>
            <w:r/>
            <w:r>
              <w:rPr>
                <w:rFonts w:ascii="仿宋_GB2312" w:hAnsi="仿宋_GB2312" w:eastAsia="WenQuanYi Zen Hei"/>
                <w:b w:val="0"/>
                <w:sz w:val="28"/>
              </w:rPr>
              <w:t>人工经验因人而异</w:t>
            </w:r>
          </w:p>
        </w:tc>
      </w:tr>
    </w:tbl>
    <w:p>
      <w:pPr>
        <w:spacing w:lineRule="exact" w:line="576" w:before="0" w:after="0"/>
        <w:jc w:val="both"/>
      </w:pPr>
      <w:r>
        <w:rPr>
          <w:rFonts w:ascii="楷体_GB2312" w:hAnsi="楷体_GB2312" w:eastAsia="WenQuanYi Zen Hei"/>
          <w:b w:val="0"/>
          <w:sz w:val="32"/>
        </w:rPr>
        <w:t>（二）易用性与安全性</w:t>
      </w:r>
    </w:p>
    <w:p>
      <w:pPr>
        <w:spacing w:lineRule="exact" w:line="576" w:before="0" w:after="0"/>
        <w:ind w:firstLine="8128000"/>
        <w:jc w:val="both"/>
      </w:pPr>
      <w:r>
        <w:rPr>
          <w:rFonts w:ascii="仿宋_GB2312" w:hAnsi="仿宋_GB2312" w:eastAsia="WenQuanYi Zen Hei"/>
          <w:b w:val="0"/>
          <w:sz w:val="32"/>
        </w:rPr>
        <w:t>系统在易用性与安全性方面同样具备突出优势：</w:t>
      </w:r>
    </w:p>
    <w:tbl>
      <w:tblPr>
        <w:tblW w:type="auto" w:w="0"/>
        <w:jc w:val="center"/>
        <w:tblLayout w:type="fixed"/>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948"/>
        <w:gridCol w:w="2948"/>
        <w:gridCol w:w="2948"/>
      </w:tblGrid>
      <w:tr>
        <w:tc>
          <w:tcPr>
            <w:tcW w:type="dxa" w:w="2268"/>
            <w:vAlign w:val="center"/>
            <w:shd w:fill="D9E2F3" w:val="clear"/>
          </w:tcPr>
          <w:p>
            <w:pPr>
              <w:spacing w:lineRule="exact" w:line="440" w:before="0" w:after="0"/>
              <w:jc w:val="both"/>
            </w:pPr>
            <w:r/>
            <w:r>
              <w:rPr>
                <w:rFonts w:ascii="黑体" w:hAnsi="黑体" w:eastAsia="WenQuanYi Zen Hei"/>
                <w:b/>
                <w:sz w:val="28"/>
              </w:rPr>
              <w:t>优势指标</w:t>
            </w:r>
          </w:p>
        </w:tc>
        <w:tc>
          <w:tcPr>
            <w:tcW w:type="dxa" w:w="3118"/>
            <w:vAlign w:val="center"/>
            <w:shd w:fill="D9E2F3" w:val="clear"/>
          </w:tcPr>
          <w:p>
            <w:pPr>
              <w:spacing w:lineRule="exact" w:line="440" w:before="0" w:after="0"/>
              <w:jc w:val="both"/>
            </w:pPr>
            <w:r/>
            <w:r>
              <w:rPr>
                <w:rFonts w:ascii="黑体" w:hAnsi="黑体" w:eastAsia="WenQuanYi Zen Hei"/>
                <w:b/>
                <w:sz w:val="28"/>
              </w:rPr>
              <w:t>具体表现</w:t>
            </w:r>
          </w:p>
        </w:tc>
        <w:tc>
          <w:tcPr>
            <w:tcW w:type="dxa" w:w="3118"/>
            <w:vAlign w:val="center"/>
            <w:shd w:fill="D9E2F3" w:val="clear"/>
          </w:tcPr>
          <w:p>
            <w:pPr>
              <w:spacing w:lineRule="exact" w:line="440" w:before="0" w:after="0"/>
              <w:jc w:val="both"/>
            </w:pPr>
            <w:r/>
            <w:r>
              <w:rPr>
                <w:rFonts w:ascii="黑体" w:hAnsi="黑体" w:eastAsia="WenQuanYi Zen Hei"/>
                <w:b/>
                <w:sz w:val="28"/>
              </w:rPr>
              <w:t>技术保障</w:t>
            </w:r>
          </w:p>
        </w:tc>
      </w:tr>
      <w:tr>
        <w:tc>
          <w:tcPr>
            <w:tcW w:type="dxa" w:w="2268"/>
            <w:vAlign w:val="center"/>
          </w:tcPr>
          <w:p>
            <w:pPr>
              <w:spacing w:lineRule="exact" w:line="440" w:before="0" w:after="0"/>
              <w:jc w:val="both"/>
            </w:pPr>
            <w:r/>
            <w:r>
              <w:rPr>
                <w:rFonts w:ascii="仿宋_GB2312" w:hAnsi="仿宋_GB2312" w:eastAsia="WenQuanYi Zen Hei"/>
                <w:b w:val="0"/>
                <w:sz w:val="28"/>
              </w:rPr>
              <w:t>操作简洁</w:t>
            </w:r>
          </w:p>
        </w:tc>
        <w:tc>
          <w:tcPr>
            <w:tcW w:type="dxa" w:w="3118"/>
            <w:vAlign w:val="center"/>
          </w:tcPr>
          <w:p>
            <w:pPr>
              <w:spacing w:lineRule="exact" w:line="440" w:before="0" w:after="0"/>
              <w:jc w:val="both"/>
            </w:pPr>
            <w:r/>
            <w:r>
              <w:rPr>
                <w:rFonts w:ascii="仿宋_GB2312" w:hAnsi="仿宋_GB2312" w:eastAsia="WenQuanYi Zen Hei"/>
                <w:b w:val="0"/>
                <w:sz w:val="28"/>
              </w:rPr>
              <w:t>界面直观，操作简单易上手</w:t>
            </w:r>
          </w:p>
        </w:tc>
        <w:tc>
          <w:tcPr>
            <w:tcW w:type="dxa" w:w="3118"/>
            <w:vAlign w:val="center"/>
          </w:tcPr>
          <w:p>
            <w:pPr>
              <w:spacing w:lineRule="exact" w:line="440" w:before="0" w:after="0"/>
              <w:jc w:val="both"/>
            </w:pPr>
            <w:r/>
            <w:r>
              <w:rPr>
                <w:rFonts w:ascii="仿宋_GB2312" w:hAnsi="仿宋_GB2312" w:eastAsia="WenQuanYi Zen Hei"/>
                <w:b w:val="0"/>
                <w:sz w:val="28"/>
              </w:rPr>
              <w:t>向导式交互设计</w:t>
            </w:r>
          </w:p>
        </w:tc>
      </w:tr>
      <w:tr>
        <w:tc>
          <w:tcPr>
            <w:tcW w:type="dxa" w:w="2268"/>
            <w:vAlign w:val="center"/>
            <w:shd w:fill="F2F2F2" w:val="clear"/>
          </w:tcPr>
          <w:p>
            <w:pPr>
              <w:spacing w:lineRule="exact" w:line="440" w:before="0" w:after="0"/>
              <w:jc w:val="both"/>
            </w:pPr>
            <w:r/>
            <w:r>
              <w:rPr>
                <w:rFonts w:ascii="仿宋_GB2312" w:hAnsi="仿宋_GB2312" w:eastAsia="WenQuanYi Zen Hei"/>
                <w:b w:val="0"/>
                <w:sz w:val="28"/>
              </w:rPr>
              <w:t>多种输入方式</w:t>
            </w:r>
          </w:p>
        </w:tc>
        <w:tc>
          <w:tcPr>
            <w:tcW w:type="dxa" w:w="3118"/>
            <w:vAlign w:val="center"/>
            <w:shd w:fill="F2F2F2" w:val="clear"/>
          </w:tcPr>
          <w:p>
            <w:pPr>
              <w:spacing w:lineRule="exact" w:line="440" w:before="0" w:after="0"/>
              <w:jc w:val="both"/>
            </w:pPr>
            <w:r/>
            <w:r>
              <w:rPr>
                <w:rFonts w:ascii="仿宋_GB2312" w:hAnsi="仿宋_GB2312" w:eastAsia="WenQuanYi Zen Hei"/>
                <w:b w:val="0"/>
                <w:sz w:val="28"/>
              </w:rPr>
              <w:t>支持文件上传、文本粘贴、URL解析</w:t>
            </w:r>
          </w:p>
        </w:tc>
        <w:tc>
          <w:tcPr>
            <w:tcW w:type="dxa" w:w="3118"/>
            <w:vAlign w:val="center"/>
            <w:shd w:fill="F2F2F2" w:val="clear"/>
          </w:tcPr>
          <w:p>
            <w:pPr>
              <w:spacing w:lineRule="exact" w:line="440" w:before="0" w:after="0"/>
              <w:jc w:val="both"/>
            </w:pPr>
            <w:r/>
            <w:r>
              <w:rPr>
                <w:rFonts w:ascii="仿宋_GB2312" w:hAnsi="仿宋_GB2312" w:eastAsia="WenQuanYi Zen Hei"/>
                <w:b w:val="0"/>
                <w:sz w:val="28"/>
              </w:rPr>
              <w:t>灵活适配不同工作场景</w:t>
            </w:r>
          </w:p>
        </w:tc>
      </w:tr>
      <w:tr>
        <w:tc>
          <w:tcPr>
            <w:tcW w:type="dxa" w:w="2268"/>
            <w:vAlign w:val="center"/>
          </w:tcPr>
          <w:p>
            <w:pPr>
              <w:spacing w:lineRule="exact" w:line="440" w:before="0" w:after="0"/>
              <w:jc w:val="both"/>
            </w:pPr>
            <w:r/>
            <w:r>
              <w:rPr>
                <w:rFonts w:ascii="仿宋_GB2312" w:hAnsi="仿宋_GB2312" w:eastAsia="WenQuanYi Zen Hei"/>
                <w:b w:val="0"/>
                <w:sz w:val="28"/>
              </w:rPr>
              <w:t>数据安全</w:t>
            </w:r>
          </w:p>
        </w:tc>
        <w:tc>
          <w:tcPr>
            <w:tcW w:type="dxa" w:w="3118"/>
            <w:vAlign w:val="center"/>
          </w:tcPr>
          <w:p>
            <w:pPr>
              <w:spacing w:lineRule="exact" w:line="440" w:before="0" w:after="0"/>
              <w:jc w:val="both"/>
            </w:pPr>
            <w:r/>
            <w:r>
              <w:rPr>
                <w:rFonts w:ascii="仿宋_GB2312" w:hAnsi="仿宋_GB2312" w:eastAsia="WenQuanYi Zen Hei"/>
                <w:b w:val="0"/>
                <w:sz w:val="28"/>
              </w:rPr>
              <w:t>校对历史本地存储，数据不丢失</w:t>
            </w:r>
          </w:p>
        </w:tc>
        <w:tc>
          <w:tcPr>
            <w:tcW w:type="dxa" w:w="3118"/>
            <w:vAlign w:val="center"/>
          </w:tcPr>
          <w:p>
            <w:pPr>
              <w:spacing w:lineRule="exact" w:line="440" w:before="0" w:after="0"/>
              <w:jc w:val="both"/>
            </w:pPr>
            <w:r/>
            <w:r>
              <w:rPr>
                <w:rFonts w:ascii="仿宋_GB2312" w:hAnsi="仿宋_GB2312" w:eastAsia="WenQuanYi Zen Hei"/>
                <w:b w:val="0"/>
                <w:sz w:val="28"/>
              </w:rPr>
              <w:t>本地化存储，物理隔离</w:t>
            </w:r>
          </w:p>
        </w:tc>
      </w:tr>
      <w:tr>
        <w:tc>
          <w:tcPr>
            <w:tcW w:type="dxa" w:w="2268"/>
            <w:vAlign w:val="center"/>
            <w:shd w:fill="F2F2F2" w:val="clear"/>
          </w:tcPr>
          <w:p>
            <w:pPr>
              <w:spacing w:lineRule="exact" w:line="440" w:before="0" w:after="0"/>
              <w:jc w:val="both"/>
            </w:pPr>
            <w:r/>
            <w:r>
              <w:rPr>
                <w:rFonts w:ascii="仿宋_GB2312" w:hAnsi="仿宋_GB2312" w:eastAsia="WenQuanYi Zen Hei"/>
                <w:b w:val="0"/>
                <w:sz w:val="28"/>
              </w:rPr>
              <w:t>隐私保障</w:t>
            </w:r>
          </w:p>
        </w:tc>
        <w:tc>
          <w:tcPr>
            <w:tcW w:type="dxa" w:w="3118"/>
            <w:vAlign w:val="center"/>
            <w:shd w:fill="F2F2F2" w:val="clear"/>
          </w:tcPr>
          <w:p>
            <w:pPr>
              <w:spacing w:lineRule="exact" w:line="440" w:before="0" w:after="0"/>
              <w:jc w:val="both"/>
            </w:pPr>
            <w:r/>
            <w:r>
              <w:rPr>
                <w:rFonts w:ascii="仿宋_GB2312" w:hAnsi="仿宋_GB2312" w:eastAsia="WenQuanYi Zen Hei"/>
                <w:b w:val="0"/>
                <w:sz w:val="28"/>
              </w:rPr>
              <w:t>本地处理机制，保障信息安全</w:t>
            </w:r>
          </w:p>
        </w:tc>
        <w:tc>
          <w:tcPr>
            <w:tcW w:type="dxa" w:w="3118"/>
            <w:vAlign w:val="center"/>
            <w:shd w:fill="F2F2F2" w:val="clear"/>
          </w:tcPr>
          <w:p>
            <w:pPr>
              <w:spacing w:lineRule="exact" w:line="440" w:before="0" w:after="0"/>
              <w:jc w:val="both"/>
            </w:pPr>
            <w:r/>
            <w:r>
              <w:rPr>
                <w:rFonts w:ascii="仿宋_GB2312" w:hAnsi="仿宋_GB2312" w:eastAsia="WenQuanYi Zen Hei"/>
                <w:b w:val="0"/>
                <w:sz w:val="28"/>
              </w:rPr>
              <w:t>核心数据不出域、不外泄</w:t>
            </w:r>
          </w:p>
        </w:tc>
      </w:tr>
    </w:tbl>
    <w:p>
      <w:pPr>
        <w:spacing w:lineRule="exact" w:line="576" w:before="0" w:after="0"/>
        <w:jc w:val="both"/>
      </w:pPr>
      <w:r>
        <w:rPr>
          <w:rFonts w:ascii="仿宋_GB2312" w:hAnsi="仿宋_GB2312" w:eastAsia="WenQuanYi Zen Hei"/>
          <w:b w:val="0"/>
          <w:sz w:val="32"/>
        </w:rPr>
      </w:r>
    </w:p>
    <w:p>
      <w:pPr>
        <w:spacing w:lineRule="exact" w:line="576" w:before="0" w:after="0"/>
        <w:jc w:val="both"/>
      </w:pPr>
      <w:r>
        <w:rPr>
          <w:rFonts w:ascii="黑体" w:hAnsi="黑体" w:eastAsia="WenQuanYi Zen Hei"/>
          <w:b w:val="0"/>
          <w:sz w:val="32"/>
        </w:rPr>
        <w:t>四、应用场景</w:t>
      </w:r>
    </w:p>
    <w:p>
      <w:pPr>
        <w:spacing w:lineRule="exact" w:line="576" w:before="0" w:after="0"/>
        <w:jc w:val="both"/>
      </w:pPr>
      <w:r>
        <w:rPr>
          <w:rFonts w:ascii="楷体_GB2312" w:hAnsi="楷体_GB2312" w:eastAsia="WenQuanYi Zen Hei"/>
          <w:b w:val="0"/>
          <w:sz w:val="32"/>
        </w:rPr>
        <w:t>（一）党政机关与企业</w:t>
      </w:r>
    </w:p>
    <w:p>
      <w:pPr>
        <w:spacing w:lineRule="exact" w:line="576" w:before="0" w:after="0"/>
        <w:jc w:val="both"/>
      </w:pPr>
      <w:r>
        <w:rPr>
          <w:rFonts w:ascii="仿宋_GB2312" w:hAnsi="仿宋_GB2312" w:eastAsia="WenQuanYi Zen Hei"/>
          <w:b/>
          <w:sz w:val="32"/>
        </w:rPr>
        <w:t>1.公文起草审核</w:t>
      </w:r>
    </w:p>
    <w:p>
      <w:pPr>
        <w:spacing w:lineRule="exact" w:line="576" w:before="0" w:after="0"/>
        <w:ind w:firstLine="8128000"/>
        <w:jc w:val="both"/>
      </w:pPr>
      <w:r>
        <w:rPr>
          <w:rFonts w:ascii="仿宋_GB2312" w:hAnsi="仿宋_GB2312" w:eastAsia="WenQuanYi Zen Hei"/>
          <w:b w:val="0"/>
          <w:sz w:val="32"/>
        </w:rPr>
        <w:t>智能辅助公文起草，自动识别并规范格式问题，对公文中的错别字、语法错误、政治表述不合规等问题进行全面筛查，大幅提升公文处理效率与准确性。适用部门：办公厅（室）、秘书处、综合处等公文起草与审核部门。典型文档：通知、决定、意见、批复、报告、请示等。</w:t>
      </w:r>
    </w:p>
    <w:p>
      <w:pPr>
        <w:spacing w:lineRule="exact" w:line="576" w:before="0" w:after="0"/>
        <w:jc w:val="both"/>
      </w:pPr>
      <w:r>
        <w:rPr>
          <w:rFonts w:ascii="仿宋_GB2312" w:hAnsi="仿宋_GB2312" w:eastAsia="WenQuanYi Zen Hei"/>
          <w:b/>
          <w:sz w:val="32"/>
        </w:rPr>
        <w:t>2.政策文件校对</w:t>
      </w:r>
    </w:p>
    <w:p>
      <w:pPr>
        <w:spacing w:lineRule="exact" w:line="576" w:before="0" w:after="0"/>
        <w:ind w:firstLine="8128000"/>
        <w:jc w:val="both"/>
      </w:pPr>
      <w:r>
        <w:rPr>
          <w:rFonts w:ascii="仿宋_GB2312" w:hAnsi="仿宋_GB2312" w:eastAsia="WenQuanYi Zen Hei"/>
          <w:b w:val="0"/>
          <w:sz w:val="32"/>
        </w:rPr>
        <w:t>精准校对政策条文与表述，快速发现潜在错误，规避因文字疏漏导致的政策风险与舆论风险。对涉及领导人姓名职务、政治术语、法定表述等关键内容进行重点审查。适用部门：政策法规处、研究室、改革办等政策制定部门。典型文档：政策文件、法规草案、规范性文件等。</w:t>
      </w:r>
    </w:p>
    <w:p>
      <w:pPr>
        <w:spacing w:lineRule="exact" w:line="576" w:before="0" w:after="0"/>
        <w:jc w:val="both"/>
      </w:pPr>
      <w:r>
        <w:rPr>
          <w:rFonts w:ascii="仿宋_GB2312" w:hAnsi="仿宋_GB2312" w:eastAsia="WenQuanYi Zen Hei"/>
          <w:b/>
          <w:sz w:val="32"/>
        </w:rPr>
        <w:t>3.商业合同审核</w:t>
      </w:r>
    </w:p>
    <w:p>
      <w:pPr>
        <w:spacing w:lineRule="exact" w:line="576" w:before="0" w:after="0"/>
        <w:ind w:firstLine="8128000"/>
        <w:jc w:val="both"/>
      </w:pPr>
      <w:r>
        <w:rPr>
          <w:rFonts w:ascii="仿宋_GB2312" w:hAnsi="仿宋_GB2312" w:eastAsia="WenQuanYi Zen Hei"/>
          <w:b w:val="0"/>
          <w:sz w:val="32"/>
        </w:rPr>
        <w:t>智能识别合同中的风险条款与文字漏洞，提供合规性建议，保障企业商业利益安全。对合同金额、日期、责任条款等关键信息进行一致性校验。适用部门：法务部、合同管理部、采购部等。典型文档：采购合同、服务协议、合作框架协议等。</w:t>
      </w:r>
    </w:p>
    <w:p>
      <w:pPr>
        <w:spacing w:lineRule="exact" w:line="576" w:before="0" w:after="0"/>
        <w:jc w:val="both"/>
      </w:pPr>
      <w:r>
        <w:rPr>
          <w:rFonts w:ascii="仿宋_GB2312" w:hAnsi="仿宋_GB2312" w:eastAsia="WenQuanYi Zen Hei"/>
          <w:b/>
          <w:sz w:val="32"/>
        </w:rPr>
        <w:t>4.内部文档规范</w:t>
      </w:r>
    </w:p>
    <w:p>
      <w:pPr>
        <w:spacing w:lineRule="exact" w:line="576" w:before="0" w:after="0"/>
        <w:ind w:firstLine="8128000"/>
        <w:jc w:val="both"/>
      </w:pPr>
      <w:r>
        <w:rPr>
          <w:rFonts w:ascii="仿宋_GB2312" w:hAnsi="仿宋_GB2312" w:eastAsia="WenQuanYi Zen Hei"/>
          <w:b w:val="0"/>
          <w:sz w:val="32"/>
        </w:rPr>
        <w:t>建立统一的文档管理标准，规范内部信息流转，提升企业整体知识管理与协作效率。对企业内部文档进行格式规范、用语规范、逻辑一致性等多维度校对。适用部门：企业管理部、行政部、品牌部等。典型文档：内部通知、管理制度、工作报告等。</w:t>
      </w:r>
    </w:p>
    <w:p>
      <w:pPr>
        <w:spacing w:lineRule="exact" w:line="576" w:before="0" w:after="0"/>
        <w:jc w:val="both"/>
      </w:pPr>
      <w:r>
        <w:rPr>
          <w:rFonts w:ascii="楷体_GB2312" w:hAnsi="楷体_GB2312" w:eastAsia="WenQuanYi Zen Hei"/>
          <w:b w:val="0"/>
          <w:sz w:val="32"/>
        </w:rPr>
        <w:t>（二）教育与媒体</w:t>
      </w:r>
    </w:p>
    <w:p>
      <w:pPr>
        <w:spacing w:lineRule="exact" w:line="576" w:before="0" w:after="0"/>
        <w:jc w:val="both"/>
      </w:pPr>
      <w:r>
        <w:rPr>
          <w:rFonts w:ascii="仿宋_GB2312" w:hAnsi="仿宋_GB2312" w:eastAsia="WenQuanYi Zen Hei"/>
          <w:b/>
          <w:sz w:val="32"/>
        </w:rPr>
        <w:t>1.学术论文校对</w:t>
      </w:r>
    </w:p>
    <w:p>
      <w:pPr>
        <w:spacing w:lineRule="exact" w:line="576" w:before="0" w:after="0"/>
        <w:ind w:firstLine="8128000"/>
        <w:jc w:val="both"/>
      </w:pPr>
      <w:r>
        <w:rPr>
          <w:rFonts w:ascii="仿宋_GB2312" w:hAnsi="仿宋_GB2312" w:eastAsia="WenQuanYi Zen Hei"/>
          <w:b w:val="0"/>
          <w:sz w:val="32"/>
        </w:rPr>
        <w:t>对学术论文中的错别字、语法错误、引用格式不规范、术语使用不一致等问题进行全面校对，帮助作者提升论文质量，减少因文字问题导致的退稿风险。</w:t>
      </w:r>
    </w:p>
    <w:p>
      <w:pPr>
        <w:spacing w:lineRule="exact" w:line="576" w:before="0" w:after="0"/>
        <w:jc w:val="both"/>
      </w:pPr>
      <w:r>
        <w:rPr>
          <w:rFonts w:ascii="仿宋_GB2312" w:hAnsi="仿宋_GB2312" w:eastAsia="WenQuanYi Zen Hei"/>
          <w:b/>
          <w:sz w:val="32"/>
        </w:rPr>
        <w:t>2.教材内容审核</w:t>
      </w:r>
    </w:p>
    <w:p>
      <w:pPr>
        <w:spacing w:lineRule="exact" w:line="576" w:before="0" w:after="0"/>
        <w:ind w:firstLine="8128000"/>
        <w:jc w:val="both"/>
      </w:pPr>
      <w:r>
        <w:rPr>
          <w:rFonts w:ascii="仿宋_GB2312" w:hAnsi="仿宋_GB2312" w:eastAsia="WenQuanYi Zen Hei"/>
          <w:b w:val="0"/>
          <w:sz w:val="32"/>
        </w:rPr>
        <w:t>对教材内容进行政治表述合规审查、知识点准确性校验、语言规范性检查，确保教材内容符合国家课程标准与出版规范要求。</w:t>
      </w:r>
    </w:p>
    <w:p>
      <w:pPr>
        <w:spacing w:lineRule="exact" w:line="576" w:before="0" w:after="0"/>
        <w:jc w:val="both"/>
      </w:pPr>
      <w:r>
        <w:rPr>
          <w:rFonts w:ascii="仿宋_GB2312" w:hAnsi="仿宋_GB2312" w:eastAsia="WenQuanYi Zen Hei"/>
          <w:b/>
          <w:sz w:val="32"/>
        </w:rPr>
        <w:t>3.新闻稿件校对</w:t>
      </w:r>
    </w:p>
    <w:p>
      <w:pPr>
        <w:spacing w:lineRule="exact" w:line="576" w:before="0" w:after="0"/>
        <w:ind w:firstLine="8128000"/>
        <w:jc w:val="both"/>
      </w:pPr>
      <w:r>
        <w:rPr>
          <w:rFonts w:ascii="仿宋_GB2312" w:hAnsi="仿宋_GB2312" w:eastAsia="WenQuanYi Zen Hei"/>
          <w:b w:val="0"/>
          <w:sz w:val="32"/>
        </w:rPr>
        <w:t>对新闻稿件进行快速校对，重点审查政治表述、人物姓名职务、数据准确性等关键要素，防止因文字疏漏引发舆情风险。</w:t>
      </w:r>
    </w:p>
    <w:p>
      <w:pPr>
        <w:spacing w:lineRule="exact" w:line="576" w:before="0" w:after="0"/>
        <w:jc w:val="both"/>
      </w:pPr>
      <w:r>
        <w:rPr>
          <w:rFonts w:ascii="仿宋_GB2312" w:hAnsi="仿宋_GB2312" w:eastAsia="WenQuanYi Zen Hei"/>
          <w:b/>
          <w:sz w:val="32"/>
        </w:rPr>
        <w:t>4.书籍内容审核</w:t>
      </w:r>
    </w:p>
    <w:p>
      <w:pPr>
        <w:spacing w:lineRule="exact" w:line="576" w:before="0" w:after="0"/>
        <w:ind w:firstLine="8128000"/>
        <w:jc w:val="both"/>
      </w:pPr>
      <w:r>
        <w:rPr>
          <w:rFonts w:ascii="仿宋_GB2312" w:hAnsi="仿宋_GB2312" w:eastAsia="WenQuanYi Zen Hei"/>
          <w:b w:val="0"/>
          <w:sz w:val="32"/>
        </w:rPr>
        <w:t>对出版物内容进行全文校对，覆盖错别字、语法错误、标点规范、格式统一等多个维度，提升出版物资量，减少编校环节的工作量与出错率。</w:t>
      </w:r>
    </w:p>
    <w:p>
      <w:pPr>
        <w:spacing w:lineRule="exact" w:line="576" w:before="0" w:after="0"/>
        <w:jc w:val="both"/>
      </w:pPr>
      <w:r>
        <w:rPr>
          <w:rFonts w:ascii="仿宋_GB2312" w:hAnsi="仿宋_GB2312" w:eastAsia="WenQuanYi Zen Hei"/>
          <w:b w:val="0"/>
          <w:sz w:val="32"/>
        </w:rPr>
      </w:r>
    </w:p>
    <w:p>
      <w:pPr>
        <w:spacing w:lineRule="exact" w:line="576" w:before="0" w:after="0"/>
        <w:jc w:val="both"/>
      </w:pPr>
      <w:r>
        <w:rPr>
          <w:rFonts w:ascii="黑体" w:hAnsi="黑体" w:eastAsia="WenQuanYi Zen Hei"/>
          <w:b w:val="0"/>
          <w:sz w:val="32"/>
        </w:rPr>
        <w:t>五、应用案例</w:t>
      </w:r>
    </w:p>
    <w:p>
      <w:pPr>
        <w:spacing w:lineRule="exact" w:line="576" w:before="0" w:after="0"/>
        <w:jc w:val="both"/>
      </w:pPr>
      <w:r>
        <w:rPr>
          <w:rFonts w:ascii="楷体_GB2312" w:hAnsi="楷体_GB2312" w:eastAsia="WenQuanYi Zen Hei"/>
          <w:b w:val="0"/>
          <w:sz w:val="32"/>
        </w:rPr>
        <w:t>（一）四川党建</w:t>
      </w:r>
    </w:p>
    <w:p>
      <w:pPr>
        <w:spacing w:lineRule="exact" w:line="576" w:before="0" w:after="0"/>
        <w:ind w:firstLine="8128000"/>
        <w:jc w:val="both"/>
      </w:pPr>
      <w:r>
        <w:rPr>
          <w:rFonts w:ascii="仿宋_GB2312" w:hAnsi="仿宋_GB2312" w:eastAsia="WenQuanYi Zen Hei"/>
          <w:b w:val="0"/>
          <w:sz w:val="32"/>
        </w:rPr>
        <w:t>四川党建平台作为省级党建工作信息化平台，承载着全省党员干部教育培训、党建信息发布、党员管理服务等核心职能，对文稿质量要求极高。本系统在四川党建平台的应用方案如下：</w:t>
      </w:r>
    </w:p>
    <w:p>
      <w:pPr>
        <w:spacing w:lineRule="exact" w:line="576" w:before="0" w:after="0"/>
        <w:jc w:val="both"/>
      </w:pPr>
      <w:r>
        <w:rPr>
          <w:rFonts w:ascii="仿宋_GB2312" w:hAnsi="仿宋_GB2312" w:eastAsia="WenQuanYi Zen Hei"/>
          <w:b/>
          <w:sz w:val="32"/>
        </w:rPr>
        <w:t>1.应用模式</w:t>
      </w:r>
    </w:p>
    <w:p>
      <w:pPr>
        <w:spacing w:lineRule="exact" w:line="576" w:before="0" w:after="0"/>
        <w:ind w:firstLine="8128000"/>
        <w:jc w:val="both"/>
      </w:pPr>
      <w:r>
        <w:rPr>
          <w:rFonts w:ascii="仿宋_GB2312" w:hAnsi="仿宋_GB2312" w:eastAsia="WenQuanYi Zen Hei"/>
          <w:b w:val="0"/>
          <w:sz w:val="32"/>
        </w:rPr>
        <w:t>稿件初审及终审流程前均需通过本系统技术筛查，形成"技术筛查+人工审核"的双重保障机制。初审环节，系统对稿件进行全面自动化校对，筛除明显的错别字、语法错误与格式问题，生成校对报告供编辑参考；终审环节，系统对修改后的稿件进行二次校对，确保终审稿无遗留问题，保障发布质量。</w:t>
      </w:r>
    </w:p>
    <w:p>
      <w:pPr>
        <w:spacing w:lineRule="exact" w:line="576" w:before="0" w:after="0"/>
        <w:jc w:val="both"/>
      </w:pPr>
      <w:r>
        <w:rPr>
          <w:rFonts w:ascii="仿宋_GB2312" w:hAnsi="仿宋_GB2312" w:eastAsia="WenQuanYi Zen Hei"/>
          <w:b/>
          <w:sz w:val="32"/>
        </w:rPr>
        <w:t>2.特色功能</w:t>
      </w:r>
    </w:p>
    <w:p>
      <w:pPr>
        <w:spacing w:lineRule="exact" w:line="576" w:before="0" w:after="0"/>
        <w:ind w:firstLine="8128000"/>
        <w:jc w:val="both"/>
      </w:pPr>
      <w:r>
        <w:rPr>
          <w:rFonts w:ascii="仿宋_GB2312" w:hAnsi="仿宋_GB2312" w:eastAsia="WenQuanYi Zen Hei"/>
          <w:b w:val="0"/>
          <w:sz w:val="32"/>
        </w:rPr>
        <w:t>可视化校对记录追溯高频问题。系统自动统计各类校对问题的出现频率与分布趋势，以可视化图表呈现，帮助编辑团队快速定位高频问题类型，有针对性地加强相关培训与规范制定。</w:t>
      </w:r>
    </w:p>
    <w:p>
      <w:pPr>
        <w:spacing w:lineRule="exact" w:line="576" w:before="0" w:after="0"/>
        <w:jc w:val="both"/>
      </w:pPr>
      <w:r>
        <w:rPr>
          <w:rFonts w:ascii="仿宋_GB2312" w:hAnsi="仿宋_GB2312" w:eastAsia="WenQuanYi Zen Hei"/>
          <w:b/>
          <w:sz w:val="32"/>
        </w:rPr>
        <w:t>3.应用成效</w:t>
      </w:r>
    </w:p>
    <w:p>
      <w:pPr>
        <w:spacing w:lineRule="exact" w:line="576" w:before="0" w:after="0"/>
        <w:ind w:firstLine="8128000"/>
        <w:jc w:val="both"/>
      </w:pPr>
      <w:r>
        <w:rPr>
          <w:rFonts w:ascii="仿宋_GB2312" w:hAnsi="仿宋_GB2312" w:eastAsia="WenQuanYi Zen Hei"/>
          <w:b w:val="0"/>
          <w:sz w:val="32"/>
        </w:rPr>
        <w:t>自系统上线以来，四川党建平台文稿质量显著提升：差错率下降85%，审校效率提升60%，编辑团队可将更多精力投入内容策划与深度编辑，实现了从"纠错"到"提质"的工作转型。</w:t>
      </w:r>
    </w:p>
    <w:p>
      <w:pPr>
        <w:spacing w:lineRule="exact" w:line="576" w:before="0" w:after="0"/>
        <w:jc w:val="both"/>
      </w:pPr>
      <w:r>
        <w:rPr>
          <w:rFonts w:ascii="楷体_GB2312" w:hAnsi="楷体_GB2312" w:eastAsia="WenQuanYi Zen Hei"/>
          <w:b w:val="0"/>
          <w:sz w:val="32"/>
        </w:rPr>
        <w:t>（二）拓展应用场景</w:t>
      </w:r>
    </w:p>
    <w:p>
      <w:pPr>
        <w:spacing w:lineRule="exact" w:line="576" w:before="0" w:after="0"/>
        <w:ind w:firstLine="8128000"/>
        <w:jc w:val="both"/>
      </w:pPr>
      <w:r>
        <w:rPr>
          <w:rFonts w:ascii="仿宋_GB2312" w:hAnsi="仿宋_GB2312" w:eastAsia="WenQuanYi Zen Hei"/>
          <w:b w:val="0"/>
          <w:sz w:val="32"/>
        </w:rPr>
        <w:t>除文档校对核心功能外，本系统技术底座还可支撑以下拓展应用场景：</w:t>
      </w:r>
    </w:p>
    <w:p>
      <w:pPr>
        <w:spacing w:lineRule="exact" w:line="576" w:before="0" w:after="0"/>
        <w:ind w:firstLine="8128000"/>
        <w:jc w:val="both"/>
      </w:pPr>
      <w:r>
        <w:rPr>
          <w:rFonts w:ascii="仿宋_GB2312" w:hAnsi="仿宋_GB2312" w:eastAsia="WenQuanYi Zen Hei"/>
          <w:b w:val="0"/>
          <w:sz w:val="32"/>
        </w:rPr>
        <w:t>科研汇报。助力教研人员高效完成课题框架设计、文献综述整理与科研汇报材料制作，大幅提升科研产出效率。</w:t>
      </w:r>
    </w:p>
    <w:p>
      <w:pPr>
        <w:spacing w:lineRule="exact" w:line="576" w:before="0" w:after="0"/>
        <w:ind w:firstLine="8128000"/>
        <w:jc w:val="both"/>
      </w:pPr>
      <w:r>
        <w:rPr>
          <w:rFonts w:ascii="仿宋_GB2312" w:hAnsi="仿宋_GB2312" w:eastAsia="WenQuanYi Zen Hei"/>
          <w:b w:val="0"/>
          <w:sz w:val="32"/>
        </w:rPr>
        <w:t>个性化学习。基于大数据分析党员画像，智能推送个性化学习内容，实现"千人千面"的精准教育与能力提升。</w:t>
      </w:r>
    </w:p>
    <w:p>
      <w:pPr>
        <w:spacing w:lineRule="exact" w:line="576" w:before="0" w:after="0"/>
        <w:ind w:firstLine="8128000"/>
        <w:jc w:val="both"/>
      </w:pPr>
      <w:r>
        <w:rPr>
          <w:rFonts w:ascii="仿宋_GB2312" w:hAnsi="仿宋_GB2312" w:eastAsia="WenQuanYi Zen Hei"/>
          <w:b w:val="0"/>
          <w:sz w:val="32"/>
        </w:rPr>
        <w:t>数字人讲师。结合数字人技术实现虚拟讲师讲解，打破时空限制，拓展远程培训与自主学习新场景。</w:t>
      </w:r>
    </w:p>
    <w:p>
      <w:pPr>
        <w:spacing w:lineRule="exact" w:line="576" w:before="0" w:after="0"/>
        <w:jc w:val="both"/>
      </w:pPr>
      <w:r>
        <w:rPr>
          <w:rFonts w:ascii="仿宋_GB2312" w:hAnsi="仿宋_GB2312" w:eastAsia="WenQuanYi Zen Hei"/>
          <w:b w:val="0"/>
          <w:sz w:val="32"/>
        </w:rPr>
      </w:r>
    </w:p>
    <w:p>
      <w:pPr>
        <w:spacing w:lineRule="exact" w:line="576" w:before="0" w:after="0"/>
        <w:jc w:val="both"/>
      </w:pPr>
      <w:r>
        <w:rPr>
          <w:rFonts w:ascii="黑体" w:hAnsi="黑体" w:eastAsia="WenQuanYi Zen Hei"/>
          <w:b w:val="0"/>
          <w:sz w:val="32"/>
        </w:rPr>
        <w:t>六、服务部署方案</w:t>
      </w:r>
    </w:p>
    <w:p>
      <w:pPr>
        <w:spacing w:lineRule="exact" w:line="576" w:before="0" w:after="0"/>
        <w:ind w:firstLine="8128000"/>
        <w:jc w:val="both"/>
      </w:pPr>
      <w:r>
        <w:rPr>
          <w:rFonts w:ascii="仿宋_GB2312" w:hAnsi="仿宋_GB2312" w:eastAsia="WenQuanYi Zen Hei"/>
          <w:b w:val="0"/>
          <w:sz w:val="32"/>
        </w:rPr>
        <w:t>根据不同单位的信息安全要求、基础设施条件与业务需求，本系统提供两种服务部署形式：本地硬件私有化部署与政务云电子政务外网部署。两种方案在数据安全、建设成本、运维模式等方面各有侧重，可结合实际情况灵活选择。</w:t>
      </w:r>
    </w:p>
    <w:p>
      <w:pPr>
        <w:spacing w:lineRule="exact" w:line="576" w:before="0" w:after="0"/>
        <w:jc w:val="both"/>
      </w:pPr>
      <w:r>
        <w:rPr>
          <w:rFonts w:ascii="仿宋_GB2312" w:hAnsi="仿宋_GB2312" w:eastAsia="WenQuanYi Zen Hei"/>
          <w:b w:val="0"/>
          <w:sz w:val="32"/>
        </w:rPr>
      </w:r>
    </w:p>
    <w:tbl>
      <w:tblPr>
        <w:tblW w:type="auto" w:w="0"/>
        <w:jc w:val="center"/>
        <w:tblLayout w:type="fixed"/>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948"/>
        <w:gridCol w:w="2948"/>
        <w:gridCol w:w="2948"/>
      </w:tblGrid>
      <w:tr>
        <w:tc>
          <w:tcPr>
            <w:tcW w:type="dxa" w:w="1701"/>
            <w:vAlign w:val="center"/>
            <w:shd w:fill="D9E2F3" w:val="clear"/>
          </w:tcPr>
          <w:p>
            <w:pPr>
              <w:spacing w:lineRule="exact" w:line="440" w:before="0" w:after="0"/>
              <w:jc w:val="both"/>
            </w:pPr>
            <w:r/>
            <w:r>
              <w:rPr>
                <w:rFonts w:ascii="黑体" w:hAnsi="黑体" w:eastAsia="WenQuanYi Zen Hei"/>
                <w:b/>
                <w:sz w:val="28"/>
              </w:rPr>
              <w:t>对比维度</w:t>
            </w:r>
          </w:p>
        </w:tc>
        <w:tc>
          <w:tcPr>
            <w:tcW w:type="dxa" w:w="3402"/>
            <w:vAlign w:val="center"/>
            <w:shd w:fill="D9E2F3" w:val="clear"/>
          </w:tcPr>
          <w:p>
            <w:pPr>
              <w:spacing w:lineRule="exact" w:line="440" w:before="0" w:after="0"/>
              <w:jc w:val="both"/>
            </w:pPr>
            <w:r/>
            <w:r>
              <w:rPr>
                <w:rFonts w:ascii="黑体" w:hAnsi="黑体" w:eastAsia="WenQuanYi Zen Hei"/>
                <w:b/>
                <w:sz w:val="28"/>
              </w:rPr>
              <w:t>本地硬件私有化部署</w:t>
            </w:r>
          </w:p>
        </w:tc>
        <w:tc>
          <w:tcPr>
            <w:tcW w:type="dxa" w:w="3402"/>
            <w:vAlign w:val="center"/>
            <w:shd w:fill="D9E2F3" w:val="clear"/>
          </w:tcPr>
          <w:p>
            <w:pPr>
              <w:spacing w:lineRule="exact" w:line="440" w:before="0" w:after="0"/>
              <w:jc w:val="both"/>
            </w:pPr>
            <w:r/>
            <w:r>
              <w:rPr>
                <w:rFonts w:ascii="黑体" w:hAnsi="黑体" w:eastAsia="WenQuanYi Zen Hei"/>
                <w:b/>
                <w:sz w:val="28"/>
              </w:rPr>
              <w:t>政务云电子政务外网部署</w:t>
            </w:r>
          </w:p>
        </w:tc>
      </w:tr>
      <w:tr>
        <w:tc>
          <w:tcPr>
            <w:tcW w:type="dxa" w:w="1701"/>
            <w:vAlign w:val="center"/>
          </w:tcPr>
          <w:p>
            <w:pPr>
              <w:spacing w:lineRule="exact" w:line="440" w:before="0" w:after="0"/>
              <w:jc w:val="both"/>
            </w:pPr>
            <w:r/>
            <w:r>
              <w:rPr>
                <w:rFonts w:ascii="仿宋_GB2312" w:hAnsi="仿宋_GB2312" w:eastAsia="WenQuanYi Zen Hei"/>
                <w:b w:val="0"/>
                <w:sz w:val="28"/>
              </w:rPr>
              <w:t>部署位置</w:t>
            </w:r>
          </w:p>
        </w:tc>
        <w:tc>
          <w:tcPr>
            <w:tcW w:type="dxa" w:w="3402"/>
            <w:vAlign w:val="center"/>
          </w:tcPr>
          <w:p>
            <w:pPr>
              <w:spacing w:lineRule="exact" w:line="440" w:before="0" w:after="0"/>
              <w:jc w:val="both"/>
            </w:pPr>
            <w:r/>
            <w:r>
              <w:rPr>
                <w:rFonts w:ascii="仿宋_GB2312" w:hAnsi="仿宋_GB2312" w:eastAsia="WenQuanYi Zen Hei"/>
                <w:b w:val="0"/>
                <w:sz w:val="28"/>
              </w:rPr>
              <w:t>用户自建机房/数据中心</w:t>
            </w:r>
          </w:p>
        </w:tc>
        <w:tc>
          <w:tcPr>
            <w:tcW w:type="dxa" w:w="3402"/>
            <w:vAlign w:val="center"/>
          </w:tcPr>
          <w:p>
            <w:pPr>
              <w:spacing w:lineRule="exact" w:line="440" w:before="0" w:after="0"/>
              <w:jc w:val="both"/>
            </w:pPr>
            <w:r/>
            <w:r>
              <w:rPr>
                <w:rFonts w:ascii="仿宋_GB2312" w:hAnsi="仿宋_GB2312" w:eastAsia="WenQuanYi Zen Hei"/>
                <w:b w:val="0"/>
                <w:sz w:val="28"/>
              </w:rPr>
              <w:t>省级/市级政务云平台</w:t>
            </w:r>
          </w:p>
        </w:tc>
      </w:tr>
      <w:tr>
        <w:tc>
          <w:tcPr>
            <w:tcW w:type="dxa" w:w="1701"/>
            <w:vAlign w:val="center"/>
            <w:shd w:fill="F2F2F2" w:val="clear"/>
          </w:tcPr>
          <w:p>
            <w:pPr>
              <w:spacing w:lineRule="exact" w:line="440" w:before="0" w:after="0"/>
              <w:jc w:val="both"/>
            </w:pPr>
            <w:r/>
            <w:r>
              <w:rPr>
                <w:rFonts w:ascii="仿宋_GB2312" w:hAnsi="仿宋_GB2312" w:eastAsia="WenQuanYi Zen Hei"/>
                <w:b w:val="0"/>
                <w:sz w:val="28"/>
              </w:rPr>
              <w:t>网络环境</w:t>
            </w:r>
          </w:p>
        </w:tc>
        <w:tc>
          <w:tcPr>
            <w:tcW w:type="dxa" w:w="3402"/>
            <w:vAlign w:val="center"/>
            <w:shd w:fill="F2F2F2" w:val="clear"/>
          </w:tcPr>
          <w:p>
            <w:pPr>
              <w:spacing w:lineRule="exact" w:line="440" w:before="0" w:after="0"/>
              <w:jc w:val="both"/>
            </w:pPr>
            <w:r/>
            <w:r>
              <w:rPr>
                <w:rFonts w:ascii="仿宋_GB2312" w:hAnsi="仿宋_GB2312" w:eastAsia="WenQuanYi Zen Hei"/>
                <w:b w:val="0"/>
                <w:sz w:val="28"/>
              </w:rPr>
              <w:t>内部局域网/专网，物理隔离</w:t>
            </w:r>
          </w:p>
        </w:tc>
        <w:tc>
          <w:tcPr>
            <w:tcW w:type="dxa" w:w="3402"/>
            <w:vAlign w:val="center"/>
            <w:shd w:fill="F2F2F2" w:val="clear"/>
          </w:tcPr>
          <w:p>
            <w:pPr>
              <w:spacing w:lineRule="exact" w:line="440" w:before="0" w:after="0"/>
              <w:jc w:val="both"/>
            </w:pPr>
            <w:r/>
            <w:r>
              <w:rPr>
                <w:rFonts w:ascii="仿宋_GB2312" w:hAnsi="仿宋_GB2312" w:eastAsia="WenQuanYi Zen Hei"/>
                <w:b w:val="0"/>
                <w:sz w:val="28"/>
              </w:rPr>
              <w:t>电子政务外网，逻辑隔离</w:t>
            </w:r>
          </w:p>
        </w:tc>
      </w:tr>
      <w:tr>
        <w:tc>
          <w:tcPr>
            <w:tcW w:type="dxa" w:w="1701"/>
            <w:vAlign w:val="center"/>
          </w:tcPr>
          <w:p>
            <w:pPr>
              <w:spacing w:lineRule="exact" w:line="440" w:before="0" w:after="0"/>
              <w:jc w:val="both"/>
            </w:pPr>
            <w:r/>
            <w:r>
              <w:rPr>
                <w:rFonts w:ascii="仿宋_GB2312" w:hAnsi="仿宋_GB2312" w:eastAsia="WenQuanYi Zen Hei"/>
                <w:b w:val="0"/>
                <w:sz w:val="28"/>
              </w:rPr>
              <w:t>数据安全</w:t>
            </w:r>
          </w:p>
        </w:tc>
        <w:tc>
          <w:tcPr>
            <w:tcW w:type="dxa" w:w="3402"/>
            <w:vAlign w:val="center"/>
          </w:tcPr>
          <w:p>
            <w:pPr>
              <w:spacing w:lineRule="exact" w:line="440" w:before="0" w:after="0"/>
              <w:jc w:val="both"/>
            </w:pPr>
            <w:r/>
            <w:r>
              <w:rPr>
                <w:rFonts w:ascii="仿宋_GB2312" w:hAnsi="仿宋_GB2312" w:eastAsia="WenQuanYi Zen Hei"/>
                <w:b w:val="0"/>
                <w:sz w:val="28"/>
              </w:rPr>
              <w:t>数据本地存储，物理隔离</w:t>
            </w:r>
          </w:p>
        </w:tc>
        <w:tc>
          <w:tcPr>
            <w:tcW w:type="dxa" w:w="3402"/>
            <w:vAlign w:val="center"/>
          </w:tcPr>
          <w:p>
            <w:pPr>
              <w:spacing w:lineRule="exact" w:line="440" w:before="0" w:after="0"/>
              <w:jc w:val="both"/>
            </w:pPr>
            <w:r/>
            <w:r>
              <w:rPr>
                <w:rFonts w:ascii="仿宋_GB2312" w:hAnsi="仿宋_GB2312" w:eastAsia="WenQuanYi Zen Hei"/>
                <w:b w:val="0"/>
                <w:sz w:val="28"/>
              </w:rPr>
              <w:t>数据云端存储，加密传输</w:t>
            </w:r>
          </w:p>
        </w:tc>
      </w:tr>
      <w:tr>
        <w:tc>
          <w:tcPr>
            <w:tcW w:type="dxa" w:w="1701"/>
            <w:vAlign w:val="center"/>
            <w:shd w:fill="F2F2F2" w:val="clear"/>
          </w:tcPr>
          <w:p>
            <w:pPr>
              <w:spacing w:lineRule="exact" w:line="440" w:before="0" w:after="0"/>
              <w:jc w:val="both"/>
            </w:pPr>
            <w:r/>
            <w:r>
              <w:rPr>
                <w:rFonts w:ascii="仿宋_GB2312" w:hAnsi="仿宋_GB2312" w:eastAsia="WenQuanYi Zen Hei"/>
                <w:b w:val="0"/>
                <w:sz w:val="28"/>
              </w:rPr>
              <w:t>等保要求</w:t>
            </w:r>
          </w:p>
        </w:tc>
        <w:tc>
          <w:tcPr>
            <w:tcW w:type="dxa" w:w="3402"/>
            <w:vAlign w:val="center"/>
            <w:shd w:fill="F2F2F2" w:val="clear"/>
          </w:tcPr>
          <w:p>
            <w:pPr>
              <w:spacing w:lineRule="exact" w:line="440" w:before="0" w:after="0"/>
              <w:jc w:val="both"/>
            </w:pPr>
            <w:r/>
            <w:r>
              <w:rPr>
                <w:rFonts w:ascii="仿宋_GB2312" w:hAnsi="仿宋_GB2312" w:eastAsia="WenQuanYi Zen Hei"/>
                <w:b w:val="0"/>
                <w:sz w:val="28"/>
              </w:rPr>
              <w:t>等保二级及以上</w:t>
            </w:r>
          </w:p>
        </w:tc>
        <w:tc>
          <w:tcPr>
            <w:tcW w:type="dxa" w:w="3402"/>
            <w:vAlign w:val="center"/>
            <w:shd w:fill="F2F2F2" w:val="clear"/>
          </w:tcPr>
          <w:p>
            <w:pPr>
              <w:spacing w:lineRule="exact" w:line="440" w:before="0" w:after="0"/>
              <w:jc w:val="both"/>
            </w:pPr>
            <w:r/>
            <w:r>
              <w:rPr>
                <w:rFonts w:ascii="仿宋_GB2312" w:hAnsi="仿宋_GB2312" w:eastAsia="WenQuanYi Zen Hei"/>
                <w:b w:val="0"/>
                <w:sz w:val="28"/>
              </w:rPr>
              <w:t>等保三级及以上</w:t>
            </w:r>
          </w:p>
        </w:tc>
      </w:tr>
      <w:tr>
        <w:tc>
          <w:tcPr>
            <w:tcW w:type="dxa" w:w="1701"/>
            <w:vAlign w:val="center"/>
          </w:tcPr>
          <w:p>
            <w:pPr>
              <w:spacing w:lineRule="exact" w:line="440" w:before="0" w:after="0"/>
              <w:jc w:val="both"/>
            </w:pPr>
            <w:r/>
            <w:r>
              <w:rPr>
                <w:rFonts w:ascii="仿宋_GB2312" w:hAnsi="仿宋_GB2312" w:eastAsia="WenQuanYi Zen Hei"/>
                <w:b w:val="0"/>
                <w:sz w:val="28"/>
              </w:rPr>
              <w:t>建设周期</w:t>
            </w:r>
          </w:p>
        </w:tc>
        <w:tc>
          <w:tcPr>
            <w:tcW w:type="dxa" w:w="3402"/>
            <w:vAlign w:val="center"/>
          </w:tcPr>
          <w:p>
            <w:pPr>
              <w:spacing w:lineRule="exact" w:line="440" w:before="0" w:after="0"/>
              <w:jc w:val="both"/>
            </w:pPr>
            <w:r/>
            <w:r>
              <w:rPr>
                <w:rFonts w:ascii="仿宋_GB2312" w:hAnsi="仿宋_GB2312" w:eastAsia="WenQuanYi Zen Hei"/>
                <w:b w:val="0"/>
                <w:sz w:val="28"/>
              </w:rPr>
              <w:t>4-8周（含硬件采购）</w:t>
            </w:r>
          </w:p>
        </w:tc>
        <w:tc>
          <w:tcPr>
            <w:tcW w:type="dxa" w:w="3402"/>
            <w:vAlign w:val="center"/>
          </w:tcPr>
          <w:p>
            <w:pPr>
              <w:spacing w:lineRule="exact" w:line="440" w:before="0" w:after="0"/>
              <w:jc w:val="both"/>
            </w:pPr>
            <w:r/>
            <w:r>
              <w:rPr>
                <w:rFonts w:ascii="仿宋_GB2312" w:hAnsi="仿宋_GB2312" w:eastAsia="WenQuanYi Zen Hei"/>
                <w:b w:val="0"/>
                <w:sz w:val="28"/>
              </w:rPr>
              <w:t>2-4周</w:t>
            </w:r>
          </w:p>
        </w:tc>
      </w:tr>
      <w:tr>
        <w:tc>
          <w:tcPr>
            <w:tcW w:type="dxa" w:w="1701"/>
            <w:vAlign w:val="center"/>
            <w:shd w:fill="F2F2F2" w:val="clear"/>
          </w:tcPr>
          <w:p>
            <w:pPr>
              <w:spacing w:lineRule="exact" w:line="440" w:before="0" w:after="0"/>
              <w:jc w:val="both"/>
            </w:pPr>
            <w:r/>
            <w:r>
              <w:rPr>
                <w:rFonts w:ascii="仿宋_GB2312" w:hAnsi="仿宋_GB2312" w:eastAsia="WenQuanYi Zen Hei"/>
                <w:b w:val="0"/>
                <w:sz w:val="28"/>
              </w:rPr>
              <w:t>初期投入</w:t>
            </w:r>
          </w:p>
        </w:tc>
        <w:tc>
          <w:tcPr>
            <w:tcW w:type="dxa" w:w="3402"/>
            <w:vAlign w:val="center"/>
            <w:shd w:fill="F2F2F2" w:val="clear"/>
          </w:tcPr>
          <w:p>
            <w:pPr>
              <w:spacing w:lineRule="exact" w:line="440" w:before="0" w:after="0"/>
              <w:jc w:val="both"/>
            </w:pPr>
            <w:r/>
            <w:r>
              <w:rPr>
                <w:rFonts w:ascii="仿宋_GB2312" w:hAnsi="仿宋_GB2312" w:eastAsia="WenQuanYi Zen Hei"/>
                <w:b w:val="0"/>
                <w:sz w:val="28"/>
              </w:rPr>
              <w:t>较高（硬件+软件+实施）</w:t>
            </w:r>
          </w:p>
        </w:tc>
        <w:tc>
          <w:tcPr>
            <w:tcW w:type="dxa" w:w="3402"/>
            <w:vAlign w:val="center"/>
            <w:shd w:fill="F2F2F2" w:val="clear"/>
          </w:tcPr>
          <w:p>
            <w:pPr>
              <w:spacing w:lineRule="exact" w:line="440" w:before="0" w:after="0"/>
              <w:jc w:val="both"/>
            </w:pPr>
            <w:r/>
            <w:r>
              <w:rPr>
                <w:rFonts w:ascii="仿宋_GB2312" w:hAnsi="仿宋_GB2312" w:eastAsia="WenQuanYi Zen Hei"/>
                <w:b w:val="0"/>
                <w:sz w:val="28"/>
              </w:rPr>
              <w:t>较低（按需租赁云资源）</w:t>
            </w:r>
          </w:p>
        </w:tc>
      </w:tr>
      <w:tr>
        <w:tc>
          <w:tcPr>
            <w:tcW w:type="dxa" w:w="1701"/>
            <w:vAlign w:val="center"/>
          </w:tcPr>
          <w:p>
            <w:pPr>
              <w:spacing w:lineRule="exact" w:line="440" w:before="0" w:after="0"/>
              <w:jc w:val="both"/>
            </w:pPr>
            <w:r/>
            <w:r>
              <w:rPr>
                <w:rFonts w:ascii="仿宋_GB2312" w:hAnsi="仿宋_GB2312" w:eastAsia="WenQuanYi Zen Hei"/>
                <w:b w:val="0"/>
                <w:sz w:val="28"/>
              </w:rPr>
              <w:t>运维模式</w:t>
            </w:r>
          </w:p>
        </w:tc>
        <w:tc>
          <w:tcPr>
            <w:tcW w:type="dxa" w:w="3402"/>
            <w:vAlign w:val="center"/>
          </w:tcPr>
          <w:p>
            <w:pPr>
              <w:spacing w:lineRule="exact" w:line="440" w:before="0" w:after="0"/>
              <w:jc w:val="both"/>
            </w:pPr>
            <w:r/>
            <w:r>
              <w:rPr>
                <w:rFonts w:ascii="仿宋_GB2312" w:hAnsi="仿宋_GB2312" w:eastAsia="WenQuanYi Zen Hei"/>
                <w:b w:val="0"/>
                <w:sz w:val="28"/>
              </w:rPr>
              <w:t>用户自维/厂商驻场</w:t>
            </w:r>
          </w:p>
        </w:tc>
        <w:tc>
          <w:tcPr>
            <w:tcW w:type="dxa" w:w="3402"/>
            <w:vAlign w:val="center"/>
          </w:tcPr>
          <w:p>
            <w:pPr>
              <w:spacing w:lineRule="exact" w:line="440" w:before="0" w:after="0"/>
              <w:jc w:val="both"/>
            </w:pPr>
            <w:r/>
            <w:r>
              <w:rPr>
                <w:rFonts w:ascii="仿宋_GB2312" w:hAnsi="仿宋_GB2312" w:eastAsia="WenQuanYi Zen Hei"/>
                <w:b w:val="0"/>
                <w:sz w:val="28"/>
              </w:rPr>
              <w:t>云平台托管+厂商远程运维</w:t>
            </w:r>
          </w:p>
        </w:tc>
      </w:tr>
      <w:tr>
        <w:tc>
          <w:tcPr>
            <w:tcW w:type="dxa" w:w="1701"/>
            <w:vAlign w:val="center"/>
            <w:shd w:fill="F2F2F2" w:val="clear"/>
          </w:tcPr>
          <w:p>
            <w:pPr>
              <w:spacing w:lineRule="exact" w:line="440" w:before="0" w:after="0"/>
              <w:jc w:val="both"/>
            </w:pPr>
            <w:r/>
            <w:r>
              <w:rPr>
                <w:rFonts w:ascii="仿宋_GB2312" w:hAnsi="仿宋_GB2312" w:eastAsia="WenQuanYi Zen Hei"/>
                <w:b w:val="0"/>
                <w:sz w:val="28"/>
              </w:rPr>
              <w:t>弹性扩展</w:t>
            </w:r>
          </w:p>
        </w:tc>
        <w:tc>
          <w:tcPr>
            <w:tcW w:type="dxa" w:w="3402"/>
            <w:vAlign w:val="center"/>
            <w:shd w:fill="F2F2F2" w:val="clear"/>
          </w:tcPr>
          <w:p>
            <w:pPr>
              <w:spacing w:lineRule="exact" w:line="440" w:before="0" w:after="0"/>
              <w:jc w:val="both"/>
            </w:pPr>
            <w:r/>
            <w:r>
              <w:rPr>
                <w:rFonts w:ascii="仿宋_GB2312" w:hAnsi="仿宋_GB2312" w:eastAsia="WenQuanYi Zen Hei"/>
                <w:b w:val="0"/>
                <w:sz w:val="28"/>
              </w:rPr>
              <w:t>需硬件扩容，周期较长</w:t>
            </w:r>
          </w:p>
        </w:tc>
        <w:tc>
          <w:tcPr>
            <w:tcW w:type="dxa" w:w="3402"/>
            <w:vAlign w:val="center"/>
            <w:shd w:fill="F2F2F2" w:val="clear"/>
          </w:tcPr>
          <w:p>
            <w:pPr>
              <w:spacing w:lineRule="exact" w:line="440" w:before="0" w:after="0"/>
              <w:jc w:val="both"/>
            </w:pPr>
            <w:r/>
            <w:r>
              <w:rPr>
                <w:rFonts w:ascii="仿宋_GB2312" w:hAnsi="仿宋_GB2312" w:eastAsia="WenQuanYi Zen Hei"/>
                <w:b w:val="0"/>
                <w:sz w:val="28"/>
              </w:rPr>
              <w:t>按需弹性扩容，即时生效</w:t>
            </w:r>
          </w:p>
        </w:tc>
      </w:tr>
      <w:tr>
        <w:tc>
          <w:tcPr>
            <w:tcW w:type="dxa" w:w="1701"/>
            <w:vAlign w:val="center"/>
          </w:tcPr>
          <w:p>
            <w:pPr>
              <w:spacing w:lineRule="exact" w:line="440" w:before="0" w:after="0"/>
              <w:jc w:val="both"/>
            </w:pPr>
            <w:r/>
            <w:r>
              <w:rPr>
                <w:rFonts w:ascii="仿宋_GB2312" w:hAnsi="仿宋_GB2312" w:eastAsia="WenQuanYi Zen Hei"/>
                <w:b w:val="0"/>
                <w:sz w:val="28"/>
              </w:rPr>
              <w:t>适用场景</w:t>
            </w:r>
          </w:p>
        </w:tc>
        <w:tc>
          <w:tcPr>
            <w:tcW w:type="dxa" w:w="3402"/>
            <w:vAlign w:val="center"/>
          </w:tcPr>
          <w:p>
            <w:pPr>
              <w:spacing w:lineRule="exact" w:line="440" w:before="0" w:after="0"/>
              <w:jc w:val="both"/>
            </w:pPr>
            <w:r/>
            <w:r>
              <w:rPr>
                <w:rFonts w:ascii="仿宋_GB2312" w:hAnsi="仿宋_GB2312" w:eastAsia="WenQuanYi Zen Hei"/>
                <w:b w:val="0"/>
                <w:sz w:val="28"/>
              </w:rPr>
              <w:t>涉密单位、高安全要求</w:t>
            </w:r>
          </w:p>
        </w:tc>
        <w:tc>
          <w:tcPr>
            <w:tcW w:type="dxa" w:w="3402"/>
            <w:vAlign w:val="center"/>
          </w:tcPr>
          <w:p>
            <w:pPr>
              <w:spacing w:lineRule="exact" w:line="440" w:before="0" w:after="0"/>
              <w:jc w:val="both"/>
            </w:pPr>
            <w:r/>
            <w:r>
              <w:rPr>
                <w:rFonts w:ascii="仿宋_GB2312" w:hAnsi="仿宋_GB2312" w:eastAsia="WenQuanYi Zen Hei"/>
                <w:b w:val="0"/>
                <w:sz w:val="28"/>
              </w:rPr>
              <w:t>一般政务单位、快速部署</w:t>
            </w:r>
          </w:p>
        </w:tc>
      </w:tr>
    </w:tbl>
    <w:p>
      <w:pPr>
        <w:spacing w:lineRule="exact" w:line="576" w:before="0" w:after="0"/>
        <w:jc w:val="both"/>
      </w:pPr>
      <w:r>
        <w:rPr>
          <w:rFonts w:ascii="仿宋_GB2312" w:hAnsi="仿宋_GB2312" w:eastAsia="WenQuanYi Zen Hei"/>
          <w:b w:val="0"/>
          <w:sz w:val="32"/>
        </w:rPr>
      </w:r>
    </w:p>
    <w:p>
      <w:pPr>
        <w:spacing w:lineRule="exact" w:line="576" w:before="0" w:after="0"/>
        <w:jc w:val="both"/>
      </w:pPr>
      <w:r>
        <w:rPr>
          <w:rFonts w:ascii="楷体_GB2312" w:hAnsi="楷体_GB2312" w:eastAsia="WenQuanYi Zen Hei"/>
          <w:b w:val="0"/>
          <w:sz w:val="32"/>
        </w:rPr>
        <w:t>（一）本地硬件私有化部署方案</w:t>
      </w:r>
    </w:p>
    <w:p>
      <w:pPr>
        <w:spacing w:lineRule="exact" w:line="576" w:before="0" w:after="0"/>
        <w:jc w:val="both"/>
      </w:pPr>
      <w:r>
        <w:rPr>
          <w:rFonts w:ascii="仿宋_GB2312" w:hAnsi="仿宋_GB2312" w:eastAsia="WenQuanYi Zen Hei"/>
          <w:b/>
          <w:sz w:val="32"/>
        </w:rPr>
        <w:t>1.部署架构</w:t>
      </w:r>
    </w:p>
    <w:p>
      <w:pPr>
        <w:spacing w:lineRule="exact" w:line="576" w:before="0" w:after="0"/>
        <w:ind w:firstLine="8128000"/>
        <w:jc w:val="both"/>
      </w:pPr>
      <w:r>
        <w:rPr>
          <w:rFonts w:ascii="仿宋_GB2312" w:hAnsi="仿宋_GB2312" w:eastAsia="WenQuanYi Zen Hei"/>
          <w:b w:val="0"/>
          <w:sz w:val="32"/>
        </w:rPr>
        <w:t>本地硬件私有化部署方案采用全量本地化架构，所有系统组件（应用服务、AI推理引擎、数据库、知识库）均部署在用户自建机房或数据中心的物理服务器上，通过内部局域网或专网访问，与互联网实现物理隔离，从网络层面杜绝外部攻击与数据泄露风险。</w:t>
      </w:r>
    </w:p>
    <w:p>
      <w:pPr>
        <w:spacing w:lineRule="exact" w:line="576" w:before="0" w:after="0"/>
        <w:jc w:val="both"/>
      </w:pPr>
      <w:r>
        <w:rPr>
          <w:rFonts w:ascii="仿宋_GB2312" w:hAnsi="仿宋_GB2312" w:eastAsia="WenQuanYi Zen Hei"/>
          <w:b w:val="0"/>
          <w:sz w:val="32"/>
        </w:rPr>
      </w:r>
    </w:p>
    <w:tbl>
      <w:tblPr>
        <w:tblW w:type="auto" w:w="0"/>
        <w:jc w:val="center"/>
        <w:tblLayout w:type="fixed"/>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211"/>
        <w:gridCol w:w="2211"/>
        <w:gridCol w:w="2211"/>
        <w:gridCol w:w="2211"/>
      </w:tblGrid>
      <w:tr>
        <w:tc>
          <w:tcPr>
            <w:tcW w:type="dxa" w:w="1417"/>
            <w:vAlign w:val="center"/>
            <w:shd w:fill="D9E2F3" w:val="clear"/>
          </w:tcPr>
          <w:p>
            <w:pPr>
              <w:spacing w:lineRule="exact" w:line="440" w:before="0" w:after="0"/>
              <w:jc w:val="both"/>
            </w:pPr>
            <w:r/>
            <w:r>
              <w:rPr>
                <w:rFonts w:ascii="黑体" w:hAnsi="黑体" w:eastAsia="WenQuanYi Zen Hei"/>
                <w:b/>
                <w:sz w:val="28"/>
              </w:rPr>
              <w:t>设备类型</w:t>
            </w:r>
          </w:p>
        </w:tc>
        <w:tc>
          <w:tcPr>
            <w:tcW w:type="dxa" w:w="3402"/>
            <w:vAlign w:val="center"/>
            <w:shd w:fill="D9E2F3" w:val="clear"/>
          </w:tcPr>
          <w:p>
            <w:pPr>
              <w:spacing w:lineRule="exact" w:line="440" w:before="0" w:after="0"/>
              <w:jc w:val="both"/>
            </w:pPr>
            <w:r/>
            <w:r>
              <w:rPr>
                <w:rFonts w:ascii="黑体" w:hAnsi="黑体" w:eastAsia="WenQuanYi Zen Hei"/>
                <w:b/>
                <w:sz w:val="28"/>
              </w:rPr>
              <w:t>型号/规格</w:t>
            </w:r>
          </w:p>
        </w:tc>
        <w:tc>
          <w:tcPr>
            <w:tcW w:type="dxa" w:w="850"/>
            <w:vAlign w:val="center"/>
            <w:shd w:fill="D9E2F3" w:val="clear"/>
          </w:tcPr>
          <w:p>
            <w:pPr>
              <w:spacing w:lineRule="exact" w:line="440" w:before="0" w:after="0"/>
              <w:jc w:val="both"/>
            </w:pPr>
            <w:r/>
            <w:r>
              <w:rPr>
                <w:rFonts w:ascii="黑体" w:hAnsi="黑体" w:eastAsia="WenQuanYi Zen Hei"/>
                <w:b/>
                <w:sz w:val="28"/>
              </w:rPr>
              <w:t>数量</w:t>
            </w:r>
          </w:p>
        </w:tc>
        <w:tc>
          <w:tcPr>
            <w:tcW w:type="dxa" w:w="2835"/>
            <w:vAlign w:val="center"/>
            <w:shd w:fill="D9E2F3" w:val="clear"/>
          </w:tcPr>
          <w:p>
            <w:pPr>
              <w:spacing w:lineRule="exact" w:line="440" w:before="0" w:after="0"/>
              <w:jc w:val="both"/>
            </w:pPr>
            <w:r/>
            <w:r>
              <w:rPr>
                <w:rFonts w:ascii="黑体" w:hAnsi="黑体" w:eastAsia="WenQuanYi Zen Hei"/>
                <w:b/>
                <w:sz w:val="28"/>
              </w:rPr>
              <w:t>用途说明</w:t>
            </w:r>
          </w:p>
        </w:tc>
      </w:tr>
      <w:tr>
        <w:tc>
          <w:tcPr>
            <w:tcW w:type="dxa" w:w="1417"/>
            <w:vAlign w:val="center"/>
          </w:tcPr>
          <w:p>
            <w:pPr>
              <w:spacing w:lineRule="exact" w:line="440" w:before="0" w:after="0"/>
              <w:jc w:val="both"/>
            </w:pPr>
            <w:r/>
            <w:r>
              <w:rPr>
                <w:rFonts w:ascii="仿宋_GB2312" w:hAnsi="仿宋_GB2312" w:eastAsia="WenQuanYi Zen Hei"/>
                <w:b w:val="0"/>
                <w:sz w:val="28"/>
              </w:rPr>
              <w:t>应用服务器</w:t>
            </w:r>
          </w:p>
        </w:tc>
        <w:tc>
          <w:tcPr>
            <w:tcW w:type="dxa" w:w="3402"/>
            <w:vAlign w:val="center"/>
          </w:tcPr>
          <w:p>
            <w:pPr>
              <w:spacing w:lineRule="exact" w:line="440" w:before="0" w:after="0"/>
              <w:jc w:val="both"/>
            </w:pPr>
            <w:r/>
            <w:r>
              <w:rPr>
                <w:rFonts w:ascii="仿宋_GB2312" w:hAnsi="仿宋_GB2312" w:eastAsia="WenQuanYi Zen Hei"/>
                <w:b w:val="0"/>
                <w:sz w:val="28"/>
              </w:rPr>
              <w:t>华为/曙光 2U双路</w:t>
              <w:br/>
              <w:t>CPU: Intel Xeon Gold 6348 2.6GHz 28核</w:t>
              <w:br/>
              <w:t>内存: 256GB DDR4 ECC</w:t>
              <w:br/>
              <w:t>存储: 2×960GB SSD (RAID1) + 4×4TB HDD (RAID5)</w:t>
              <w:br/>
              <w:t>网络: 双千兆网卡</w:t>
            </w:r>
          </w:p>
        </w:tc>
        <w:tc>
          <w:tcPr>
            <w:tcW w:type="dxa" w:w="850"/>
            <w:vAlign w:val="center"/>
          </w:tcPr>
          <w:p>
            <w:pPr>
              <w:spacing w:lineRule="exact" w:line="440" w:before="0" w:after="0"/>
              <w:jc w:val="both"/>
            </w:pPr>
            <w:r/>
            <w:r>
              <w:rPr>
                <w:rFonts w:ascii="仿宋_GB2312" w:hAnsi="仿宋_GB2312" w:eastAsia="WenQuanYi Zen Hei"/>
                <w:b w:val="0"/>
                <w:sz w:val="28"/>
              </w:rPr>
              <w:t>2台</w:t>
            </w:r>
          </w:p>
        </w:tc>
        <w:tc>
          <w:tcPr>
            <w:tcW w:type="dxa" w:w="2835"/>
            <w:vAlign w:val="center"/>
          </w:tcPr>
          <w:p>
            <w:pPr>
              <w:spacing w:lineRule="exact" w:line="440" w:before="0" w:after="0"/>
              <w:jc w:val="both"/>
            </w:pPr>
            <w:r/>
            <w:r>
              <w:rPr>
                <w:rFonts w:ascii="仿宋_GB2312" w:hAnsi="仿宋_GB2312" w:eastAsia="WenQuanYi Zen Hei"/>
                <w:b w:val="0"/>
                <w:sz w:val="28"/>
              </w:rPr>
              <w:t>部署应用服务、API网关、任务调度等核心服务模块，双机热备保障服务高可用</w:t>
            </w:r>
          </w:p>
        </w:tc>
      </w:tr>
      <w:tr>
        <w:tc>
          <w:tcPr>
            <w:tcW w:type="dxa" w:w="1417"/>
            <w:vAlign w:val="center"/>
            <w:shd w:fill="F2F2F2" w:val="clear"/>
          </w:tcPr>
          <w:p>
            <w:pPr>
              <w:spacing w:lineRule="exact" w:line="440" w:before="0" w:after="0"/>
              <w:jc w:val="both"/>
            </w:pPr>
            <w:r/>
            <w:r>
              <w:rPr>
                <w:rFonts w:ascii="仿宋_GB2312" w:hAnsi="仿宋_GB2312" w:eastAsia="WenQuanYi Zen Hei"/>
                <w:b w:val="0"/>
                <w:sz w:val="28"/>
              </w:rPr>
              <w:t>AI推理服务器</w:t>
            </w:r>
          </w:p>
        </w:tc>
        <w:tc>
          <w:tcPr>
            <w:tcW w:type="dxa" w:w="3402"/>
            <w:vAlign w:val="center"/>
            <w:shd w:fill="F2F2F2" w:val="clear"/>
          </w:tcPr>
          <w:p>
            <w:pPr>
              <w:spacing w:lineRule="exact" w:line="440" w:before="0" w:after="0"/>
              <w:jc w:val="both"/>
            </w:pPr>
            <w:r/>
            <w:r>
              <w:rPr>
                <w:rFonts w:ascii="仿宋_GB2312" w:hAnsi="仿宋_GB2312" w:eastAsia="WenQuanYi Zen Hei"/>
                <w:b w:val="0"/>
                <w:sz w:val="28"/>
              </w:rPr>
              <w:t>华为/曙光 4U</w:t>
              <w:br/>
              <w:t>CPU: Intel Xeon Gold 5318Y 2.1GHz 24核</w:t>
              <w:br/>
              <w:t>内存: 512GB DDR4 ECC</w:t>
              <w:br/>
              <w:t>GPU: NVIDIA A30/A100 24GB显存 ×2</w:t>
              <w:br/>
              <w:t>存储: 2×960GB SSD (RAID1) + 8×4TB HDD (RAID5)</w:t>
              <w:br/>
              <w:t>网络: 双万兆网卡</w:t>
            </w:r>
          </w:p>
        </w:tc>
        <w:tc>
          <w:tcPr>
            <w:tcW w:type="dxa" w:w="850"/>
            <w:vAlign w:val="center"/>
            <w:shd w:fill="F2F2F2" w:val="clear"/>
          </w:tcPr>
          <w:p>
            <w:pPr>
              <w:spacing w:lineRule="exact" w:line="440" w:before="0" w:after="0"/>
              <w:jc w:val="both"/>
            </w:pPr>
            <w:r/>
            <w:r>
              <w:rPr>
                <w:rFonts w:ascii="仿宋_GB2312" w:hAnsi="仿宋_GB2312" w:eastAsia="WenQuanYi Zen Hei"/>
                <w:b w:val="0"/>
                <w:sz w:val="28"/>
              </w:rPr>
              <w:t>2台</w:t>
            </w:r>
          </w:p>
        </w:tc>
        <w:tc>
          <w:tcPr>
            <w:tcW w:type="dxa" w:w="2835"/>
            <w:vAlign w:val="center"/>
            <w:shd w:fill="F2F2F2" w:val="clear"/>
          </w:tcPr>
          <w:p>
            <w:pPr>
              <w:spacing w:lineRule="exact" w:line="440" w:before="0" w:after="0"/>
              <w:jc w:val="both"/>
            </w:pPr>
            <w:r/>
            <w:r>
              <w:rPr>
                <w:rFonts w:ascii="仿宋_GB2312" w:hAnsi="仿宋_GB2312" w:eastAsia="WenQuanYi Zen Hei"/>
                <w:b w:val="0"/>
                <w:sz w:val="28"/>
              </w:rPr>
              <w:t>部署AI推理引擎，承载大语言模型推理计算任务，GPU加速保障推理性能</w:t>
            </w:r>
          </w:p>
        </w:tc>
      </w:tr>
      <w:tr>
        <w:tc>
          <w:tcPr>
            <w:tcW w:type="dxa" w:w="1417"/>
            <w:vAlign w:val="center"/>
          </w:tcPr>
          <w:p>
            <w:pPr>
              <w:spacing w:lineRule="exact" w:line="440" w:before="0" w:after="0"/>
              <w:jc w:val="both"/>
            </w:pPr>
            <w:r/>
            <w:r>
              <w:rPr>
                <w:rFonts w:ascii="仿宋_GB2312" w:hAnsi="仿宋_GB2312" w:eastAsia="WenQuanYi Zen Hei"/>
                <w:b w:val="0"/>
                <w:sz w:val="28"/>
              </w:rPr>
              <w:t>数据库服务器</w:t>
            </w:r>
          </w:p>
        </w:tc>
        <w:tc>
          <w:tcPr>
            <w:tcW w:type="dxa" w:w="3402"/>
            <w:vAlign w:val="center"/>
          </w:tcPr>
          <w:p>
            <w:pPr>
              <w:spacing w:lineRule="exact" w:line="440" w:before="0" w:after="0"/>
              <w:jc w:val="both"/>
            </w:pPr>
            <w:r/>
            <w:r>
              <w:rPr>
                <w:rFonts w:ascii="仿宋_GB2312" w:hAnsi="仿宋_GB2312" w:eastAsia="WenQuanYi Zen Hei"/>
                <w:b w:val="0"/>
                <w:sz w:val="28"/>
              </w:rPr>
              <w:t>华为/曙光 2U双路</w:t>
              <w:br/>
              <w:t>CPU: Intel Xeon Silver 4316 2.3GHz 20核</w:t>
              <w:br/>
              <w:t>内存: 256GB DDR4 ECC</w:t>
              <w:br/>
              <w:t>存储: 2×480GB SSD (RAID1, 系统) + 8×2TB SSD (RAID10, 数据)</w:t>
              <w:br/>
              <w:t>网络: 双千兆网卡</w:t>
            </w:r>
          </w:p>
        </w:tc>
        <w:tc>
          <w:tcPr>
            <w:tcW w:type="dxa" w:w="850"/>
            <w:vAlign w:val="center"/>
          </w:tcPr>
          <w:p>
            <w:pPr>
              <w:spacing w:lineRule="exact" w:line="440" w:before="0" w:after="0"/>
              <w:jc w:val="both"/>
            </w:pPr>
            <w:r/>
            <w:r>
              <w:rPr>
                <w:rFonts w:ascii="仿宋_GB2312" w:hAnsi="仿宋_GB2312" w:eastAsia="WenQuanYi Zen Hei"/>
                <w:b w:val="0"/>
                <w:sz w:val="28"/>
              </w:rPr>
              <w:t>2台</w:t>
            </w:r>
          </w:p>
        </w:tc>
        <w:tc>
          <w:tcPr>
            <w:tcW w:type="dxa" w:w="2835"/>
            <w:vAlign w:val="center"/>
          </w:tcPr>
          <w:p>
            <w:pPr>
              <w:spacing w:lineRule="exact" w:line="440" w:before="0" w:after="0"/>
              <w:jc w:val="both"/>
            </w:pPr>
            <w:r/>
            <w:r>
              <w:rPr>
                <w:rFonts w:ascii="仿宋_GB2312" w:hAnsi="仿宋_GB2312" w:eastAsia="WenQuanYi Zen Hei"/>
                <w:b w:val="0"/>
                <w:sz w:val="28"/>
              </w:rPr>
              <w:t>部署数据库与本地知识库，SSD RAID10保障数据读写性能与冗余安全</w:t>
            </w:r>
          </w:p>
        </w:tc>
      </w:tr>
      <w:tr>
        <w:tc>
          <w:tcPr>
            <w:tcW w:type="dxa" w:w="1417"/>
            <w:vAlign w:val="center"/>
            <w:shd w:fill="F2F2F2" w:val="clear"/>
          </w:tcPr>
          <w:p>
            <w:pPr>
              <w:spacing w:lineRule="exact" w:line="440" w:before="0" w:after="0"/>
              <w:jc w:val="both"/>
            </w:pPr>
            <w:r/>
            <w:r>
              <w:rPr>
                <w:rFonts w:ascii="仿宋_GB2312" w:hAnsi="仿宋_GB2312" w:eastAsia="WenQuanYi Zen Hei"/>
                <w:b w:val="0"/>
                <w:sz w:val="28"/>
              </w:rPr>
              <w:t>管理服务器</w:t>
            </w:r>
          </w:p>
        </w:tc>
        <w:tc>
          <w:tcPr>
            <w:tcW w:type="dxa" w:w="3402"/>
            <w:vAlign w:val="center"/>
            <w:shd w:fill="F2F2F2" w:val="clear"/>
          </w:tcPr>
          <w:p>
            <w:pPr>
              <w:spacing w:lineRule="exact" w:line="440" w:before="0" w:after="0"/>
              <w:jc w:val="both"/>
            </w:pPr>
            <w:r/>
            <w:r>
              <w:rPr>
                <w:rFonts w:ascii="仿宋_GB2312" w:hAnsi="仿宋_GB2312" w:eastAsia="WenQuanYi Zen Hei"/>
                <w:b w:val="0"/>
                <w:sz w:val="28"/>
              </w:rPr>
              <w:t>华为/曙光 1U</w:t>
              <w:br/>
              <w:t>CPU: Intel Xeon Silver 4309Y 2.8GHz 8核</w:t>
              <w:br/>
              <w:t>内存: 128GB DDR4 ECC</w:t>
              <w:br/>
              <w:t>存储: 2×960GB SSD (RAID1)</w:t>
              <w:br/>
              <w:t>网络: 双千兆网卡</w:t>
            </w:r>
          </w:p>
        </w:tc>
        <w:tc>
          <w:tcPr>
            <w:tcW w:type="dxa" w:w="850"/>
            <w:vAlign w:val="center"/>
            <w:shd w:fill="F2F2F2" w:val="clear"/>
          </w:tcPr>
          <w:p>
            <w:pPr>
              <w:spacing w:lineRule="exact" w:line="440" w:before="0" w:after="0"/>
              <w:jc w:val="both"/>
            </w:pPr>
            <w:r/>
            <w:r>
              <w:rPr>
                <w:rFonts w:ascii="仿宋_GB2312" w:hAnsi="仿宋_GB2312" w:eastAsia="WenQuanYi Zen Hei"/>
                <w:b w:val="0"/>
                <w:sz w:val="28"/>
              </w:rPr>
              <w:t>1台</w:t>
            </w:r>
          </w:p>
        </w:tc>
        <w:tc>
          <w:tcPr>
            <w:tcW w:type="dxa" w:w="2835"/>
            <w:vAlign w:val="center"/>
            <w:shd w:fill="F2F2F2" w:val="clear"/>
          </w:tcPr>
          <w:p>
            <w:pPr>
              <w:spacing w:lineRule="exact" w:line="440" w:before="0" w:after="0"/>
              <w:jc w:val="both"/>
            </w:pPr>
            <w:r/>
            <w:r>
              <w:rPr>
                <w:rFonts w:ascii="仿宋_GB2312" w:hAnsi="仿宋_GB2312" w:eastAsia="WenQuanYi Zen Hei"/>
                <w:b w:val="0"/>
                <w:sz w:val="28"/>
              </w:rPr>
              <w:t>部署运维监控、日志审计、系统管理平台，统一管控全部服务器资源</w:t>
            </w:r>
          </w:p>
        </w:tc>
      </w:tr>
      <w:tr>
        <w:tc>
          <w:tcPr>
            <w:tcW w:type="dxa" w:w="1417"/>
            <w:vAlign w:val="center"/>
          </w:tcPr>
          <w:p>
            <w:pPr>
              <w:spacing w:lineRule="exact" w:line="440" w:before="0" w:after="0"/>
              <w:jc w:val="both"/>
            </w:pPr>
            <w:r/>
            <w:r>
              <w:rPr>
                <w:rFonts w:ascii="仿宋_GB2312" w:hAnsi="仿宋_GB2312" w:eastAsia="WenQuanYi Zen Hei"/>
                <w:b w:val="0"/>
                <w:sz w:val="28"/>
              </w:rPr>
              <w:t>网络安全设备</w:t>
            </w:r>
          </w:p>
        </w:tc>
        <w:tc>
          <w:tcPr>
            <w:tcW w:type="dxa" w:w="3402"/>
            <w:vAlign w:val="center"/>
          </w:tcPr>
          <w:p>
            <w:pPr>
              <w:spacing w:lineRule="exact" w:line="440" w:before="0" w:after="0"/>
              <w:jc w:val="both"/>
            </w:pPr>
            <w:r/>
            <w:r>
              <w:rPr>
                <w:rFonts w:ascii="仿宋_GB2312" w:hAnsi="仿宋_GB2312" w:eastAsia="WenQuanYi Zen Hei"/>
                <w:b w:val="0"/>
                <w:sz w:val="28"/>
              </w:rPr>
              <w:t>防火墙：华为USG6300系列</w:t>
              <w:br/>
              <w:t>入侵检测：绿盟NIDS</w:t>
              <w:br/>
              <w:t>堡垒机：齐治SHTech</w:t>
            </w:r>
          </w:p>
        </w:tc>
        <w:tc>
          <w:tcPr>
            <w:tcW w:type="dxa" w:w="850"/>
            <w:vAlign w:val="center"/>
          </w:tcPr>
          <w:p>
            <w:pPr>
              <w:spacing w:lineRule="exact" w:line="440" w:before="0" w:after="0"/>
              <w:jc w:val="both"/>
            </w:pPr>
            <w:r/>
            <w:r>
              <w:rPr>
                <w:rFonts w:ascii="仿宋_GB2312" w:hAnsi="仿宋_GB2312" w:eastAsia="WenQuanYi Zen Hei"/>
                <w:b w:val="0"/>
                <w:sz w:val="28"/>
              </w:rPr>
              <w:t>各1台</w:t>
            </w:r>
          </w:p>
        </w:tc>
        <w:tc>
          <w:tcPr>
            <w:tcW w:type="dxa" w:w="2835"/>
            <w:vAlign w:val="center"/>
          </w:tcPr>
          <w:p>
            <w:pPr>
              <w:spacing w:lineRule="exact" w:line="440" w:before="0" w:after="0"/>
              <w:jc w:val="both"/>
            </w:pPr>
            <w:r/>
            <w:r>
              <w:rPr>
                <w:rFonts w:ascii="仿宋_GB2312" w:hAnsi="仿宋_GB2312" w:eastAsia="WenQuanYi Zen Hei"/>
                <w:b w:val="0"/>
                <w:sz w:val="28"/>
              </w:rPr>
              <w:t>构建多层安全防护体系，实现访问控制、入侵检测、运维审计等安全功能</w:t>
            </w:r>
          </w:p>
        </w:tc>
      </w:tr>
    </w:tbl>
    <w:p>
      <w:pPr>
        <w:spacing w:lineRule="exact" w:line="576" w:before="0" w:after="0"/>
        <w:jc w:val="both"/>
      </w:pPr>
      <w:r>
        <w:rPr>
          <w:rFonts w:ascii="仿宋_GB2312" w:hAnsi="仿宋_GB2312" w:eastAsia="WenQuanYi Zen Hei"/>
          <w:b/>
          <w:sz w:val="32"/>
        </w:rPr>
        <w:t>2.软件环境</w:t>
      </w:r>
    </w:p>
    <w:p>
      <w:pPr>
        <w:spacing w:lineRule="exact" w:line="576" w:before="0" w:after="0"/>
        <w:ind w:firstLine="8128000"/>
        <w:jc w:val="both"/>
      </w:pPr>
      <w:r>
        <w:rPr>
          <w:rFonts w:ascii="仿宋_GB2312" w:hAnsi="仿宋_GB2312" w:eastAsia="WenQuanYi Zen Hei"/>
          <w:b w:val="0"/>
          <w:sz w:val="32"/>
        </w:rPr>
        <w:t>操作系统：CentOS 7.9 / Kylin V10（国产化适配），确保与国产软硬件生态兼容。</w:t>
      </w:r>
    </w:p>
    <w:p>
      <w:pPr>
        <w:spacing w:lineRule="exact" w:line="576" w:before="0" w:after="0"/>
        <w:ind w:firstLine="8128000"/>
        <w:jc w:val="both"/>
      </w:pPr>
      <w:r>
        <w:rPr>
          <w:rFonts w:ascii="仿宋_GB2312" w:hAnsi="仿宋_GB2312" w:eastAsia="WenQuanYi Zen Hei"/>
          <w:b w:val="0"/>
          <w:sz w:val="32"/>
        </w:rPr>
        <w:t>数据库：PostgreSQL 14 + SQLite 3，前者承载业务数据，后者承载校对历史与知识库。</w:t>
      </w:r>
    </w:p>
    <w:p>
      <w:pPr>
        <w:spacing w:lineRule="exact" w:line="576" w:before="0" w:after="0"/>
        <w:ind w:firstLine="8128000"/>
        <w:jc w:val="both"/>
      </w:pPr>
      <w:r>
        <w:rPr>
          <w:rFonts w:ascii="仿宋_GB2312" w:hAnsi="仿宋_GB2312" w:eastAsia="WenQuanYi Zen Hei"/>
          <w:b w:val="0"/>
          <w:sz w:val="32"/>
        </w:rPr>
        <w:t>容器环境：Docker 24 + Kubernetes 1.28，实现服务容器化部署与编排管理。</w:t>
      </w:r>
    </w:p>
    <w:p>
      <w:pPr>
        <w:spacing w:lineRule="exact" w:line="576" w:before="0" w:after="0"/>
        <w:ind w:firstLine="8128000"/>
        <w:jc w:val="both"/>
      </w:pPr>
      <w:r>
        <w:rPr>
          <w:rFonts w:ascii="仿宋_GB2312" w:hAnsi="仿宋_GB2312" w:eastAsia="WenQuanYi Zen Hei"/>
          <w:b w:val="0"/>
          <w:sz w:val="32"/>
        </w:rPr>
        <w:t>AI推理框架：vLLM / TensorRT-LLM，针对GPU推理场景深度优化，保障推理性能。</w:t>
      </w:r>
    </w:p>
    <w:p>
      <w:pPr>
        <w:spacing w:lineRule="exact" w:line="576" w:before="0" w:after="0"/>
        <w:ind w:firstLine="8128000"/>
        <w:jc w:val="both"/>
      </w:pPr>
      <w:r>
        <w:rPr>
          <w:rFonts w:ascii="仿宋_GB2312" w:hAnsi="仿宋_GB2312" w:eastAsia="WenQuanYi Zen Hei"/>
          <w:b w:val="0"/>
          <w:sz w:val="32"/>
        </w:rPr>
        <w:t>中间件：Nginx（反向代理与负载均衡）、Redis（缓存与会话管理）、RabbitMQ（异步任务队列）。</w:t>
      </w:r>
    </w:p>
    <w:p>
      <w:pPr>
        <w:spacing w:lineRule="exact" w:line="576" w:before="0" w:after="0"/>
        <w:ind w:firstLine="8128000"/>
        <w:jc w:val="both"/>
      </w:pPr>
      <w:r>
        <w:rPr>
          <w:rFonts w:ascii="仿宋_GB2312" w:hAnsi="仿宋_GB2312" w:eastAsia="WenQuanYi Zen Hei"/>
          <w:b w:val="0"/>
          <w:sz w:val="32"/>
        </w:rPr>
        <w:t>监控运维：Prometheus + Grafana（监控告警）、ELK Stack（日志采集分析）、Ansible（自动化运维）。</w:t>
      </w:r>
    </w:p>
    <w:p>
      <w:pPr>
        <w:spacing w:lineRule="exact" w:line="576" w:before="0" w:after="0"/>
        <w:ind w:firstLine="8128000"/>
        <w:jc w:val="both"/>
      </w:pPr>
      <w:r>
        <w:rPr>
          <w:rFonts w:ascii="仿宋_GB2312" w:hAnsi="仿宋_GB2312" w:eastAsia="WenQuanYi Zen Hei"/>
          <w:b w:val="0"/>
          <w:sz w:val="32"/>
        </w:rPr>
        <w:t>安全软件：ClamAV（病毒防护）、OpenSCAP（安全基线检查）、Auditd（审计日志）。</w:t>
      </w:r>
    </w:p>
    <w:p>
      <w:pPr>
        <w:spacing w:lineRule="exact" w:line="576" w:before="0" w:after="0"/>
        <w:jc w:val="both"/>
      </w:pPr>
      <w:r>
        <w:rPr>
          <w:rFonts w:ascii="仿宋_GB2312" w:hAnsi="仿宋_GB2312" w:eastAsia="WenQuanYi Zen Hei"/>
          <w:b/>
          <w:sz w:val="32"/>
        </w:rPr>
        <w:t>3.安全防护体系</w:t>
      </w:r>
    </w:p>
    <w:p>
      <w:pPr>
        <w:spacing w:lineRule="exact" w:line="576" w:before="0" w:after="0"/>
        <w:ind w:firstLine="8128000"/>
        <w:jc w:val="both"/>
      </w:pPr>
      <w:r>
        <w:rPr>
          <w:rFonts w:ascii="仿宋_GB2312" w:hAnsi="仿宋_GB2312" w:eastAsia="WenQuanYi Zen Hei"/>
          <w:b w:val="0"/>
          <w:sz w:val="32"/>
        </w:rPr>
        <w:t>本地部署方案构建五层安全防护体系，全方位保障系统与数据安全：</w:t>
      </w:r>
    </w:p>
    <w:p>
      <w:pPr>
        <w:spacing w:lineRule="exact" w:line="576" w:before="0" w:after="0"/>
        <w:ind w:firstLine="8128000"/>
        <w:jc w:val="both"/>
      </w:pPr>
      <w:r>
        <w:rPr>
          <w:rFonts w:ascii="仿宋_GB2312" w:hAnsi="仿宋_GB2312" w:eastAsia="WenQuanYi Zen Hei"/>
          <w:b w:val="0"/>
          <w:sz w:val="32"/>
        </w:rPr>
        <w:t>第一层：物理安全。机房门禁管控、视频监控、温湿度监测、UPS不间断电源、消防系统，保障物理环境安全。</w:t>
      </w:r>
    </w:p>
    <w:p>
      <w:pPr>
        <w:spacing w:lineRule="exact" w:line="576" w:before="0" w:after="0"/>
        <w:ind w:firstLine="8128000"/>
        <w:jc w:val="both"/>
      </w:pPr>
      <w:r>
        <w:rPr>
          <w:rFonts w:ascii="仿宋_GB2312" w:hAnsi="仿宋_GB2312" w:eastAsia="WenQuanYi Zen Hei"/>
          <w:b w:val="0"/>
          <w:sz w:val="32"/>
        </w:rPr>
        <w:t>第二层：网络安全。防火墙访问控制策略、网络分区隔离（管理区/业务区/数据区）、入侵检测与防御、VPN远程安全接入。</w:t>
      </w:r>
    </w:p>
    <w:p>
      <w:pPr>
        <w:spacing w:lineRule="exact" w:line="576" w:before="0" w:after="0"/>
        <w:ind w:firstLine="8128000"/>
        <w:jc w:val="both"/>
      </w:pPr>
      <w:r>
        <w:rPr>
          <w:rFonts w:ascii="仿宋_GB2312" w:hAnsi="仿宋_GB2312" w:eastAsia="WenQuanYi Zen Hei"/>
          <w:b w:val="0"/>
          <w:sz w:val="32"/>
        </w:rPr>
        <w:t>第三层：数据安全。全量数据本地存储、数据库加密存储（AES-256）、数据备份（每日增量/每周全量/异地容灾）、数据脱敏与访问权限控制。</w:t>
      </w:r>
    </w:p>
    <w:p>
      <w:pPr>
        <w:spacing w:lineRule="exact" w:line="576" w:before="0" w:after="0"/>
        <w:ind w:firstLine="8128000"/>
        <w:jc w:val="both"/>
      </w:pPr>
      <w:r>
        <w:rPr>
          <w:rFonts w:ascii="仿宋_GB2312" w:hAnsi="仿宋_GB2312" w:eastAsia="WenQuanYi Zen Hei"/>
          <w:b w:val="0"/>
          <w:sz w:val="32"/>
        </w:rPr>
        <w:t>第四层：应用安全。用户身份认证（多因素认证）、角色权限管理（RBAC）、操作审计日志（全量记录）、敏感操作二次确认。</w:t>
      </w:r>
    </w:p>
    <w:p>
      <w:pPr>
        <w:spacing w:lineRule="exact" w:line="576" w:before="0" w:after="0"/>
        <w:ind w:firstLine="8128000"/>
        <w:jc w:val="both"/>
      </w:pPr>
      <w:r>
        <w:rPr>
          <w:rFonts w:ascii="仿宋_GB2312" w:hAnsi="仿宋_GB2312" w:eastAsia="WenQuanYi Zen Hei"/>
          <w:b w:val="0"/>
          <w:sz w:val="32"/>
        </w:rPr>
        <w:t>第五层：运维安全。堡垒机运维审计、安全补丁定期更新、漏洞扫描与修复、应急预案与演练。</w:t>
      </w:r>
    </w:p>
    <w:p>
      <w:pPr>
        <w:spacing w:lineRule="exact" w:line="576" w:before="0" w:after="0"/>
        <w:jc w:val="both"/>
      </w:pPr>
      <w:r>
        <w:rPr>
          <w:rFonts w:ascii="仿宋_GB2312" w:hAnsi="仿宋_GB2312" w:eastAsia="WenQuanYi Zen Hei"/>
          <w:b/>
          <w:sz w:val="32"/>
        </w:rPr>
        <w:t>4.运维服务保障</w:t>
      </w:r>
    </w:p>
    <w:p>
      <w:pPr>
        <w:spacing w:lineRule="exact" w:line="576" w:before="0" w:after="0"/>
        <w:ind w:firstLine="8128000"/>
        <w:jc w:val="both"/>
      </w:pPr>
      <w:r>
        <w:rPr>
          <w:rFonts w:ascii="仿宋_GB2312" w:hAnsi="仿宋_GB2312" w:eastAsia="WenQuanYi Zen Hei"/>
          <w:b w:val="0"/>
          <w:sz w:val="32"/>
        </w:rPr>
        <w:t>现场实施：厂商派驻工程师现场部署，完成硬件安装、软件配置、系统集成与联调测试，确保系统如期上线。</w:t>
      </w:r>
    </w:p>
    <w:p>
      <w:pPr>
        <w:spacing w:lineRule="exact" w:line="576" w:before="0" w:after="0"/>
        <w:ind w:firstLine="8128000"/>
        <w:jc w:val="both"/>
      </w:pPr>
      <w:r>
        <w:rPr>
          <w:rFonts w:ascii="仿宋_GB2312" w:hAnsi="仿宋_GB2312" w:eastAsia="WenQuanYi Zen Hei"/>
          <w:b w:val="0"/>
          <w:sz w:val="32"/>
        </w:rPr>
        <w:t>远程维护：7×24小时远程监控与技术支持，故障发现后30分钟内响应，2小时内提供解决方案。</w:t>
      </w:r>
    </w:p>
    <w:p>
      <w:pPr>
        <w:spacing w:lineRule="exact" w:line="576" w:before="0" w:after="0"/>
        <w:ind w:firstLine="8128000"/>
        <w:jc w:val="both"/>
      </w:pPr>
      <w:r>
        <w:rPr>
          <w:rFonts w:ascii="仿宋_GB2312" w:hAnsi="仿宋_GB2312" w:eastAsia="WenQuanYi Zen Hei"/>
          <w:b w:val="0"/>
          <w:sz w:val="32"/>
        </w:rPr>
        <w:t>定期巡检：每月一次现场巡检，检查硬件运行状态、软件系统健康度、安全策略有效性，出具巡检报告。</w:t>
      </w:r>
    </w:p>
    <w:p>
      <w:pPr>
        <w:spacing w:lineRule="exact" w:line="576" w:before="0" w:after="0"/>
        <w:ind w:firstLine="8128000"/>
        <w:jc w:val="both"/>
      </w:pPr>
      <w:r>
        <w:rPr>
          <w:rFonts w:ascii="仿宋_GB2312" w:hAnsi="仿宋_GB2312" w:eastAsia="WenQuanYi Zen Hei"/>
          <w:b w:val="0"/>
          <w:sz w:val="32"/>
        </w:rPr>
        <w:t>版本更新：每季度一次功能更新，每半年一次大版本升级，更新前在测试环境充分验证，确保业务零中断。</w:t>
      </w:r>
    </w:p>
    <w:p>
      <w:pPr>
        <w:spacing w:lineRule="exact" w:line="576" w:before="0" w:after="0"/>
        <w:ind w:firstLine="8128000"/>
        <w:jc w:val="both"/>
      </w:pPr>
      <w:r>
        <w:rPr>
          <w:rFonts w:ascii="仿宋_GB2312" w:hAnsi="仿宋_GB2312" w:eastAsia="WenQuanYi Zen Hei"/>
          <w:b w:val="0"/>
          <w:sz w:val="32"/>
        </w:rPr>
        <w:t>应急响应：建立应急预案体系，包括硬件故障、软件故障、安全事件、数据恢复等场景，每年至少开展一次应急演练。</w:t>
      </w:r>
    </w:p>
    <w:p>
      <w:pPr>
        <w:spacing w:lineRule="exact" w:line="576" w:before="0" w:after="0"/>
        <w:jc w:val="both"/>
      </w:pPr>
      <w:r>
        <w:rPr>
          <w:rFonts w:ascii="仿宋_GB2312" w:hAnsi="仿宋_GB2312" w:eastAsia="WenQuanYi Zen Hei"/>
          <w:b w:val="0"/>
          <w:sz w:val="32"/>
        </w:rPr>
      </w:r>
    </w:p>
    <w:p>
      <w:pPr>
        <w:spacing w:lineRule="exact" w:line="576" w:before="0" w:after="0"/>
        <w:jc w:val="both"/>
      </w:pPr>
      <w:r>
        <w:rPr>
          <w:rFonts w:ascii="楷体_GB2312" w:hAnsi="楷体_GB2312" w:eastAsia="WenQuanYi Zen Hei"/>
          <w:b w:val="0"/>
          <w:sz w:val="32"/>
        </w:rPr>
        <w:t>（二）政务云电子政务外网部署方案</w:t>
      </w:r>
    </w:p>
    <w:p>
      <w:pPr>
        <w:spacing w:lineRule="exact" w:line="576" w:before="0" w:after="0"/>
        <w:jc w:val="both"/>
      </w:pPr>
      <w:r>
        <w:rPr>
          <w:rFonts w:ascii="仿宋_GB2312" w:hAnsi="仿宋_GB2312" w:eastAsia="WenQuanYi Zen Hei"/>
          <w:b/>
          <w:sz w:val="32"/>
        </w:rPr>
        <w:t>1.部署架构</w:t>
      </w:r>
    </w:p>
    <w:p>
      <w:pPr>
        <w:spacing w:lineRule="exact" w:line="576" w:before="0" w:after="0"/>
        <w:ind w:firstLine="8128000"/>
        <w:jc w:val="both"/>
      </w:pPr>
      <w:r>
        <w:rPr>
          <w:rFonts w:ascii="仿宋_GB2312" w:hAnsi="仿宋_GB2312" w:eastAsia="WenQuanYi Zen Hei"/>
          <w:b w:val="0"/>
          <w:sz w:val="32"/>
        </w:rPr>
        <w:t>政务云电子政务外网部署方案基于省级或市级政务云平台，将系统部署在电子政务外网区域，通过逻辑隔离与安全组策略实现与其他租户的安全隔离。该方案充分利用政务云平台的基础设施服务与安全合规能力，实现快速部署、按需扩容、统一运维，降低用户建设与运维成本。</w:t>
      </w:r>
    </w:p>
    <w:p>
      <w:pPr>
        <w:spacing w:lineRule="exact" w:line="576" w:before="0" w:after="0"/>
        <w:jc w:val="both"/>
      </w:pPr>
      <w:r>
        <w:rPr>
          <w:rFonts w:ascii="仿宋_GB2312" w:hAnsi="仿宋_GB2312" w:eastAsia="WenQuanYi Zen Hei"/>
          <w:b w:val="0"/>
          <w:sz w:val="32"/>
        </w:rPr>
      </w:r>
    </w:p>
    <w:tbl>
      <w:tblPr>
        <w:tblW w:type="auto" w:w="0"/>
        <w:jc w:val="center"/>
        <w:tblLayout w:type="fixed"/>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211"/>
        <w:gridCol w:w="2211"/>
        <w:gridCol w:w="2211"/>
        <w:gridCol w:w="2211"/>
      </w:tblGrid>
      <w:tr>
        <w:tc>
          <w:tcPr>
            <w:tcW w:type="dxa" w:w="1701"/>
            <w:vAlign w:val="center"/>
            <w:shd w:fill="D9E2F3" w:val="clear"/>
          </w:tcPr>
          <w:p>
            <w:pPr>
              <w:spacing w:lineRule="exact" w:line="440" w:before="0" w:after="0"/>
              <w:jc w:val="both"/>
            </w:pPr>
            <w:r/>
            <w:r>
              <w:rPr>
                <w:rFonts w:ascii="黑体" w:hAnsi="黑体" w:eastAsia="WenQuanYi Zen Hei"/>
                <w:b/>
                <w:sz w:val="28"/>
              </w:rPr>
              <w:t>资源类型</w:t>
            </w:r>
          </w:p>
        </w:tc>
        <w:tc>
          <w:tcPr>
            <w:tcW w:type="dxa" w:w="2268"/>
            <w:vAlign w:val="center"/>
            <w:shd w:fill="D9E2F3" w:val="clear"/>
          </w:tcPr>
          <w:p>
            <w:pPr>
              <w:spacing w:lineRule="exact" w:line="440" w:before="0" w:after="0"/>
              <w:jc w:val="both"/>
            </w:pPr>
            <w:r/>
            <w:r>
              <w:rPr>
                <w:rFonts w:ascii="黑体" w:hAnsi="黑体" w:eastAsia="WenQuanYi Zen Hei"/>
                <w:b/>
                <w:sz w:val="28"/>
              </w:rPr>
              <w:t>规格配置</w:t>
            </w:r>
          </w:p>
        </w:tc>
        <w:tc>
          <w:tcPr>
            <w:tcW w:type="dxa" w:w="850"/>
            <w:vAlign w:val="center"/>
            <w:shd w:fill="D9E2F3" w:val="clear"/>
          </w:tcPr>
          <w:p>
            <w:pPr>
              <w:spacing w:lineRule="exact" w:line="440" w:before="0" w:after="0"/>
              <w:jc w:val="both"/>
            </w:pPr>
            <w:r/>
            <w:r>
              <w:rPr>
                <w:rFonts w:ascii="黑体" w:hAnsi="黑体" w:eastAsia="WenQuanYi Zen Hei"/>
                <w:b/>
                <w:sz w:val="28"/>
              </w:rPr>
              <w:t>数量</w:t>
            </w:r>
          </w:p>
        </w:tc>
        <w:tc>
          <w:tcPr>
            <w:tcW w:type="dxa" w:w="3685"/>
            <w:vAlign w:val="center"/>
            <w:shd w:fill="D9E2F3" w:val="clear"/>
          </w:tcPr>
          <w:p>
            <w:pPr>
              <w:spacing w:lineRule="exact" w:line="440" w:before="0" w:after="0"/>
              <w:jc w:val="both"/>
            </w:pPr>
            <w:r/>
            <w:r>
              <w:rPr>
                <w:rFonts w:ascii="黑体" w:hAnsi="黑体" w:eastAsia="WenQuanYi Zen Hei"/>
                <w:b/>
                <w:sz w:val="28"/>
              </w:rPr>
              <w:t>用途说明</w:t>
            </w:r>
          </w:p>
        </w:tc>
      </w:tr>
      <w:tr>
        <w:tc>
          <w:tcPr>
            <w:tcW w:type="dxa" w:w="1701"/>
            <w:vAlign w:val="center"/>
          </w:tcPr>
          <w:p>
            <w:pPr>
              <w:spacing w:lineRule="exact" w:line="440" w:before="0" w:after="0"/>
              <w:jc w:val="both"/>
            </w:pPr>
            <w:r/>
            <w:r>
              <w:rPr>
                <w:rFonts w:ascii="仿宋_GB2312" w:hAnsi="仿宋_GB2312" w:eastAsia="WenQuanYi Zen Hei"/>
                <w:b w:val="0"/>
                <w:sz w:val="28"/>
              </w:rPr>
              <w:t>云服务器（应用）</w:t>
            </w:r>
          </w:p>
        </w:tc>
        <w:tc>
          <w:tcPr>
            <w:tcW w:type="dxa" w:w="2268"/>
            <w:vAlign w:val="center"/>
          </w:tcPr>
          <w:p>
            <w:pPr>
              <w:spacing w:lineRule="exact" w:line="440" w:before="0" w:after="0"/>
              <w:jc w:val="both"/>
            </w:pPr>
            <w:r/>
            <w:r>
              <w:rPr>
                <w:rFonts w:ascii="仿宋_GB2312" w:hAnsi="仿宋_GB2312" w:eastAsia="WenQuanYi Zen Hei"/>
                <w:b w:val="0"/>
                <w:sz w:val="28"/>
              </w:rPr>
              <w:t>8核16GB</w:t>
              <w:br/>
              <w:t>系统盘: 100GB SSD</w:t>
              <w:br/>
              <w:t>数据盘: 500GB SSD</w:t>
            </w:r>
          </w:p>
        </w:tc>
        <w:tc>
          <w:tcPr>
            <w:tcW w:type="dxa" w:w="850"/>
            <w:vAlign w:val="center"/>
          </w:tcPr>
          <w:p>
            <w:pPr>
              <w:spacing w:lineRule="exact" w:line="440" w:before="0" w:after="0"/>
              <w:jc w:val="both"/>
            </w:pPr>
            <w:r/>
            <w:r>
              <w:rPr>
                <w:rFonts w:ascii="仿宋_GB2312" w:hAnsi="仿宋_GB2312" w:eastAsia="WenQuanYi Zen Hei"/>
                <w:b w:val="0"/>
                <w:sz w:val="28"/>
              </w:rPr>
              <w:t>2台</w:t>
            </w:r>
          </w:p>
        </w:tc>
        <w:tc>
          <w:tcPr>
            <w:tcW w:type="dxa" w:w="3685"/>
            <w:vAlign w:val="center"/>
          </w:tcPr>
          <w:p>
            <w:pPr>
              <w:spacing w:lineRule="exact" w:line="440" w:before="0" w:after="0"/>
              <w:jc w:val="both"/>
            </w:pPr>
            <w:r/>
            <w:r>
              <w:rPr>
                <w:rFonts w:ascii="仿宋_GB2312" w:hAnsi="仿宋_GB2312" w:eastAsia="WenQuanYi Zen Hei"/>
                <w:b w:val="0"/>
                <w:sz w:val="28"/>
              </w:rPr>
              <w:t>部署应用服务、API网关、任务调度等核心服务模块</w:t>
            </w:r>
          </w:p>
        </w:tc>
      </w:tr>
      <w:tr>
        <w:tc>
          <w:tcPr>
            <w:tcW w:type="dxa" w:w="1701"/>
            <w:vAlign w:val="center"/>
            <w:shd w:fill="F2F2F2" w:val="clear"/>
          </w:tcPr>
          <w:p>
            <w:pPr>
              <w:spacing w:lineRule="exact" w:line="440" w:before="0" w:after="0"/>
              <w:jc w:val="both"/>
            </w:pPr>
            <w:r/>
            <w:r>
              <w:rPr>
                <w:rFonts w:ascii="仿宋_GB2312" w:hAnsi="仿宋_GB2312" w:eastAsia="WenQuanYi Zen Hei"/>
                <w:b w:val="0"/>
                <w:sz w:val="28"/>
              </w:rPr>
              <w:t>云服务器（AI推理）</w:t>
            </w:r>
          </w:p>
        </w:tc>
        <w:tc>
          <w:tcPr>
            <w:tcW w:type="dxa" w:w="2268"/>
            <w:vAlign w:val="center"/>
            <w:shd w:fill="F2F2F2" w:val="clear"/>
          </w:tcPr>
          <w:p>
            <w:pPr>
              <w:spacing w:lineRule="exact" w:line="440" w:before="0" w:after="0"/>
              <w:jc w:val="both"/>
            </w:pPr>
            <w:r/>
            <w:r>
              <w:rPr>
                <w:rFonts w:ascii="仿宋_GB2312" w:hAnsi="仿宋_GB2312" w:eastAsia="WenQuanYi Zen Hei"/>
                <w:b w:val="0"/>
                <w:sz w:val="28"/>
              </w:rPr>
              <w:t>16核64GB</w:t>
              <w:br/>
              <w:t>GPU: NVIDIA T4 16GB</w:t>
              <w:br/>
              <w:t>系统盘: 100GB SSD</w:t>
              <w:br/>
              <w:t>数据盘: 1TB SSD</w:t>
            </w:r>
          </w:p>
        </w:tc>
        <w:tc>
          <w:tcPr>
            <w:tcW w:type="dxa" w:w="850"/>
            <w:vAlign w:val="center"/>
            <w:shd w:fill="F2F2F2" w:val="clear"/>
          </w:tcPr>
          <w:p>
            <w:pPr>
              <w:spacing w:lineRule="exact" w:line="440" w:before="0" w:after="0"/>
              <w:jc w:val="both"/>
            </w:pPr>
            <w:r/>
            <w:r>
              <w:rPr>
                <w:rFonts w:ascii="仿宋_GB2312" w:hAnsi="仿宋_GB2312" w:eastAsia="WenQuanYi Zen Hei"/>
                <w:b w:val="0"/>
                <w:sz w:val="28"/>
              </w:rPr>
              <w:t>2台</w:t>
            </w:r>
          </w:p>
        </w:tc>
        <w:tc>
          <w:tcPr>
            <w:tcW w:type="dxa" w:w="3685"/>
            <w:vAlign w:val="center"/>
            <w:shd w:fill="F2F2F2" w:val="clear"/>
          </w:tcPr>
          <w:p>
            <w:pPr>
              <w:spacing w:lineRule="exact" w:line="440" w:before="0" w:after="0"/>
              <w:jc w:val="both"/>
            </w:pPr>
            <w:r/>
            <w:r>
              <w:rPr>
                <w:rFonts w:ascii="仿宋_GB2312" w:hAnsi="仿宋_GB2312" w:eastAsia="WenQuanYi Zen Hei"/>
                <w:b w:val="0"/>
                <w:sz w:val="28"/>
              </w:rPr>
              <w:t>部署AI推理引擎，承载大语言模型推理计算任务</w:t>
            </w:r>
          </w:p>
        </w:tc>
      </w:tr>
      <w:tr>
        <w:tc>
          <w:tcPr>
            <w:tcW w:type="dxa" w:w="1701"/>
            <w:vAlign w:val="center"/>
          </w:tcPr>
          <w:p>
            <w:pPr>
              <w:spacing w:lineRule="exact" w:line="440" w:before="0" w:after="0"/>
              <w:jc w:val="both"/>
            </w:pPr>
            <w:r/>
            <w:r>
              <w:rPr>
                <w:rFonts w:ascii="仿宋_GB2312" w:hAnsi="仿宋_GB2312" w:eastAsia="WenQuanYi Zen Hei"/>
                <w:b w:val="0"/>
                <w:sz w:val="28"/>
              </w:rPr>
              <w:t>云数据库</w:t>
            </w:r>
          </w:p>
        </w:tc>
        <w:tc>
          <w:tcPr>
            <w:tcW w:type="dxa" w:w="2268"/>
            <w:vAlign w:val="center"/>
          </w:tcPr>
          <w:p>
            <w:pPr>
              <w:spacing w:lineRule="exact" w:line="440" w:before="0" w:after="0"/>
              <w:jc w:val="both"/>
            </w:pPr>
            <w:r/>
            <w:r>
              <w:rPr>
                <w:rFonts w:ascii="仿宋_GB2312" w:hAnsi="仿宋_GB2312" w:eastAsia="WenQuanYi Zen Hei"/>
                <w:b w:val="0"/>
                <w:sz w:val="28"/>
              </w:rPr>
              <w:t>PostgreSQL 14</w:t>
              <w:br/>
              <w:t>8核32GB / 500GB SSD存储</w:t>
              <w:br/>
              <w:t>主备双节点高可用</w:t>
            </w:r>
          </w:p>
        </w:tc>
        <w:tc>
          <w:tcPr>
            <w:tcW w:type="dxa" w:w="850"/>
            <w:vAlign w:val="center"/>
          </w:tcPr>
          <w:p>
            <w:pPr>
              <w:spacing w:lineRule="exact" w:line="440" w:before="0" w:after="0"/>
              <w:jc w:val="both"/>
            </w:pPr>
            <w:r/>
            <w:r>
              <w:rPr>
                <w:rFonts w:ascii="仿宋_GB2312" w:hAnsi="仿宋_GB2312" w:eastAsia="WenQuanYi Zen Hei"/>
                <w:b w:val="0"/>
                <w:sz w:val="28"/>
              </w:rPr>
              <w:t>1套</w:t>
            </w:r>
          </w:p>
        </w:tc>
        <w:tc>
          <w:tcPr>
            <w:tcW w:type="dxa" w:w="3685"/>
            <w:vAlign w:val="center"/>
          </w:tcPr>
          <w:p>
            <w:pPr>
              <w:spacing w:lineRule="exact" w:line="440" w:before="0" w:after="0"/>
              <w:jc w:val="both"/>
            </w:pPr>
            <w:r/>
            <w:r>
              <w:rPr>
                <w:rFonts w:ascii="仿宋_GB2312" w:hAnsi="仿宋_GB2312" w:eastAsia="WenQuanYi Zen Hei"/>
                <w:b w:val="0"/>
                <w:sz w:val="28"/>
              </w:rPr>
              <w:t>承载业务数据与校对历史记录，主备自动切换</w:t>
            </w:r>
          </w:p>
        </w:tc>
      </w:tr>
      <w:tr>
        <w:tc>
          <w:tcPr>
            <w:tcW w:type="dxa" w:w="1701"/>
            <w:vAlign w:val="center"/>
            <w:shd w:fill="F2F2F2" w:val="clear"/>
          </w:tcPr>
          <w:p>
            <w:pPr>
              <w:spacing w:lineRule="exact" w:line="440" w:before="0" w:after="0"/>
              <w:jc w:val="both"/>
            </w:pPr>
            <w:r/>
            <w:r>
              <w:rPr>
                <w:rFonts w:ascii="仿宋_GB2312" w:hAnsi="仿宋_GB2312" w:eastAsia="WenQuanYi Zen Hei"/>
                <w:b w:val="0"/>
                <w:sz w:val="28"/>
              </w:rPr>
              <w:t>对象存储</w:t>
            </w:r>
          </w:p>
        </w:tc>
        <w:tc>
          <w:tcPr>
            <w:tcW w:type="dxa" w:w="2268"/>
            <w:vAlign w:val="center"/>
            <w:shd w:fill="F2F2F2" w:val="clear"/>
          </w:tcPr>
          <w:p>
            <w:pPr>
              <w:spacing w:lineRule="exact" w:line="440" w:before="0" w:after="0"/>
              <w:jc w:val="both"/>
            </w:pPr>
            <w:r/>
            <w:r>
              <w:rPr>
                <w:rFonts w:ascii="仿宋_GB2312" w:hAnsi="仿宋_GB2312" w:eastAsia="WenQuanYi Zen Hei"/>
                <w:b w:val="0"/>
                <w:sz w:val="28"/>
              </w:rPr>
              <w:t>标准存储 500GB</w:t>
              <w:br/>
              <w:t>数据自动冗余</w:t>
            </w:r>
          </w:p>
        </w:tc>
        <w:tc>
          <w:tcPr>
            <w:tcW w:type="dxa" w:w="850"/>
            <w:vAlign w:val="center"/>
            <w:shd w:fill="F2F2F2" w:val="clear"/>
          </w:tcPr>
          <w:p>
            <w:pPr>
              <w:spacing w:lineRule="exact" w:line="440" w:before="0" w:after="0"/>
              <w:jc w:val="both"/>
            </w:pPr>
            <w:r/>
            <w:r>
              <w:rPr>
                <w:rFonts w:ascii="仿宋_GB2312" w:hAnsi="仿宋_GB2312" w:eastAsia="WenQuanYi Zen Hei"/>
                <w:b w:val="0"/>
                <w:sz w:val="28"/>
              </w:rPr>
              <w:t>1套</w:t>
            </w:r>
          </w:p>
        </w:tc>
        <w:tc>
          <w:tcPr>
            <w:tcW w:type="dxa" w:w="3685"/>
            <w:vAlign w:val="center"/>
            <w:shd w:fill="F2F2F2" w:val="clear"/>
          </w:tcPr>
          <w:p>
            <w:pPr>
              <w:spacing w:lineRule="exact" w:line="440" w:before="0" w:after="0"/>
              <w:jc w:val="both"/>
            </w:pPr>
            <w:r/>
            <w:r>
              <w:rPr>
                <w:rFonts w:ascii="仿宋_GB2312" w:hAnsi="仿宋_GB2312" w:eastAsia="WenQuanYi Zen Hei"/>
                <w:b w:val="0"/>
                <w:sz w:val="28"/>
              </w:rPr>
              <w:t>存储校对文档、报告文件、系统附件等非结构化数据</w:t>
            </w:r>
          </w:p>
        </w:tc>
      </w:tr>
      <w:tr>
        <w:tc>
          <w:tcPr>
            <w:tcW w:type="dxa" w:w="1701"/>
            <w:vAlign w:val="center"/>
          </w:tcPr>
          <w:p>
            <w:pPr>
              <w:spacing w:lineRule="exact" w:line="440" w:before="0" w:after="0"/>
              <w:jc w:val="both"/>
            </w:pPr>
            <w:r/>
            <w:r>
              <w:rPr>
                <w:rFonts w:ascii="仿宋_GB2312" w:hAnsi="仿宋_GB2312" w:eastAsia="WenQuanYi Zen Hei"/>
                <w:b w:val="0"/>
                <w:sz w:val="28"/>
              </w:rPr>
              <w:t>安全资源</w:t>
            </w:r>
          </w:p>
        </w:tc>
        <w:tc>
          <w:tcPr>
            <w:tcW w:type="dxa" w:w="2268"/>
            <w:vAlign w:val="center"/>
          </w:tcPr>
          <w:p>
            <w:pPr>
              <w:spacing w:lineRule="exact" w:line="440" w:before="0" w:after="0"/>
              <w:jc w:val="both"/>
            </w:pPr>
            <w:r/>
            <w:r>
              <w:rPr>
                <w:rFonts w:ascii="仿宋_GB2312" w:hAnsi="仿宋_GB2312" w:eastAsia="WenQuanYi Zen Hei"/>
                <w:b w:val="0"/>
                <w:sz w:val="28"/>
              </w:rPr>
              <w:t>云防火墙 + 云堡垒机 + 云安全中心</w:t>
              <w:br/>
              <w:t>等保三级合规套件</w:t>
            </w:r>
          </w:p>
        </w:tc>
        <w:tc>
          <w:tcPr>
            <w:tcW w:type="dxa" w:w="850"/>
            <w:vAlign w:val="center"/>
          </w:tcPr>
          <w:p>
            <w:pPr>
              <w:spacing w:lineRule="exact" w:line="440" w:before="0" w:after="0"/>
              <w:jc w:val="both"/>
            </w:pPr>
            <w:r/>
            <w:r>
              <w:rPr>
                <w:rFonts w:ascii="仿宋_GB2312" w:hAnsi="仿宋_GB2312" w:eastAsia="WenQuanYi Zen Hei"/>
                <w:b w:val="0"/>
                <w:sz w:val="28"/>
              </w:rPr>
              <w:t>1套</w:t>
            </w:r>
          </w:p>
        </w:tc>
        <w:tc>
          <w:tcPr>
            <w:tcW w:type="dxa" w:w="3685"/>
            <w:vAlign w:val="center"/>
          </w:tcPr>
          <w:p>
            <w:pPr>
              <w:spacing w:lineRule="exact" w:line="440" w:before="0" w:after="0"/>
              <w:jc w:val="both"/>
            </w:pPr>
            <w:r/>
            <w:r>
              <w:rPr>
                <w:rFonts w:ascii="仿宋_GB2312" w:hAnsi="仿宋_GB2312" w:eastAsia="WenQuanYi Zen Hei"/>
                <w:b w:val="0"/>
                <w:sz w:val="28"/>
              </w:rPr>
              <w:t>提供网络安全、访问控制、安全审计等统一安全能力</w:t>
            </w:r>
          </w:p>
        </w:tc>
      </w:tr>
    </w:tbl>
    <w:p>
      <w:pPr>
        <w:spacing w:lineRule="exact" w:line="576" w:before="0" w:after="0"/>
        <w:jc w:val="both"/>
      </w:pPr>
      <w:r>
        <w:rPr>
          <w:rFonts w:ascii="仿宋_GB2312" w:hAnsi="仿宋_GB2312" w:eastAsia="WenQuanYi Zen Hei"/>
          <w:b/>
          <w:sz w:val="32"/>
        </w:rPr>
        <w:t>2.网络与安全合规</w:t>
      </w:r>
    </w:p>
    <w:p>
      <w:pPr>
        <w:spacing w:lineRule="exact" w:line="576" w:before="0" w:after="0"/>
        <w:ind w:firstLine="8128000"/>
        <w:jc w:val="both"/>
      </w:pPr>
      <w:r>
        <w:rPr>
          <w:rFonts w:ascii="仿宋_GB2312" w:hAnsi="仿宋_GB2312" w:eastAsia="WenQuanYi Zen Hei"/>
          <w:b w:val="0"/>
          <w:sz w:val="32"/>
        </w:rPr>
        <w:t>政务云部署方案严格遵循国家电子政务外网安全管理规范与等保三级要求，具体措施如下：</w:t>
      </w:r>
    </w:p>
    <w:p>
      <w:pPr>
        <w:spacing w:lineRule="exact" w:line="576" w:before="0" w:after="0"/>
        <w:ind w:firstLine="8128000"/>
        <w:jc w:val="both"/>
      </w:pPr>
      <w:r>
        <w:rPr>
          <w:rFonts w:ascii="仿宋_GB2312" w:hAnsi="仿宋_GB2312" w:eastAsia="WenQuanYi Zen Hei"/>
          <w:b w:val="0"/>
          <w:sz w:val="32"/>
        </w:rPr>
        <w:t>网络隔离。系统部署在电子政务外网独立VPC内，通过安全组策略实现与互联网及其他租户的逻辑隔离，仅开放必要的服务端口与访问策略。</w:t>
      </w:r>
    </w:p>
    <w:p>
      <w:pPr>
        <w:spacing w:lineRule="exact" w:line="576" w:before="0" w:after="0"/>
        <w:ind w:firstLine="8128000"/>
        <w:jc w:val="both"/>
      </w:pPr>
      <w:r>
        <w:rPr>
          <w:rFonts w:ascii="仿宋_GB2312" w:hAnsi="仿宋_GB2312" w:eastAsia="WenQuanYi Zen Hei"/>
          <w:b w:val="0"/>
          <w:sz w:val="32"/>
        </w:rPr>
        <w:t>数据加密。数据传输采用TLS 1.3协议加密，数据存储采用AES-256加密算法，密钥由政务云密钥管理服务（KMS）统一管理，确保数据全链路安全。</w:t>
      </w:r>
    </w:p>
    <w:p>
      <w:pPr>
        <w:spacing w:lineRule="exact" w:line="576" w:before="0" w:after="0"/>
        <w:ind w:firstLine="8128000"/>
        <w:jc w:val="both"/>
      </w:pPr>
      <w:r>
        <w:rPr>
          <w:rFonts w:ascii="仿宋_GB2312" w:hAnsi="仿宋_GB2312" w:eastAsia="WenQuanYi Zen Hei"/>
          <w:b w:val="0"/>
          <w:sz w:val="32"/>
        </w:rPr>
        <w:t>访问控制。通过统一身份认证平台实现单点登录，支持多因素认证；基于角色的访问控制（RBAC）精细划分用户权限，最小权限原则确保操作安全。</w:t>
      </w:r>
    </w:p>
    <w:p>
      <w:pPr>
        <w:spacing w:lineRule="exact" w:line="576" w:before="0" w:after="0"/>
        <w:ind w:firstLine="8128000"/>
        <w:jc w:val="both"/>
      </w:pPr>
      <w:r>
        <w:rPr>
          <w:rFonts w:ascii="仿宋_GB2312" w:hAnsi="仿宋_GB2312" w:eastAsia="WenQuanYi Zen Hei"/>
          <w:b w:val="0"/>
          <w:sz w:val="32"/>
        </w:rPr>
        <w:t>安全审计。全量操作日志实时采集，安全事件实时告警，定期出具安全审计报告，满足等保三级审计要求。</w:t>
      </w:r>
    </w:p>
    <w:p>
      <w:pPr>
        <w:spacing w:lineRule="exact" w:line="576" w:before="0" w:after="0"/>
        <w:ind w:firstLine="8128000"/>
        <w:jc w:val="both"/>
      </w:pPr>
      <w:r>
        <w:rPr>
          <w:rFonts w:ascii="仿宋_GB2312" w:hAnsi="仿宋_GB2312" w:eastAsia="WenQuanYi Zen Hei"/>
          <w:b w:val="0"/>
          <w:sz w:val="32"/>
        </w:rPr>
        <w:t>漏洞管理。云平台统一提供安全补丁与漏洞修复服务，确保操作系统、中间件、应用软件的安全补丁及时更新。</w:t>
      </w:r>
    </w:p>
    <w:p>
      <w:pPr>
        <w:spacing w:lineRule="exact" w:line="576" w:before="0" w:after="0"/>
        <w:jc w:val="both"/>
      </w:pPr>
      <w:r>
        <w:rPr>
          <w:rFonts w:ascii="仿宋_GB2312" w:hAnsi="仿宋_GB2312" w:eastAsia="WenQuanYi Zen Hei"/>
          <w:b/>
          <w:sz w:val="32"/>
        </w:rPr>
        <w:t>3.高可用设计</w:t>
      </w:r>
    </w:p>
    <w:p>
      <w:pPr>
        <w:spacing w:lineRule="exact" w:line="576" w:before="0" w:after="0"/>
        <w:ind w:firstLine="8128000"/>
        <w:jc w:val="both"/>
      </w:pPr>
      <w:r>
        <w:rPr>
          <w:rFonts w:ascii="仿宋_GB2312" w:hAnsi="仿宋_GB2312" w:eastAsia="WenQuanYi Zen Hei"/>
          <w:b w:val="0"/>
          <w:sz w:val="32"/>
        </w:rPr>
        <w:t>政务云部署方案充分利用云平台的高可用能力，确保业务连续性：</w:t>
      </w:r>
    </w:p>
    <w:p>
      <w:pPr>
        <w:spacing w:lineRule="exact" w:line="576" w:before="0" w:after="0"/>
        <w:ind w:firstLine="8128000"/>
        <w:jc w:val="both"/>
      </w:pPr>
      <w:r>
        <w:rPr>
          <w:rFonts w:ascii="仿宋_GB2312" w:hAnsi="仿宋_GB2312" w:eastAsia="WenQuanYi Zen Hei"/>
          <w:b w:val="0"/>
          <w:sz w:val="32"/>
        </w:rPr>
        <w:t>多可用区部署。应用服务器与AI推理服务器分别部署在不同可用区，单可用区故障时自动切换，RTO小于5分钟，RPO小于1分钟。</w:t>
      </w:r>
    </w:p>
    <w:p>
      <w:pPr>
        <w:spacing w:lineRule="exact" w:line="576" w:before="0" w:after="0"/>
        <w:ind w:firstLine="8128000"/>
        <w:jc w:val="both"/>
      </w:pPr>
      <w:r>
        <w:rPr>
          <w:rFonts w:ascii="仿宋_GB2312" w:hAnsi="仿宋_GB2312" w:eastAsia="WenQuanYi Zen Hei"/>
          <w:b w:val="0"/>
          <w:sz w:val="32"/>
        </w:rPr>
        <w:t>数据库主备高可用。云数据库采用主备双节点架构，主节点故障时自动切换至备节点，切换时间小于30秒，数据零丢失。</w:t>
      </w:r>
    </w:p>
    <w:p>
      <w:pPr>
        <w:spacing w:lineRule="exact" w:line="576" w:before="0" w:after="0"/>
        <w:ind w:firstLine="8128000"/>
        <w:jc w:val="both"/>
      </w:pPr>
      <w:r>
        <w:rPr>
          <w:rFonts w:ascii="仿宋_GB2312" w:hAnsi="仿宋_GB2312" w:eastAsia="WenQuanYi Zen Hei"/>
          <w:b w:val="0"/>
          <w:sz w:val="32"/>
        </w:rPr>
        <w:t>自动备份策略。数据库每日自动全量备份、每小时增量备份，备份保留30天；对象存储开启跨区域复制，确保数据容灾能力。</w:t>
      </w:r>
    </w:p>
    <w:p>
      <w:pPr>
        <w:spacing w:lineRule="exact" w:line="576" w:before="0" w:after="0"/>
        <w:ind w:firstLine="8128000"/>
        <w:jc w:val="both"/>
      </w:pPr>
      <w:r>
        <w:rPr>
          <w:rFonts w:ascii="仿宋_GB2312" w:hAnsi="仿宋_GB2312" w:eastAsia="WenQuanYi Zen Hei"/>
          <w:b w:val="0"/>
          <w:sz w:val="32"/>
        </w:rPr>
        <w:t>弹性伸缩。根据业务负载自动调整计算资源，高峰期自动扩容、低谷期自动缩容，保障服务稳定性的同时优化资源成本。</w:t>
      </w:r>
    </w:p>
    <w:p>
      <w:pPr>
        <w:spacing w:lineRule="exact" w:line="576" w:before="0" w:after="0"/>
        <w:ind w:firstLine="8128000"/>
        <w:jc w:val="both"/>
      </w:pPr>
      <w:r>
        <w:rPr>
          <w:rFonts w:ascii="仿宋_GB2312" w:hAnsi="仿宋_GB2312" w:eastAsia="WenQuanYi Zen Hei"/>
          <w:b w:val="0"/>
          <w:sz w:val="32"/>
        </w:rPr>
        <w:t>健康检查与自愈。云平台对全部服务实例进行实时健康检查，检测到异常实例自动重启或替换，无需人工干预。</w:t>
      </w:r>
    </w:p>
    <w:p>
      <w:pPr>
        <w:spacing w:lineRule="exact" w:line="576" w:before="0" w:after="0"/>
        <w:jc w:val="both"/>
      </w:pPr>
      <w:r>
        <w:rPr>
          <w:rFonts w:ascii="仿宋_GB2312" w:hAnsi="仿宋_GB2312" w:eastAsia="WenQuanYi Zen Hei"/>
          <w:b/>
          <w:sz w:val="32"/>
        </w:rPr>
        <w:t>4.政务服务集成</w:t>
      </w:r>
    </w:p>
    <w:p>
      <w:pPr>
        <w:spacing w:lineRule="exact" w:line="576" w:before="0" w:after="0"/>
        <w:ind w:firstLine="8128000"/>
        <w:jc w:val="both"/>
      </w:pPr>
      <w:r>
        <w:rPr>
          <w:rFonts w:ascii="仿宋_GB2312" w:hAnsi="仿宋_GB2312" w:eastAsia="WenQuanYi Zen Hei"/>
          <w:b w:val="0"/>
          <w:sz w:val="32"/>
        </w:rPr>
        <w:t>政务云部署方案可与电子政务外网现有政务服务体系深度集成：</w:t>
      </w:r>
    </w:p>
    <w:p>
      <w:pPr>
        <w:spacing w:lineRule="exact" w:line="576" w:before="0" w:after="0"/>
        <w:ind w:firstLine="8128000"/>
        <w:jc w:val="both"/>
      </w:pPr>
      <w:r>
        <w:rPr>
          <w:rFonts w:ascii="仿宋_GB2312" w:hAnsi="仿宋_GB2312" w:eastAsia="WenQuanYi Zen Hei"/>
          <w:b w:val="0"/>
          <w:sz w:val="32"/>
        </w:rPr>
        <w:t>统一身份认证。对接省级统一身份认证平台，实现单点登录与用户身份统一管理，用户无需重复注册与登录。</w:t>
      </w:r>
    </w:p>
    <w:p>
      <w:pPr>
        <w:spacing w:lineRule="exact" w:line="576" w:before="0" w:after="0"/>
        <w:ind w:firstLine="8128000"/>
        <w:jc w:val="both"/>
      </w:pPr>
      <w:r>
        <w:rPr>
          <w:rFonts w:ascii="仿宋_GB2312" w:hAnsi="仿宋_GB2312" w:eastAsia="WenQuanYi Zen Hei"/>
          <w:b w:val="0"/>
          <w:sz w:val="32"/>
        </w:rPr>
        <w:t>电子签章集成。对接电子签章系统，支持校对完成后直接进行电子签章，实现"校对-审批-签章"一站式文档处理。</w:t>
      </w:r>
    </w:p>
    <w:p>
      <w:pPr>
        <w:spacing w:lineRule="exact" w:line="576" w:before="0" w:after="0"/>
        <w:ind w:firstLine="8128000"/>
        <w:jc w:val="both"/>
      </w:pPr>
      <w:r>
        <w:rPr>
          <w:rFonts w:ascii="仿宋_GB2312" w:hAnsi="仿宋_GB2312" w:eastAsia="WenQuanYi Zen Hei"/>
          <w:b w:val="0"/>
          <w:sz w:val="32"/>
        </w:rPr>
        <w:t>公文交换对接。对接电子公文交换系统，校对完成的公文可直接推送至公文流转系统，实现校对与流转无缝衔接。</w:t>
      </w:r>
    </w:p>
    <w:p>
      <w:pPr>
        <w:spacing w:lineRule="exact" w:line="576" w:before="0" w:after="0"/>
        <w:ind w:firstLine="8128000"/>
        <w:jc w:val="both"/>
      </w:pPr>
      <w:r>
        <w:rPr>
          <w:rFonts w:ascii="仿宋_GB2312" w:hAnsi="仿宋_GB2312" w:eastAsia="WenQuanYi Zen Hei"/>
          <w:b w:val="0"/>
          <w:sz w:val="32"/>
        </w:rPr>
        <w:t>办公软件嵌入。支持以插件形式嵌入WPS、OFD等国产办公软件，用户在编辑文档时即可实时调用校对功能，无需切换系统。</w:t>
      </w:r>
    </w:p>
    <w:p>
      <w:pPr>
        <w:spacing w:lineRule="exact" w:line="576" w:before="0" w:after="0"/>
        <w:ind w:firstLine="8128000"/>
        <w:jc w:val="both"/>
      </w:pPr>
      <w:r>
        <w:rPr>
          <w:rFonts w:ascii="仿宋_GB2312" w:hAnsi="仿宋_GB2312" w:eastAsia="WenQuanYi Zen Hei"/>
          <w:b w:val="0"/>
          <w:sz w:val="32"/>
        </w:rPr>
        <w:t>数据共享交换。通过政务数据共享交换平台，实现校对知识库与规范的跨部门共享，提升整体公文质量水平。</w:t>
      </w:r>
    </w:p>
    <w:p>
      <w:pPr>
        <w:spacing w:lineRule="exact" w:line="576" w:before="0" w:after="0"/>
        <w:jc w:val="both"/>
      </w:pPr>
      <w:r>
        <w:rPr>
          <w:rFonts w:ascii="仿宋_GB2312" w:hAnsi="仿宋_GB2312" w:eastAsia="WenQuanYi Zen Hei"/>
          <w:b/>
          <w:sz w:val="32"/>
        </w:rPr>
        <w:t>5.运维服务保障</w:t>
      </w:r>
    </w:p>
    <w:p>
      <w:pPr>
        <w:spacing w:lineRule="exact" w:line="576" w:before="0" w:after="0"/>
        <w:ind w:firstLine="8128000"/>
        <w:jc w:val="both"/>
      </w:pPr>
      <w:r>
        <w:rPr>
          <w:rFonts w:ascii="仿宋_GB2312" w:hAnsi="仿宋_GB2312" w:eastAsia="WenQuanYi Zen Hei"/>
          <w:b w:val="0"/>
          <w:sz w:val="32"/>
        </w:rPr>
        <w:t>云平台托管运维。由政务云平台提供基础设施运维，包括服务器运行监控、网络运维、存储管理、安全防护等，减轻用户运维负担。</w:t>
      </w:r>
    </w:p>
    <w:p>
      <w:pPr>
        <w:spacing w:lineRule="exact" w:line="576" w:before="0" w:after="0"/>
        <w:ind w:firstLine="8128000"/>
        <w:jc w:val="both"/>
      </w:pPr>
      <w:r>
        <w:rPr>
          <w:rFonts w:ascii="仿宋_GB2312" w:hAnsi="仿宋_GB2312" w:eastAsia="WenQuanYi Zen Hei"/>
          <w:b w:val="0"/>
          <w:sz w:val="32"/>
        </w:rPr>
        <w:t>厂商远程运维。系统应用层由厂商提供远程运维服务，7×24小时监控，故障30分钟内响应，2小时内提供解决方案。</w:t>
      </w:r>
    </w:p>
    <w:p>
      <w:pPr>
        <w:spacing w:lineRule="exact" w:line="576" w:before="0" w:after="0"/>
        <w:ind w:firstLine="8128000"/>
        <w:jc w:val="both"/>
      </w:pPr>
      <w:r>
        <w:rPr>
          <w:rFonts w:ascii="仿宋_GB2312" w:hAnsi="仿宋_GB2312" w:eastAsia="WenQuanYi Zen Hei"/>
          <w:b w:val="0"/>
          <w:sz w:val="32"/>
        </w:rPr>
        <w:t>资源弹性调整。根据业务增长情况，按需调整云资源配置（CPU、内存、存储、GPU），调整即时生效，无需硬件采购等待。</w:t>
      </w:r>
    </w:p>
    <w:p>
      <w:pPr>
        <w:spacing w:lineRule="exact" w:line="576" w:before="0" w:after="0"/>
        <w:ind w:firstLine="8128000"/>
        <w:jc w:val="both"/>
      </w:pPr>
      <w:r>
        <w:rPr>
          <w:rFonts w:ascii="仿宋_GB2312" w:hAnsi="仿宋_GB2312" w:eastAsia="WenQuanYi Zen Hei"/>
          <w:b w:val="0"/>
          <w:sz w:val="32"/>
        </w:rPr>
        <w:t>定期安全评估。每季度一次安全评估，包括漏洞扫描、渗透测试、安全策略审计，确保系统持续满足等保三级要求。</w:t>
      </w:r>
    </w:p>
    <w:p>
      <w:pPr>
        <w:spacing w:lineRule="exact" w:line="576" w:before="0" w:after="0"/>
        <w:ind w:firstLine="8128000"/>
        <w:jc w:val="both"/>
      </w:pPr>
      <w:r>
        <w:rPr>
          <w:rFonts w:ascii="仿宋_GB2312" w:hAnsi="仿宋_GB2312" w:eastAsia="WenQuanYi Zen Hei"/>
          <w:b w:val="0"/>
          <w:sz w:val="32"/>
        </w:rPr>
        <w:t>版本持续更新。与本地部署方案保持同步更新节奏，云环境更新更加便捷，可实现在线热更新，业务零中断。</w:t>
      </w:r>
    </w:p>
    <w:p>
      <w:pPr>
        <w:spacing w:lineRule="exact" w:line="576" w:before="0" w:after="0"/>
        <w:jc w:val="both"/>
      </w:pPr>
      <w:r>
        <w:rPr>
          <w:rFonts w:ascii="仿宋_GB2312" w:hAnsi="仿宋_GB2312" w:eastAsia="WenQuanYi Zen Hei"/>
          <w:b w:val="0"/>
          <w:sz w:val="32"/>
        </w:rPr>
      </w:r>
    </w:p>
    <w:p>
      <w:pPr>
        <w:spacing w:lineRule="exact" w:line="576" w:before="0" w:after="0"/>
        <w:jc w:val="both"/>
      </w:pPr>
      <w:r>
        <w:rPr>
          <w:rFonts w:ascii="黑体" w:hAnsi="黑体" w:eastAsia="WenQuanYi Zen Hei"/>
          <w:b w:val="0"/>
          <w:sz w:val="32"/>
        </w:rPr>
        <w:t>七、项目实施计划</w:t>
      </w:r>
    </w:p>
    <w:p>
      <w:pPr>
        <w:spacing w:lineRule="exact" w:line="576" w:before="0" w:after="0"/>
        <w:ind w:firstLine="8128000"/>
        <w:jc w:val="both"/>
      </w:pPr>
      <w:r>
        <w:rPr>
          <w:rFonts w:ascii="仿宋_GB2312" w:hAnsi="仿宋_GB2312" w:eastAsia="WenQuanYi Zen Hei"/>
          <w:b w:val="0"/>
          <w:sz w:val="32"/>
        </w:rPr>
        <w:t>项目实施分为五个阶段，各阶段工作内容与交付物如下：</w:t>
      </w:r>
    </w:p>
    <w:tbl>
      <w:tblPr>
        <w:tblW w:type="auto" w:w="0"/>
        <w:jc w:val="center"/>
        <w:tblLayout w:type="fixed"/>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211"/>
        <w:gridCol w:w="2211"/>
        <w:gridCol w:w="2211"/>
        <w:gridCol w:w="2211"/>
      </w:tblGrid>
      <w:tr>
        <w:tc>
          <w:tcPr>
            <w:tcW w:type="dxa" w:w="1417"/>
            <w:vAlign w:val="center"/>
            <w:shd w:fill="D9E2F3" w:val="clear"/>
          </w:tcPr>
          <w:p>
            <w:pPr>
              <w:spacing w:lineRule="exact" w:line="440" w:before="0" w:after="0"/>
              <w:jc w:val="both"/>
            </w:pPr>
            <w:r/>
            <w:r>
              <w:rPr>
                <w:rFonts w:ascii="黑体" w:hAnsi="黑体" w:eastAsia="WenQuanYi Zen Hei"/>
                <w:b/>
                <w:sz w:val="28"/>
              </w:rPr>
              <w:t>阶段</w:t>
            </w:r>
          </w:p>
        </w:tc>
        <w:tc>
          <w:tcPr>
            <w:tcW w:type="dxa" w:w="2835"/>
            <w:vAlign w:val="center"/>
            <w:shd w:fill="D9E2F3" w:val="clear"/>
          </w:tcPr>
          <w:p>
            <w:pPr>
              <w:spacing w:lineRule="exact" w:line="440" w:before="0" w:after="0"/>
              <w:jc w:val="both"/>
            </w:pPr>
            <w:r/>
            <w:r>
              <w:rPr>
                <w:rFonts w:ascii="黑体" w:hAnsi="黑体" w:eastAsia="WenQuanYi Zen Hei"/>
                <w:b/>
                <w:sz w:val="28"/>
              </w:rPr>
              <w:t>工作内容</w:t>
            </w:r>
          </w:p>
        </w:tc>
        <w:tc>
          <w:tcPr>
            <w:tcW w:type="dxa" w:w="1984"/>
            <w:vAlign w:val="center"/>
            <w:shd w:fill="D9E2F3" w:val="clear"/>
          </w:tcPr>
          <w:p>
            <w:pPr>
              <w:spacing w:lineRule="exact" w:line="440" w:before="0" w:after="0"/>
              <w:jc w:val="both"/>
            </w:pPr>
            <w:r/>
            <w:r>
              <w:rPr>
                <w:rFonts w:ascii="黑体" w:hAnsi="黑体" w:eastAsia="WenQuanYi Zen Hei"/>
                <w:b/>
                <w:sz w:val="28"/>
              </w:rPr>
              <w:t>交付物</w:t>
            </w:r>
          </w:p>
        </w:tc>
        <w:tc>
          <w:tcPr>
            <w:tcW w:type="dxa" w:w="1701"/>
            <w:vAlign w:val="center"/>
            <w:shd w:fill="D9E2F3" w:val="clear"/>
          </w:tcPr>
          <w:p>
            <w:pPr>
              <w:spacing w:lineRule="exact" w:line="440" w:before="0" w:after="0"/>
              <w:jc w:val="both"/>
            </w:pPr>
            <w:r/>
            <w:r>
              <w:rPr>
                <w:rFonts w:ascii="黑体" w:hAnsi="黑体" w:eastAsia="WenQuanYi Zen Hei"/>
                <w:b/>
                <w:sz w:val="28"/>
              </w:rPr>
              <w:t>周期</w:t>
            </w:r>
          </w:p>
        </w:tc>
      </w:tr>
      <w:tr>
        <w:tc>
          <w:tcPr>
            <w:tcW w:type="dxa" w:w="1417"/>
            <w:vAlign w:val="center"/>
          </w:tcPr>
          <w:p>
            <w:pPr>
              <w:spacing w:lineRule="exact" w:line="440" w:before="0" w:after="0"/>
              <w:jc w:val="both"/>
            </w:pPr>
            <w:r/>
            <w:r>
              <w:rPr>
                <w:rFonts w:ascii="仿宋_GB2312" w:hAnsi="仿宋_GB2312" w:eastAsia="WenQuanYi Zen Hei"/>
                <w:b w:val="0"/>
                <w:sz w:val="28"/>
              </w:rPr>
              <w:t>第一阶段</w:t>
              <w:br/>
              <w:t>需求调研</w:t>
            </w:r>
          </w:p>
        </w:tc>
        <w:tc>
          <w:tcPr>
            <w:tcW w:type="dxa" w:w="2835"/>
            <w:vAlign w:val="center"/>
          </w:tcPr>
          <w:p>
            <w:pPr>
              <w:spacing w:lineRule="exact" w:line="440" w:before="0" w:after="0"/>
              <w:jc w:val="both"/>
            </w:pPr>
            <w:r/>
            <w:r>
              <w:rPr>
                <w:rFonts w:ascii="仿宋_GB2312" w:hAnsi="仿宋_GB2312" w:eastAsia="WenQuanYi Zen Hei"/>
                <w:b w:val="0"/>
                <w:sz w:val="28"/>
              </w:rPr>
              <w:t>深入了解用户业务场景、文档类型、安全要求</w:t>
              <w:br/>
              <w:t>梳理校对规则需求与知识库建设需求</w:t>
              <w:br/>
              <w:t>确认部署方案与技术架构</w:t>
            </w:r>
          </w:p>
        </w:tc>
        <w:tc>
          <w:tcPr>
            <w:tcW w:type="dxa" w:w="1984"/>
            <w:vAlign w:val="center"/>
          </w:tcPr>
          <w:p>
            <w:pPr>
              <w:spacing w:lineRule="exact" w:line="440" w:before="0" w:after="0"/>
              <w:jc w:val="both"/>
            </w:pPr>
            <w:r/>
            <w:r>
              <w:rPr>
                <w:rFonts w:ascii="仿宋_GB2312" w:hAnsi="仿宋_GB2312" w:eastAsia="WenQuanYi Zen Hei"/>
                <w:b w:val="0"/>
                <w:sz w:val="28"/>
              </w:rPr>
              <w:t>需求调研报告</w:t>
              <w:br/>
              <w:t>项目实施方案</w:t>
              <w:br/>
              <w:t>技术架构设计文档</w:t>
            </w:r>
          </w:p>
        </w:tc>
        <w:tc>
          <w:tcPr>
            <w:tcW w:type="dxa" w:w="1701"/>
            <w:vAlign w:val="center"/>
          </w:tcPr>
          <w:p>
            <w:pPr>
              <w:spacing w:lineRule="exact" w:line="440" w:before="0" w:after="0"/>
              <w:jc w:val="both"/>
            </w:pPr>
            <w:r/>
            <w:r>
              <w:rPr>
                <w:rFonts w:ascii="仿宋_GB2312" w:hAnsi="仿宋_GB2312" w:eastAsia="WenQuanYi Zen Hei"/>
                <w:b w:val="0"/>
                <w:sz w:val="28"/>
              </w:rPr>
              <w:t>1-2周</w:t>
            </w:r>
          </w:p>
        </w:tc>
      </w:tr>
      <w:tr>
        <w:tc>
          <w:tcPr>
            <w:tcW w:type="dxa" w:w="1417"/>
            <w:vAlign w:val="center"/>
            <w:shd w:fill="F2F2F2" w:val="clear"/>
          </w:tcPr>
          <w:p>
            <w:pPr>
              <w:spacing w:lineRule="exact" w:line="440" w:before="0" w:after="0"/>
              <w:jc w:val="both"/>
            </w:pPr>
            <w:r/>
            <w:r>
              <w:rPr>
                <w:rFonts w:ascii="仿宋_GB2312" w:hAnsi="仿宋_GB2312" w:eastAsia="WenQuanYi Zen Hei"/>
                <w:b w:val="0"/>
                <w:sz w:val="28"/>
              </w:rPr>
              <w:t>第二阶段</w:t>
              <w:br/>
              <w:t>系统部署</w:t>
            </w:r>
          </w:p>
        </w:tc>
        <w:tc>
          <w:tcPr>
            <w:tcW w:type="dxa" w:w="2835"/>
            <w:vAlign w:val="center"/>
            <w:shd w:fill="F2F2F2" w:val="clear"/>
          </w:tcPr>
          <w:p>
            <w:pPr>
              <w:spacing w:lineRule="exact" w:line="440" w:before="0" w:after="0"/>
              <w:jc w:val="both"/>
            </w:pPr>
            <w:r/>
            <w:r>
              <w:rPr>
                <w:rFonts w:ascii="仿宋_GB2312" w:hAnsi="仿宋_GB2312" w:eastAsia="WenQuanYi Zen Hei"/>
                <w:b w:val="0"/>
                <w:sz w:val="28"/>
              </w:rPr>
              <w:t>硬件采购与安装（本地部署方案）</w:t>
              <w:br/>
              <w:t>或云资源配置（政务云方案）</w:t>
              <w:br/>
              <w:t>软件环境搭建与基础组件部署</w:t>
            </w:r>
          </w:p>
        </w:tc>
        <w:tc>
          <w:tcPr>
            <w:tcW w:type="dxa" w:w="1984"/>
            <w:vAlign w:val="center"/>
            <w:shd w:fill="F2F2F2" w:val="clear"/>
          </w:tcPr>
          <w:p>
            <w:pPr>
              <w:spacing w:lineRule="exact" w:line="440" w:before="0" w:after="0"/>
              <w:jc w:val="both"/>
            </w:pPr>
            <w:r/>
            <w:r>
              <w:rPr>
                <w:rFonts w:ascii="仿宋_GB2312" w:hAnsi="仿宋_GB2312" w:eastAsia="WenQuanYi Zen Hei"/>
                <w:b w:val="0"/>
                <w:sz w:val="28"/>
              </w:rPr>
              <w:t>部署验收报告</w:t>
              <w:br/>
              <w:t>环境配置清单</w:t>
              <w:br/>
              <w:t>网络拓扑图</w:t>
            </w:r>
          </w:p>
        </w:tc>
        <w:tc>
          <w:tcPr>
            <w:tcW w:type="dxa" w:w="1701"/>
            <w:vAlign w:val="center"/>
            <w:shd w:fill="F2F2F2" w:val="clear"/>
          </w:tcPr>
          <w:p>
            <w:pPr>
              <w:spacing w:lineRule="exact" w:line="440" w:before="0" w:after="0"/>
              <w:jc w:val="both"/>
            </w:pPr>
            <w:r/>
            <w:r>
              <w:rPr>
                <w:rFonts w:ascii="仿宋_GB2312" w:hAnsi="仿宋_GB2312" w:eastAsia="WenQuanYi Zen Hei"/>
                <w:b w:val="0"/>
                <w:sz w:val="28"/>
              </w:rPr>
              <w:t>2-3周</w:t>
            </w:r>
          </w:p>
        </w:tc>
      </w:tr>
      <w:tr>
        <w:tc>
          <w:tcPr>
            <w:tcW w:type="dxa" w:w="1417"/>
            <w:vAlign w:val="center"/>
          </w:tcPr>
          <w:p>
            <w:pPr>
              <w:spacing w:lineRule="exact" w:line="440" w:before="0" w:after="0"/>
              <w:jc w:val="both"/>
            </w:pPr>
            <w:r/>
            <w:r>
              <w:rPr>
                <w:rFonts w:ascii="仿宋_GB2312" w:hAnsi="仿宋_GB2312" w:eastAsia="WenQuanYi Zen Hei"/>
                <w:b w:val="0"/>
                <w:sz w:val="28"/>
              </w:rPr>
              <w:t>第三阶段</w:t>
              <w:br/>
              <w:t>系统配置</w:t>
            </w:r>
          </w:p>
        </w:tc>
        <w:tc>
          <w:tcPr>
            <w:tcW w:type="dxa" w:w="2835"/>
            <w:vAlign w:val="center"/>
          </w:tcPr>
          <w:p>
            <w:pPr>
              <w:spacing w:lineRule="exact" w:line="440" w:before="0" w:after="0"/>
              <w:jc w:val="both"/>
            </w:pPr>
            <w:r/>
            <w:r>
              <w:rPr>
                <w:rFonts w:ascii="仿宋_GB2312" w:hAnsi="仿宋_GB2312" w:eastAsia="WenQuanYi Zen Hei"/>
                <w:b w:val="0"/>
                <w:sz w:val="28"/>
              </w:rPr>
              <w:t>模型部署与调优</w:t>
              <w:br/>
              <w:t>校对规则配置与自定义规则开发</w:t>
              <w:br/>
              <w:t>知识库初始化与业务数据导入</w:t>
            </w:r>
          </w:p>
        </w:tc>
        <w:tc>
          <w:tcPr>
            <w:tcW w:type="dxa" w:w="1984"/>
            <w:vAlign w:val="center"/>
          </w:tcPr>
          <w:p>
            <w:pPr>
              <w:spacing w:lineRule="exact" w:line="440" w:before="0" w:after="0"/>
              <w:jc w:val="both"/>
            </w:pPr>
            <w:r/>
            <w:r>
              <w:rPr>
                <w:rFonts w:ascii="仿宋_GB2312" w:hAnsi="仿宋_GB2312" w:eastAsia="WenQuanYi Zen Hei"/>
                <w:b w:val="0"/>
                <w:sz w:val="28"/>
              </w:rPr>
              <w:t>系统配置清单</w:t>
              <w:br/>
              <w:t>规则配置文档</w:t>
              <w:br/>
              <w:t>知识库初始化报告</w:t>
            </w:r>
          </w:p>
        </w:tc>
        <w:tc>
          <w:tcPr>
            <w:tcW w:type="dxa" w:w="1701"/>
            <w:vAlign w:val="center"/>
          </w:tcPr>
          <w:p>
            <w:pPr>
              <w:spacing w:lineRule="exact" w:line="440" w:before="0" w:after="0"/>
              <w:jc w:val="both"/>
            </w:pPr>
            <w:r/>
            <w:r>
              <w:rPr>
                <w:rFonts w:ascii="仿宋_GB2312" w:hAnsi="仿宋_GB2312" w:eastAsia="WenQuanYi Zen Hei"/>
                <w:b w:val="0"/>
                <w:sz w:val="28"/>
              </w:rPr>
              <w:t>1-2周</w:t>
            </w:r>
          </w:p>
        </w:tc>
      </w:tr>
      <w:tr>
        <w:tc>
          <w:tcPr>
            <w:tcW w:type="dxa" w:w="1417"/>
            <w:vAlign w:val="center"/>
            <w:shd w:fill="F2F2F2" w:val="clear"/>
          </w:tcPr>
          <w:p>
            <w:pPr>
              <w:spacing w:lineRule="exact" w:line="440" w:before="0" w:after="0"/>
              <w:jc w:val="both"/>
            </w:pPr>
            <w:r/>
            <w:r>
              <w:rPr>
                <w:rFonts w:ascii="仿宋_GB2312" w:hAnsi="仿宋_GB2312" w:eastAsia="WenQuanYi Zen Hei"/>
                <w:b w:val="0"/>
                <w:sz w:val="28"/>
              </w:rPr>
              <w:t>第四阶段</w:t>
              <w:br/>
              <w:t>测试验收</w:t>
            </w:r>
          </w:p>
        </w:tc>
        <w:tc>
          <w:tcPr>
            <w:tcW w:type="dxa" w:w="2835"/>
            <w:vAlign w:val="center"/>
            <w:shd w:fill="F2F2F2" w:val="clear"/>
          </w:tcPr>
          <w:p>
            <w:pPr>
              <w:spacing w:lineRule="exact" w:line="440" w:before="0" w:after="0"/>
              <w:jc w:val="both"/>
            </w:pPr>
            <w:r/>
            <w:r>
              <w:rPr>
                <w:rFonts w:ascii="仿宋_GB2312" w:hAnsi="仿宋_GB2312" w:eastAsia="WenQuanYi Zen Hei"/>
                <w:b w:val="0"/>
                <w:sz w:val="28"/>
              </w:rPr>
              <w:t>功能测试：全量功能验证</w:t>
              <w:br/>
              <w:t>性能测试：并发与响应时间测试</w:t>
              <w:br/>
              <w:t>安全测试：渗透测试与漏洞扫描</w:t>
              <w:br/>
              <w:t>用户验收测试（UAT）</w:t>
            </w:r>
          </w:p>
        </w:tc>
        <w:tc>
          <w:tcPr>
            <w:tcW w:type="dxa" w:w="1984"/>
            <w:vAlign w:val="center"/>
            <w:shd w:fill="F2F2F2" w:val="clear"/>
          </w:tcPr>
          <w:p>
            <w:pPr>
              <w:spacing w:lineRule="exact" w:line="440" w:before="0" w:after="0"/>
              <w:jc w:val="both"/>
            </w:pPr>
            <w:r/>
            <w:r>
              <w:rPr>
                <w:rFonts w:ascii="仿宋_GB2312" w:hAnsi="仿宋_GB2312" w:eastAsia="WenQuanYi Zen Hei"/>
                <w:b w:val="0"/>
                <w:sz w:val="28"/>
              </w:rPr>
              <w:t>测试报告</w:t>
              <w:br/>
              <w:t>安全评估报告</w:t>
              <w:br/>
              <w:t>用户验收确认书</w:t>
            </w:r>
          </w:p>
        </w:tc>
        <w:tc>
          <w:tcPr>
            <w:tcW w:type="dxa" w:w="1701"/>
            <w:vAlign w:val="center"/>
            <w:shd w:fill="F2F2F2" w:val="clear"/>
          </w:tcPr>
          <w:p>
            <w:pPr>
              <w:spacing w:lineRule="exact" w:line="440" w:before="0" w:after="0"/>
              <w:jc w:val="both"/>
            </w:pPr>
            <w:r/>
            <w:r>
              <w:rPr>
                <w:rFonts w:ascii="仿宋_GB2312" w:hAnsi="仿宋_GB2312" w:eastAsia="WenQuanYi Zen Hei"/>
                <w:b w:val="0"/>
                <w:sz w:val="28"/>
              </w:rPr>
              <w:t>1-2周</w:t>
            </w:r>
          </w:p>
        </w:tc>
      </w:tr>
      <w:tr>
        <w:tc>
          <w:tcPr>
            <w:tcW w:type="dxa" w:w="1417"/>
            <w:vAlign w:val="center"/>
          </w:tcPr>
          <w:p>
            <w:pPr>
              <w:spacing w:lineRule="exact" w:line="440" w:before="0" w:after="0"/>
              <w:jc w:val="both"/>
            </w:pPr>
            <w:r/>
            <w:r>
              <w:rPr>
                <w:rFonts w:ascii="仿宋_GB2312" w:hAnsi="仿宋_GB2312" w:eastAsia="WenQuanYi Zen Hei"/>
                <w:b w:val="0"/>
                <w:sz w:val="28"/>
              </w:rPr>
              <w:t>第五阶段</w:t>
              <w:br/>
              <w:t>上线运维</w:t>
            </w:r>
          </w:p>
        </w:tc>
        <w:tc>
          <w:tcPr>
            <w:tcW w:type="dxa" w:w="2835"/>
            <w:vAlign w:val="center"/>
          </w:tcPr>
          <w:p>
            <w:pPr>
              <w:spacing w:lineRule="exact" w:line="440" w:before="0" w:after="0"/>
              <w:jc w:val="both"/>
            </w:pPr>
            <w:r/>
            <w:r>
              <w:rPr>
                <w:rFonts w:ascii="仿宋_GB2312" w:hAnsi="仿宋_GB2312" w:eastAsia="WenQuanYi Zen Hei"/>
                <w:b w:val="0"/>
                <w:sz w:val="28"/>
              </w:rPr>
              <w:t>正式上线运行</w:t>
              <w:br/>
              <w:t>用户培训（管理员+操作员）</w:t>
              <w:br/>
              <w:t>运维体系建立与知识转移</w:t>
              <w:br/>
              <w:t>进入正式运维服务期</w:t>
            </w:r>
          </w:p>
        </w:tc>
        <w:tc>
          <w:tcPr>
            <w:tcW w:type="dxa" w:w="1984"/>
            <w:vAlign w:val="center"/>
          </w:tcPr>
          <w:p>
            <w:pPr>
              <w:spacing w:lineRule="exact" w:line="440" w:before="0" w:after="0"/>
              <w:jc w:val="both"/>
            </w:pPr>
            <w:r/>
            <w:r>
              <w:rPr>
                <w:rFonts w:ascii="仿宋_GB2312" w:hAnsi="仿宋_GB2312" w:eastAsia="WenQuanYi Zen Hei"/>
                <w:b w:val="0"/>
                <w:sz w:val="28"/>
              </w:rPr>
              <w:t>上线报告</w:t>
              <w:br/>
              <w:t>培训记录</w:t>
              <w:br/>
              <w:t>运维手册</w:t>
              <w:br/>
              <w:t>应急预案</w:t>
            </w:r>
          </w:p>
        </w:tc>
        <w:tc>
          <w:tcPr>
            <w:tcW w:type="dxa" w:w="1701"/>
            <w:vAlign w:val="center"/>
          </w:tcPr>
          <w:p>
            <w:pPr>
              <w:spacing w:lineRule="exact" w:line="440" w:before="0" w:after="0"/>
              <w:jc w:val="both"/>
            </w:pPr>
            <w:r/>
            <w:r>
              <w:rPr>
                <w:rFonts w:ascii="仿宋_GB2312" w:hAnsi="仿宋_GB2312" w:eastAsia="WenQuanYi Zen Hei"/>
                <w:b w:val="0"/>
                <w:sz w:val="28"/>
              </w:rPr>
              <w:t>1周</w:t>
            </w:r>
          </w:p>
        </w:tc>
      </w:tr>
    </w:tbl>
    <w:p>
      <w:pPr>
        <w:spacing w:lineRule="exact" w:line="576" w:before="0" w:after="0"/>
        <w:ind w:firstLine="8128000"/>
        <w:jc w:val="both"/>
      </w:pPr>
      <w:r>
        <w:rPr>
          <w:rFonts w:ascii="仿宋_GB2312" w:hAnsi="仿宋_GB2312" w:eastAsia="WenQuanYi Zen Hei"/>
          <w:b w:val="0"/>
          <w:sz w:val="32"/>
        </w:rPr>
        <w:t>总体实施周期：本地硬件私有化部署方案约6-10周，政务云电子政务外网部署方案约4-7周。</w:t>
      </w:r>
    </w:p>
    <w:p>
      <w:pPr>
        <w:spacing w:lineRule="exact" w:line="576" w:before="0" w:after="0"/>
        <w:jc w:val="both"/>
      </w:pPr>
      <w:r>
        <w:rPr>
          <w:rFonts w:ascii="仿宋_GB2312" w:hAnsi="仿宋_GB2312" w:eastAsia="WenQuanYi Zen Hei"/>
          <w:b w:val="0"/>
          <w:sz w:val="32"/>
        </w:rPr>
      </w:r>
    </w:p>
    <w:p>
      <w:pPr>
        <w:spacing w:lineRule="exact" w:line="576" w:before="0" w:after="0"/>
        <w:jc w:val="both"/>
      </w:pPr>
      <w:r>
        <w:rPr>
          <w:rFonts w:ascii="黑体" w:hAnsi="黑体" w:eastAsia="WenQuanYi Zen Hei"/>
          <w:b w:val="0"/>
          <w:sz w:val="32"/>
        </w:rPr>
        <w:t>八、售后服务与保障</w:t>
      </w:r>
    </w:p>
    <w:p>
      <w:pPr>
        <w:spacing w:lineRule="exact" w:line="576" w:before="0" w:after="0"/>
        <w:jc w:val="both"/>
      </w:pPr>
      <w:r>
        <w:rPr>
          <w:rFonts w:ascii="楷体_GB2312" w:hAnsi="楷体_GB2312" w:eastAsia="WenQuanYi Zen Hei"/>
          <w:b w:val="0"/>
          <w:sz w:val="32"/>
        </w:rPr>
        <w:t>（一）服务支持体系</w:t>
      </w:r>
    </w:p>
    <w:p>
      <w:pPr>
        <w:spacing w:lineRule="exact" w:line="576" w:before="0" w:after="0"/>
        <w:ind w:firstLine="8128000"/>
        <w:jc w:val="both"/>
      </w:pPr>
      <w:r>
        <w:rPr>
          <w:rFonts w:ascii="仿宋_GB2312" w:hAnsi="仿宋_GB2312" w:eastAsia="WenQuanYi Zen Hei"/>
          <w:b w:val="0"/>
          <w:sz w:val="32"/>
        </w:rPr>
        <w:t>热线支持。提供7×24小时技术支持热线，故障报修后30分钟内响应，2小时内提供解决方案，8小时内远程修复或现场到达。</w:t>
      </w:r>
    </w:p>
    <w:p>
      <w:pPr>
        <w:spacing w:lineRule="exact" w:line="576" w:before="0" w:after="0"/>
        <w:ind w:firstLine="8128000"/>
        <w:jc w:val="both"/>
      </w:pPr>
      <w:r>
        <w:rPr>
          <w:rFonts w:ascii="仿宋_GB2312" w:hAnsi="仿宋_GB2312" w:eastAsia="WenQuanYi Zen Hei"/>
          <w:b w:val="0"/>
          <w:sz w:val="32"/>
        </w:rPr>
        <w:t>远程支持。通过远程桌面、VPN等方式提供远程技术支持，快速定位并解决系统问题，减少故障影响时间。</w:t>
      </w:r>
    </w:p>
    <w:p>
      <w:pPr>
        <w:spacing w:lineRule="exact" w:line="576" w:before="0" w:after="0"/>
        <w:ind w:firstLine="8128000"/>
        <w:jc w:val="both"/>
      </w:pPr>
      <w:r>
        <w:rPr>
          <w:rFonts w:ascii="仿宋_GB2312" w:hAnsi="仿宋_GB2312" w:eastAsia="WenQuanYi Zen Hei"/>
          <w:b w:val="0"/>
          <w:sz w:val="32"/>
        </w:rPr>
        <w:t>现场支持。对远程无法解决的问题，24小时内派工程师到达现场处理，确保业务尽快恢复。</w:t>
      </w:r>
    </w:p>
    <w:p>
      <w:pPr>
        <w:spacing w:lineRule="exact" w:line="576" w:before="0" w:after="0"/>
        <w:ind w:firstLine="8128000"/>
        <w:jc w:val="both"/>
      </w:pPr>
      <w:r>
        <w:rPr>
          <w:rFonts w:ascii="仿宋_GB2312" w:hAnsi="仿宋_GB2312" w:eastAsia="WenQuanYi Zen Hei"/>
          <w:b w:val="0"/>
          <w:sz w:val="32"/>
        </w:rPr>
        <w:t>版本升级。每季度一次功能更新（小版本），每半年一次大版本升级，持续优化校对能力与用户体验。</w:t>
      </w:r>
    </w:p>
    <w:p>
      <w:pPr>
        <w:spacing w:lineRule="exact" w:line="576" w:before="0" w:after="0"/>
        <w:ind w:firstLine="8128000"/>
        <w:jc w:val="both"/>
      </w:pPr>
      <w:r>
        <w:rPr>
          <w:rFonts w:ascii="仿宋_GB2312" w:hAnsi="仿宋_GB2312" w:eastAsia="WenQuanYi Zen Hei"/>
          <w:b w:val="0"/>
          <w:sz w:val="32"/>
        </w:rPr>
        <w:t>知识转移。提供完整的系统运维手册与培训服务，确保用户具备基本的系统运维与故障排查能力。</w:t>
      </w:r>
    </w:p>
    <w:p>
      <w:pPr>
        <w:spacing w:lineRule="exact" w:line="576" w:before="0" w:after="0"/>
        <w:jc w:val="both"/>
      </w:pPr>
      <w:r>
        <w:rPr>
          <w:rFonts w:ascii="楷体_GB2312" w:hAnsi="楷体_GB2312" w:eastAsia="WenQuanYi Zen Hei"/>
          <w:b w:val="0"/>
          <w:sz w:val="32"/>
        </w:rPr>
        <w:t>（二）培训方案</w:t>
      </w:r>
    </w:p>
    <w:p>
      <w:pPr>
        <w:spacing w:lineRule="exact" w:line="576" w:before="0" w:after="0"/>
        <w:ind w:firstLine="8128000"/>
        <w:jc w:val="both"/>
      </w:pPr>
      <w:r>
        <w:rPr>
          <w:rFonts w:ascii="仿宋_GB2312" w:hAnsi="仿宋_GB2312" w:eastAsia="WenQuanYi Zen Hei"/>
          <w:b w:val="0"/>
          <w:sz w:val="32"/>
        </w:rPr>
        <w:t>管理员培训。培训内容：系统架构、部署配置、日常运维、故障排查、安全管理。培训时长：2天。培训方式：现场培训+实操演练。</w:t>
      </w:r>
    </w:p>
    <w:p>
      <w:pPr>
        <w:spacing w:lineRule="exact" w:line="576" w:before="0" w:after="0"/>
        <w:ind w:firstLine="8128000"/>
        <w:jc w:val="both"/>
      </w:pPr>
      <w:r>
        <w:rPr>
          <w:rFonts w:ascii="仿宋_GB2312" w:hAnsi="仿宋_GB2312" w:eastAsia="WenQuanYi Zen Hei"/>
          <w:b w:val="0"/>
          <w:sz w:val="32"/>
        </w:rPr>
        <w:t>操作员培训。培训内容：系统操作、校对功能使用、规则配置、报告导出。培训时长：1天。培训方式：现场培训+操作指导。</w:t>
      </w:r>
    </w:p>
    <w:p>
      <w:pPr>
        <w:spacing w:lineRule="exact" w:line="576" w:before="0" w:after="0"/>
        <w:ind w:firstLine="8128000"/>
        <w:jc w:val="both"/>
      </w:pPr>
      <w:r>
        <w:rPr>
          <w:rFonts w:ascii="仿宋_GB2312" w:hAnsi="仿宋_GB2312" w:eastAsia="WenQuanYi Zen Hei"/>
          <w:b w:val="0"/>
          <w:sz w:val="32"/>
        </w:rPr>
        <w:t>二次培训。提供培训课件与操作录屏，支持用户开展内部二次培训，确保全员掌握系统使用方法。</w:t>
      </w:r>
    </w:p>
    <w:p>
      <w:pPr>
        <w:spacing w:lineRule="exact" w:line="576" w:before="0" w:after="0"/>
        <w:jc w:val="both"/>
      </w:pPr>
      <w:r>
        <w:rPr>
          <w:rFonts w:ascii="仿宋_GB2312" w:hAnsi="仿宋_GB2312" w:eastAsia="WenQuanYi Zen Hei"/>
          <w:b w:val="0"/>
          <w:sz w:val="32"/>
        </w:rPr>
      </w:r>
    </w:p>
    <w:p>
      <w:pPr>
        <w:spacing w:lineRule="exact" w:line="576" w:before="0" w:after="0"/>
        <w:jc w:val="both"/>
      </w:pPr>
      <w:r>
        <w:rPr>
          <w:rFonts w:ascii="仿宋_GB2312" w:hAnsi="仿宋_GB2312" w:eastAsia="WenQuanYi Zen Hei"/>
          <w:b w:val="0"/>
          <w:sz w:val="32"/>
        </w:rPr>
      </w:r>
    </w:p>
    <w:p>
      <w:pPr>
        <w:spacing w:lineRule="exact" w:line="576"/>
        <w:jc w:val="right"/>
      </w:pPr>
      <w:r>
        <w:rPr>
          <w:rFonts w:ascii="仿宋_GB2312" w:hAnsi="仿宋_GB2312" w:eastAsia="WenQuanYi Zen Hei"/>
          <w:b w:val="0"/>
          <w:sz w:val="32"/>
        </w:rPr>
        <w:t>六合远教（成都）科技有限公司</w:t>
      </w:r>
    </w:p>
    <w:p>
      <w:pPr>
        <w:spacing w:lineRule="exact" w:line="576"/>
        <w:jc w:val="right"/>
      </w:pPr>
      <w:r>
        <w:rPr>
          <w:rFonts w:ascii="仿宋_GB2312" w:hAnsi="仿宋_GB2312" w:eastAsia="WenQuanYi Zen Hei"/>
          <w:b w:val="0"/>
          <w:sz w:val="32"/>
        </w:rPr>
        <w:t>2026年05月09日</w:t>
      </w:r>
    </w:p>
    <w:sectPr w:rsidR="00FC693F" w:rsidRPr="0006063C" w:rsidSect="00034616">
      <w:footerReference w:type="default" r:id="rId9"/>
      <w:pgSz w:w="11906" w:h="16838"/>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xml:space="preserve"> PAGE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