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800" w:lineRule="exact"/>
        <w:jc w:val="center"/>
      </w:pPr>
      <w:r>
        <w:rPr>
          <w:rFonts w:ascii="方正小标宋简体" w:hAnsi="方正小标宋简体" w:eastAsia="方正小标宋简体"/>
          <w:b/>
          <w:color w:val="FF0000"/>
          <w:sz w:val="44"/>
        </w:rPr>
        <w:t>六合远教（成都）科技有限公司</w:t>
      </w:r>
    </w:p>
    <w:p>
      <w:pPr>
        <w:spacing w:before="80" w:after="160" w:line="40" w:lineRule="exact"/>
        <w:jc w:val="center"/>
        <w:bottom w:val="single" w:sz="12" w:space="1" w:color="FF0000"/>
      </w:pPr>
    </w:p>
    <w:p>
      <w:pPr>
        <w:spacing w:before="160" w:after="80" w:line="576" w:lineRule="exact"/>
        <w:jc w:val="center"/>
      </w:pPr>
      <w:r>
        <w:rPr>
          <w:rFonts w:ascii="方正小标宋简体" w:hAnsi="方正小标宋简体" w:eastAsia="方正小标宋简体"/>
          <w:b/>
          <w:sz w:val="44"/>
        </w:rPr>
        <w:t>关于AI文章智能校对系统的情况汇报</w:t>
      </w:r>
    </w:p>
    <w:p>
      <w:pPr>
        <w:spacing w:before="0" w:after="40" w:line="576" w:lineRule="exact"/>
      </w:pPr>
      <w:r>
        <w:rPr>
          <w:rFonts w:ascii="仿宋_GB2312" w:hAnsi="仿宋_GB2312" w:eastAsia="仿宋_GB2312"/>
          <w:b w:val="0"/>
          <w:sz w:val="32"/>
        </w:rPr>
        <w:t>领导：</w:t>
      </w:r>
    </w:p>
    <w:p>
      <w:pPr>
        <w:spacing w:before="80" w:after="20" w:line="576" w:lineRule="exact"/>
      </w:pPr>
      <w:r>
        <w:rPr>
          <w:rFonts w:ascii="黑体" w:hAnsi="黑体" w:eastAsia="黑体"/>
          <w:b w:val="0"/>
          <w:sz w:val="32"/>
        </w:rPr>
        <w:t>一、系统是什么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一句话概括：这是一款"电子校对员"——用人工智能技术自动审读公文稿件，像经验丰富的老校对一样，逐字逐句找出错别字、语病、政治表述不规范等问题，并给出修改建议。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它靠三件事做到又快又准：一是"多双眼睛看同一篇文章"，同时调用多个人工智能模型交叉检查，一个没发现的错误另一个能补上，确保不漏；二是"带着规矩校对"，内置公文写作规范、政治表述标准等8类规则，不是随意改，而是有据可依；三是"数据不出门"，所有文档在本地处理和存储，不外传、不上云，从源头杜绝信息泄露。</w:t>
      </w:r>
    </w:p>
    <w:p>
      <w:pPr>
        <w:spacing w:before="80" w:after="20" w:line="576" w:lineRule="exact"/>
      </w:pPr>
      <w:r>
        <w:rPr>
          <w:rFonts w:ascii="黑体" w:hAnsi="黑体" w:eastAsia="黑体"/>
          <w:b w:val="0"/>
          <w:sz w:val="32"/>
        </w:rPr>
        <w:t>二、解决什么问题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422"/>
        <w:gridCol w:w="4422"/>
      </w:tblGrid>
      <w:tr>
        <w:tc>
          <w:tcPr>
            <w:tcW w:type="dxa" w:w="2551"/>
            <w:shd w:fill="D9E2F3" w:val="clear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8"/>
              </w:rPr>
              <w:t>当前痛点</w:t>
            </w:r>
          </w:p>
        </w:tc>
        <w:tc>
          <w:tcPr>
            <w:tcW w:type="dxa" w:w="5953"/>
            <w:shd w:fill="D9E2F3" w:val="clear"/>
          </w:tcPr>
          <w:p>
            <w:pPr>
              <w:jc w:val="center"/>
            </w:pPr>
            <w:r/>
            <w:r>
              <w:rPr>
                <w:rFonts w:ascii="黑体" w:hAnsi="黑体" w:eastAsia="黑体"/>
                <w:b/>
                <w:sz w:val="28"/>
              </w:rPr>
              <w:t>系统对策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仿宋_GB2312" w:hAnsi="仿宋_GB2312" w:eastAsia="仿宋_GB2312"/>
                <w:b w:val="0"/>
                <w:sz w:val="28"/>
              </w:rPr>
              <w:t>人工校对容易漏</w:t>
            </w:r>
          </w:p>
        </w:tc>
        <w:tc>
          <w:tcPr>
            <w:tcW w:type="dxa" w:w="5953"/>
          </w:tcPr>
          <w:p>
            <w:r/>
            <w:r>
              <w:rPr>
                <w:rFonts w:ascii="仿宋_GB2312" w:hAnsi="仿宋_GB2312" w:eastAsia="仿宋_GB2312"/>
                <w:b w:val="0"/>
                <w:sz w:val="28"/>
              </w:rPr>
              <w:t>多模型交叉检查，一个不漏另一个补上，守住"零漏检"底线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仿宋_GB2312" w:hAnsi="仿宋_GB2312" w:eastAsia="仿宋_GB2312"/>
                <w:b w:val="0"/>
                <w:sz w:val="28"/>
              </w:rPr>
              <w:t>校一遍要半天</w:t>
            </w:r>
          </w:p>
        </w:tc>
        <w:tc>
          <w:tcPr>
            <w:tcW w:type="dxa" w:w="5953"/>
          </w:tcPr>
          <w:p>
            <w:r/>
            <w:r>
              <w:rPr>
                <w:rFonts w:ascii="仿宋_GB2312" w:hAnsi="仿宋_GB2312" w:eastAsia="仿宋_GB2312"/>
                <w:b w:val="0"/>
                <w:sz w:val="28"/>
              </w:rPr>
              <w:t>几分钟出结果，速度比人工快50%以上[1]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仿宋_GB2312" w:hAnsi="仿宋_GB2312" w:eastAsia="仿宋_GB2312"/>
                <w:b w:val="0"/>
                <w:sz w:val="28"/>
              </w:rPr>
              <w:t>不同人标准不一样</w:t>
            </w:r>
          </w:p>
        </w:tc>
        <w:tc>
          <w:tcPr>
            <w:tcW w:type="dxa" w:w="5953"/>
          </w:tcPr>
          <w:p>
            <w:r/>
            <w:r>
              <w:rPr>
                <w:rFonts w:ascii="仿宋_GB2312" w:hAnsi="仿宋_GB2312" w:eastAsia="仿宋_GB2312"/>
                <w:b w:val="0"/>
                <w:sz w:val="28"/>
              </w:rPr>
              <w:t>统一规则库校对，同一把尺子量到底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仿宋_GB2312" w:hAnsi="仿宋_GB2312" w:eastAsia="仿宋_GB2312"/>
                <w:b w:val="0"/>
                <w:sz w:val="28"/>
              </w:rPr>
              <w:t>文档外传有风险</w:t>
            </w:r>
          </w:p>
        </w:tc>
        <w:tc>
          <w:tcPr>
            <w:tcW w:type="dxa" w:w="5953"/>
          </w:tcPr>
          <w:p>
            <w:r/>
            <w:r>
              <w:rPr>
                <w:rFonts w:ascii="仿宋_GB2312" w:hAnsi="仿宋_GB2312" w:eastAsia="仿宋_GB2312"/>
                <w:b w:val="0"/>
                <w:sz w:val="28"/>
              </w:rPr>
              <w:t>本地处理、本地存储，数据始终不出单位大门</w:t>
            </w:r>
          </w:p>
        </w:tc>
      </w:tr>
    </w:tbl>
    <w:p>
      <w:pPr>
        <w:spacing w:before="20"/>
      </w:pPr>
    </w:p>
    <w:p>
      <w:pPr>
        <w:spacing w:before="40" w:after="20" w:line="576" w:lineRule="exact"/>
      </w:pPr>
      <w:r>
        <w:rPr>
          <w:rFonts w:ascii="黑体" w:hAnsi="黑体" w:eastAsia="黑体"/>
          <w:b w:val="0"/>
          <w:sz w:val="32"/>
        </w:rPr>
        <w:t>三、带来什么效果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效率翻倍：过去一篇公文校对半小时起步，现在几分钟搞定，还能批量处理[1]。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质量兜底：机器不会疲劳、不会走神，再长的文稿也能从头到尾一个不放过，守住公文质量底线。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标准统一：所有稿件同一套规则校对，不再因人而异，从"人管质量"变成"系统管质量"。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安全可控：全文本地处理，数据不外传，杜绝因校对环节导致的信息泄露风险[1]。</w:t>
      </w:r>
    </w:p>
    <w:p>
      <w:pPr>
        <w:spacing w:before="80" w:after="20" w:line="576" w:lineRule="exact"/>
      </w:pPr>
      <w:r>
        <w:rPr>
          <w:rFonts w:ascii="黑体" w:hAnsi="黑体" w:eastAsia="黑体"/>
          <w:b w:val="0"/>
          <w:sz w:val="32"/>
        </w:rPr>
        <w:t>四、有什么影响力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已获验证：四川党建已上线使用，要求稿件初审和终审前必须过系统筛查，差错率下降85%，审校效率提升60%[1]。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场景全覆盖：从公文起草到政策校对、从学术论文到新闻稿件，一套系统覆盖各类文档审校需求[1]。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部署灵活：支持本地硬件安装和政务云两种方式，既能满足涉密单位物理隔离要求，也能适配电子政务外网统一部署。</w:t>
      </w:r>
    </w:p>
    <w:p>
      <w:pPr>
        <w:spacing w:before="0" w:after="20" w:line="576" w:lineRule="exact"/>
        <w:ind w:firstLine="640"/>
      </w:pPr>
      <w:r>
        <w:rPr>
          <w:rFonts w:ascii="仿宋_GB2312" w:hAnsi="仿宋_GB2312" w:eastAsia="仿宋_GB2312"/>
          <w:b w:val="0"/>
          <w:sz w:val="32"/>
        </w:rPr>
        <w:t>行业引领：将"人工审校"升级为"智能审校"，推动公文质量管控从经验依赖走向技术保障，为党政机关数字化转型提供可落地的样板。</w:t>
      </w:r>
    </w:p>
    <w:p>
      <w:pPr>
        <w:spacing w:before="320" w:after="0" w:line="576" w:lineRule="exact"/>
      </w:pPr>
      <w:r>
        <w:rPr>
          <w:rFonts w:ascii="仿宋_GB2312" w:hAnsi="仿宋_GB2312" w:eastAsia="仿宋_GB2312"/>
          <w:b w:val="0"/>
          <w:sz w:val="32"/>
        </w:rPr>
      </w:r>
    </w:p>
    <w:p>
      <w:pPr>
        <w:spacing w:before="0" w:after="0" w:line="576" w:lineRule="exact"/>
        <w:jc w:val="right"/>
      </w:pPr>
      <w:r>
        <w:rPr>
          <w:rFonts w:ascii="仿宋_GB2312" w:hAnsi="仿宋_GB2312" w:eastAsia="仿宋_GB2312"/>
          <w:b w:val="0"/>
          <w:sz w:val="32"/>
        </w:rPr>
        <w:t>六合远教（成都）科技有限公司</w:t>
      </w:r>
    </w:p>
    <w:p>
      <w:pPr>
        <w:spacing w:before="0" w:after="0" w:line="576" w:lineRule="exact"/>
        <w:jc w:val="right"/>
      </w:pPr>
      <w:r>
        <w:rPr>
          <w:rFonts w:ascii="仿宋_GB2312" w:hAnsi="仿宋_GB2312" w:eastAsia="仿宋_GB2312"/>
          <w:b w:val="0"/>
          <w:sz w:val="32"/>
        </w:rPr>
        <w:t>2026年5月</w:t>
      </w:r>
    </w:p>
    <w:sectPr w:rsidR="00FC693F" w:rsidRPr="0006063C" w:rsidSect="00034616">
      <w:footerReference w:type="default" r:id="rId9"/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仿宋_GB2312" w:hAnsi="仿宋_GB2312" w:eastAsia="仿宋_GB2312"/>
        <w:b w:val="0"/>
        <w:sz w:val="28"/>
      </w:rPr>
      <w:t xml:space="preserve">— </w:t>
    </w:r>
    <w:r>
      <w:fldChar w:fldCharType="begin"/>
    </w:r>
    <w:r>
      <w:instrText xml:space="preserve"> PAGE </w:instrText>
    </w:r>
    <w:r>
      <w:rPr>
        <w:rFonts w:ascii="仿宋_GB2312" w:hAnsi="仿宋_GB2312" w:eastAsia="仿宋_GB2312"/>
        <w:b w:val="0"/>
        <w:sz w:val="28"/>
      </w:rPr>
      <w:fldChar w:fldCharType="end"/>
    </w:r>
    <w:r>
      <w:rPr>
        <w:rFonts w:ascii="仿宋_GB2312" w:hAnsi="仿宋_GB2312" w:eastAsia="仿宋_GB2312"/>
        <w:b w:val="0"/>
        <w:sz w:val="28"/>
      </w:rPr>
      <w:t xml:space="preserve"> —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