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F3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72"/>
          <w:szCs w:val="72"/>
          <w:lang w:val="en-US" w:eastAsia="zh-CN"/>
        </w:rPr>
      </w:pPr>
    </w:p>
    <w:p w14:paraId="0F41F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72"/>
          <w:szCs w:val="72"/>
          <w:lang w:val="en-US" w:eastAsia="zh-CN"/>
        </w:rPr>
      </w:pPr>
    </w:p>
    <w:p w14:paraId="1B908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72"/>
          <w:szCs w:val="72"/>
          <w:lang w:val="en-US" w:eastAsia="zh-CN"/>
        </w:rPr>
      </w:pPr>
    </w:p>
    <w:p w14:paraId="63232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72"/>
          <w:szCs w:val="7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72"/>
          <w:szCs w:val="72"/>
          <w:lang w:val="en-US" w:eastAsia="zh-CN"/>
        </w:rPr>
        <w:t>东兴区委党校</w:t>
      </w:r>
    </w:p>
    <w:p w14:paraId="5625F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72"/>
          <w:szCs w:val="72"/>
          <w:lang w:eastAsia="zh-CN"/>
        </w:rPr>
      </w:pPr>
      <w:r>
        <w:rPr>
          <w:rFonts w:hint="default" w:ascii="Times New Roman" w:hAnsi="Times New Roman" w:eastAsia="方正小标宋简体" w:cs="Times New Roman"/>
          <w:sz w:val="72"/>
          <w:szCs w:val="72"/>
        </w:rPr>
        <w:t>202</w:t>
      </w:r>
      <w:r>
        <w:rPr>
          <w:rFonts w:hint="default" w:ascii="Times New Roman" w:hAnsi="Times New Roman" w:eastAsia="方正小标宋简体" w:cs="Times New Roman"/>
          <w:sz w:val="72"/>
          <w:szCs w:val="72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72"/>
          <w:szCs w:val="72"/>
        </w:rPr>
        <w:t>年部门预算</w:t>
      </w:r>
      <w:r>
        <w:rPr>
          <w:rFonts w:hint="default" w:ascii="Times New Roman" w:hAnsi="Times New Roman" w:eastAsia="方正小标宋简体" w:cs="Times New Roman"/>
          <w:sz w:val="72"/>
          <w:szCs w:val="72"/>
          <w:lang w:eastAsia="zh-CN"/>
        </w:rPr>
        <w:t>编制说明</w:t>
      </w:r>
    </w:p>
    <w:p w14:paraId="24A07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6F3D8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5EDD4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26738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5399D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34B1A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4309F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25D74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531D8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yellow"/>
          <w:lang w:val="en-US" w:eastAsia="zh-CN"/>
        </w:rPr>
      </w:pPr>
    </w:p>
    <w:p w14:paraId="629AD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yellow"/>
          <w:lang w:val="en-US" w:eastAsia="zh-CN"/>
        </w:rPr>
      </w:pPr>
    </w:p>
    <w:p w14:paraId="476F0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yellow"/>
          <w:lang w:val="en-US" w:eastAsia="zh-CN"/>
        </w:rPr>
      </w:pPr>
    </w:p>
    <w:p w14:paraId="5B4C9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yellow"/>
          <w:lang w:val="en-US" w:eastAsia="zh-CN"/>
        </w:rPr>
      </w:pPr>
    </w:p>
    <w:p w14:paraId="2C68A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yellow"/>
          <w:lang w:val="en-US" w:eastAsia="zh-CN"/>
        </w:rPr>
      </w:pPr>
    </w:p>
    <w:p w14:paraId="48863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yellow"/>
          <w:lang w:val="en-US" w:eastAsia="zh-CN"/>
        </w:rPr>
      </w:pPr>
    </w:p>
    <w:p w14:paraId="5F2E1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yellow"/>
          <w:lang w:val="en-US" w:eastAsia="zh-CN"/>
        </w:rPr>
      </w:pPr>
    </w:p>
    <w:p w14:paraId="2E727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yellow"/>
          <w:lang w:val="en-US" w:eastAsia="zh-CN"/>
        </w:rPr>
      </w:pPr>
    </w:p>
    <w:p w14:paraId="6C193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yellow"/>
          <w:lang w:val="en-US" w:eastAsia="zh-CN"/>
        </w:rPr>
      </w:pPr>
    </w:p>
    <w:p w14:paraId="34EC4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yellow"/>
          <w:lang w:val="en-US" w:eastAsia="zh-CN"/>
        </w:rPr>
      </w:pPr>
    </w:p>
    <w:p w14:paraId="0D330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960" w:firstLineChars="1100"/>
        <w:jc w:val="both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目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 xml:space="preserve">  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录</w:t>
      </w:r>
    </w:p>
    <w:p w14:paraId="5FDE2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</w:pPr>
    </w:p>
    <w:p w14:paraId="6F7A4A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</w:rPr>
        <w:t>基本职能及主要工作</w:t>
      </w:r>
    </w:p>
    <w:p w14:paraId="0073F3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</w:rPr>
        <w:t>二、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val="en-US" w:eastAsia="zh-CN"/>
        </w:rPr>
        <w:t>机构设置</w:t>
      </w:r>
    </w:p>
    <w:p w14:paraId="73A83B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</w:rPr>
        <w:t>三、收支预算情况说明</w:t>
      </w:r>
    </w:p>
    <w:p w14:paraId="28222C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</w:rPr>
        <w:t>四、财政拨款收支预算情况说明</w:t>
      </w:r>
    </w:p>
    <w:p w14:paraId="4C04AC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</w:rPr>
        <w:t>五、一般公共预算当年拨款情况说明</w:t>
      </w:r>
    </w:p>
    <w:p w14:paraId="087040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</w:rPr>
        <w:t>六、一般公共预算基本支出情况说明</w:t>
      </w:r>
    </w:p>
    <w:p w14:paraId="3B3885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</w:rPr>
        <w:t>七、“三公”经费财政拨款预算安排情况说明</w:t>
      </w:r>
    </w:p>
    <w:p w14:paraId="34C090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</w:rPr>
        <w:t>八、政府性基金预算支出情况说明</w:t>
      </w:r>
    </w:p>
    <w:p w14:paraId="1FE93B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eastAsia="zh-CN"/>
        </w:rPr>
        <w:t>九、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</w:rPr>
        <w:t>国有资本经营预算支出情况说明</w:t>
      </w:r>
    </w:p>
    <w:p w14:paraId="41EAC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</w:rPr>
        <w:t>十、其他重要事项的情况说明</w:t>
      </w:r>
    </w:p>
    <w:p w14:paraId="5A324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eastAsia="zh-CN"/>
        </w:rPr>
        <w:t>十一、名词解释</w:t>
      </w:r>
    </w:p>
    <w:p w14:paraId="60A55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  <w:lang w:eastAsia="zh-CN"/>
        </w:rPr>
      </w:pPr>
    </w:p>
    <w:p w14:paraId="4113F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  <w:lang w:eastAsia="zh-CN"/>
        </w:rPr>
      </w:pPr>
      <w:bookmarkStart w:id="0" w:name="_GoBack"/>
      <w:bookmarkEnd w:id="0"/>
    </w:p>
    <w:p w14:paraId="0A3F5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  <w:lang w:eastAsia="zh-CN"/>
        </w:rPr>
      </w:pPr>
    </w:p>
    <w:p w14:paraId="0405A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  <w:lang w:eastAsia="zh-CN"/>
        </w:rPr>
      </w:pPr>
    </w:p>
    <w:p w14:paraId="2D33A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  <w:lang w:eastAsia="zh-CN"/>
        </w:rPr>
      </w:pPr>
    </w:p>
    <w:p w14:paraId="046A9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  <w:lang w:eastAsia="zh-CN"/>
        </w:rPr>
      </w:pPr>
    </w:p>
    <w:p w14:paraId="5ECEB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  <w:lang w:eastAsia="zh-CN"/>
        </w:rPr>
      </w:pPr>
    </w:p>
    <w:p w14:paraId="5A365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  <w:lang w:eastAsia="zh-CN"/>
        </w:rPr>
      </w:pPr>
    </w:p>
    <w:p w14:paraId="77C31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  <w:lang w:eastAsia="zh-CN"/>
        </w:rPr>
      </w:pPr>
    </w:p>
    <w:p w14:paraId="4B991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  <w:lang w:eastAsia="zh-CN"/>
        </w:rPr>
      </w:pPr>
    </w:p>
    <w:p w14:paraId="35A5C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  <w:lang w:eastAsia="zh-CN"/>
        </w:rPr>
      </w:pPr>
    </w:p>
    <w:p w14:paraId="37F57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 w:bidi="bo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 w:bidi="bo-CN"/>
        </w:rPr>
        <w:t>东兴区委党校</w:t>
      </w:r>
    </w:p>
    <w:p w14:paraId="34E0D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333333"/>
          <w:sz w:val="44"/>
          <w:szCs w:val="44"/>
          <w:lang w:bidi="bo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 w:bidi="bo-CN"/>
        </w:rPr>
        <w:t>2026</w:t>
      </w:r>
      <w:r>
        <w:rPr>
          <w:rFonts w:hint="default" w:ascii="Times New Roman" w:hAnsi="Times New Roman" w:eastAsia="方正小标宋简体" w:cs="Times New Roman"/>
          <w:sz w:val="44"/>
          <w:szCs w:val="44"/>
          <w:lang w:bidi="bo-CN"/>
        </w:rPr>
        <w:t>年部门预算编制说明</w:t>
      </w:r>
    </w:p>
    <w:p w14:paraId="39A01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80" w:firstLineChars="350"/>
        <w:textAlignment w:val="auto"/>
        <w:rPr>
          <w:rFonts w:hint="default" w:ascii="Times New Roman" w:hAnsi="Times New Roman" w:eastAsia="仿宋_GB2312" w:cs="Times New Roman"/>
          <w:color w:val="333333"/>
          <w:sz w:val="28"/>
          <w:szCs w:val="28"/>
          <w:lang w:bidi="bo-CN"/>
        </w:rPr>
      </w:pPr>
    </w:p>
    <w:p w14:paraId="5A172F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  <w:lang w:val="en-US" w:eastAsia="zh-CN" w:bidi="bo-CN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t>基本职能及主要工作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</w:t>
      </w: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  <w:t>（一）部门职能简介</w:t>
      </w: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eastAsia="zh-CN" w:bidi="bo-CN"/>
        </w:rPr>
        <w:t>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根据相关文件规定，主要职责是为提高党员干部政策理论水平提供培训服务和党的路线、方针、政策、宣传、干部培训。　</w:t>
      </w: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  <w:t>　　（二）部门</w:t>
      </w: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eastAsia="zh-CN" w:bidi="bo-CN"/>
        </w:rPr>
        <w:t>2026</w:t>
      </w: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  <w:t>年重点工作</w:t>
      </w: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eastAsia="zh-CN" w:bidi="bo-CN"/>
        </w:rPr>
        <w:t>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1.抓好各类主体班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干部培训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2.围绕中心工作，搞好各类专题班培训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3.完成区委交办的其他各项工作任务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4.搞好社会调研和理论研究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5.改善校园环境办公条件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6.加强队伍建设，选送教职工参加各类进修培训。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t>二、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val="en-US" w:eastAsia="zh-CN" w:bidi="bo-CN"/>
        </w:rPr>
        <w:t>机构设置</w:t>
      </w:r>
    </w:p>
    <w:p w14:paraId="7B934C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val="en-US" w:eastAsia="zh-CN" w:bidi="bo-CN"/>
        </w:rPr>
        <w:t>（一）</w:t>
      </w: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eastAsia="zh-CN" w:bidi="bo-CN"/>
        </w:rPr>
        <w:t>部门为一级预算参公事业单位，下属无二级预算单位。</w:t>
      </w:r>
    </w:p>
    <w:p w14:paraId="4D456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val="en-US" w:eastAsia="zh-CN" w:bidi="bo-CN"/>
        </w:rPr>
        <w:t>（二）人员情况。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在职人员编制数 17人，其中：参公7人，事业专业技术人员9人，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事业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工勤人员 1人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实有人员1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人，其中：参公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人，事业专业技术人员9人，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事业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工勤人员1人，离休人员0人，退休人员 1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人，遗属补助人员1人。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t>三、收支预算情况说明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按照综合预算的原则，部门所有收入和支出均纳入部门预算管理。收入包括：一般公共预算拨款收入440.37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万元；支出包括：教育支出342.48万元、社会保障和就业支出72.27万元、卫生健康支出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16.24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万元、住房保障支出9.38万元。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部门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202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6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年收支总预算440.37万元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比2025年收支增加53.62万元，主要原因是：预算了退休人员一次性补贴和退休人员职业年金单位部分。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  <w:t>　　（一）收入预算情况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部门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2026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年收入预算440.37万元，其中：一般公共预算拨款收入440.37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万元，占收入的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100%。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  <w:t>　　（二）支出预算情况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 xml:space="preserve">    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部门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2026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年支出预算440.37万元，其中：基本支出380.37万元，占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86.38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%；项目支出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60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万元，占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13.62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%。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t>四、财政拨款收支预算情况说明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部门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2026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年财政拨款收支总预算440.37万元，较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2025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年增加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53.62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万元，主要原因是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预算了退休人员一次性补贴和退休人员职业年金单位部分。</w:t>
      </w:r>
    </w:p>
    <w:p w14:paraId="39041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收入包括：本年一般公共预算拨款收入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440.37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万元；支出包括：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教育支出342.48万元、社会保障和就业支出72.27万元、卫生健康支出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16.24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万元、住房保障支出9.38万元。</w:t>
      </w:r>
    </w:p>
    <w:p w14:paraId="0BE12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t>五、一般公共预算当年拨款情况说明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  <w:t>　　（一）一般公共预算当年拨款规模变化情况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部门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2026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年一般公共预算当年拨款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440.37万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元，比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2025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年预算数增加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53.62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主要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原因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是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预算了退休人员一次性补贴和退休人员职业年金单位部分。</w:t>
      </w:r>
    </w:p>
    <w:p w14:paraId="52E01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  <w:t>（二）一般公共预算当年拨款结构情况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教育支出342.48万元，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占77.77%；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社会保障和就业支出72.27万元，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占16.41%；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卫生健康支出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16.24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万元，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占3.69%；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住房保障支出9.38万元，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占2.13%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  <w:t>　　</w:t>
      </w:r>
    </w:p>
    <w:p w14:paraId="239B0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 w:firstLineChars="196"/>
        <w:textAlignment w:val="auto"/>
        <w:rPr>
          <w:rStyle w:val="5"/>
          <w:rFonts w:hint="default" w:ascii="Times New Roman" w:hAnsi="Times New Roman" w:eastAsia="仿宋_GB2312" w:cs="Times New Roman"/>
          <w:b w:val="0"/>
          <w:bCs w:val="0"/>
          <w:color w:val="333333"/>
          <w:sz w:val="32"/>
          <w:szCs w:val="32"/>
          <w:lang w:bidi="bo-CN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  <w:t>（三）一般公共预算当年拨款具体使用情况</w:t>
      </w:r>
    </w:p>
    <w:p w14:paraId="0D2E75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333333"/>
          <w:sz w:val="28"/>
          <w:szCs w:val="28"/>
        </w:rPr>
      </w:pPr>
      <w:r>
        <w:rPr>
          <w:rStyle w:val="5"/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1.</w:t>
      </w:r>
      <w:r>
        <w:rPr>
          <w:rStyle w:val="5"/>
          <w:rFonts w:hint="default" w:ascii="Times New Roman" w:hAnsi="Times New Roman" w:eastAsia="仿宋_GB2312" w:cs="Times New Roman"/>
          <w:color w:val="333333"/>
          <w:sz w:val="32"/>
          <w:szCs w:val="32"/>
        </w:rPr>
        <w:t>干部教育</w:t>
      </w:r>
      <w:r>
        <w:rPr>
          <w:rStyle w:val="5"/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2026年预算数为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320.68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万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color w:val="333333"/>
          <w:sz w:val="32"/>
          <w:szCs w:val="32"/>
          <w:lang w:val="en-US" w:eastAsia="zh-CN"/>
        </w:rPr>
        <w:t>元，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主要用于单位正常运转的基本支出，包括基本工资、津贴补贴等人员经费以及办公费、印刷费、水电费等日常公用经费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和东兴区干部培训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。</w:t>
      </w:r>
    </w:p>
    <w:p w14:paraId="7E3128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333333"/>
          <w:sz w:val="28"/>
          <w:szCs w:val="28"/>
        </w:rPr>
      </w:pPr>
      <w:r>
        <w:rPr>
          <w:rStyle w:val="5"/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2.培训支出：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2026年预算数为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21.8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主要用于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干部培训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。</w:t>
      </w:r>
    </w:p>
    <w:p w14:paraId="7C848F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Style w:val="5"/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r>
        <w:rPr>
          <w:rStyle w:val="5"/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3. 行政单位离退休：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2026年预算数为17.22万元，主要用于退休人员费用支出。</w:t>
      </w:r>
    </w:p>
    <w:p w14:paraId="24FA40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Style w:val="5"/>
          <w:rFonts w:hint="default" w:ascii="Times New Roman" w:hAnsi="Times New Roman" w:eastAsia="仿宋_GB2312" w:cs="Times New Roman"/>
          <w:b w:val="0"/>
          <w:bCs w:val="0"/>
          <w:color w:val="333333"/>
          <w:sz w:val="32"/>
          <w:szCs w:val="32"/>
          <w:lang w:val="en-US" w:eastAsia="zh-CN"/>
        </w:rPr>
      </w:pPr>
      <w:r>
        <w:rPr>
          <w:rStyle w:val="5"/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4.机关事业单位基本养老保险缴费支出：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2026年预算数为30.42万元，主要用于养老保险支出。</w:t>
      </w:r>
    </w:p>
    <w:p w14:paraId="533C69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r>
        <w:rPr>
          <w:rStyle w:val="5"/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5.机关事业单位职业年金缴费支出：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2026年预算数为23.64万元，主要用于职业年金支出。</w:t>
      </w:r>
    </w:p>
    <w:p w14:paraId="64C9E2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r>
        <w:rPr>
          <w:rStyle w:val="5"/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6.其他社会保障和就业支出：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2026年预算数为1万元，主要用于失业保险和工伤保险支出。</w:t>
      </w:r>
    </w:p>
    <w:p w14:paraId="4F0BA2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r>
        <w:rPr>
          <w:rStyle w:val="5"/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7.行政单位医疗支出：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2026年预算数为4.19万元，主要用于医疗保险支出。</w:t>
      </w:r>
    </w:p>
    <w:p w14:paraId="7268CE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r>
        <w:rPr>
          <w:rStyle w:val="5"/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8.事业单位医疗支出：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2026年预算数为9.56万元，主要用于医疗保险支出。</w:t>
      </w:r>
    </w:p>
    <w:p w14:paraId="162966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r>
        <w:rPr>
          <w:rStyle w:val="5"/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9.公务员医疗补助支出：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2026年预算数为2.48万元，主要用于补充医疗保险支出。</w:t>
      </w:r>
    </w:p>
    <w:p w14:paraId="21AAF8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333333"/>
          <w:spacing w:val="-11"/>
          <w:sz w:val="32"/>
          <w:szCs w:val="32"/>
          <w:lang w:bidi="bo-CN"/>
        </w:rPr>
      </w:pPr>
      <w:r>
        <w:rPr>
          <w:rStyle w:val="5"/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10.住房公积金支出：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2026年预算数为9.38万元，主要用于住房公积金支出。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t>六、一般公共预算基本支出情况说明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部门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2026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年一般公共预算基本支出380.37万元，其中：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人员经费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349.86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万元，主要包括：基本工资90.21万元、津贴补贴18.83万元、奖金28.14万元、绩效工资69.62万元、机关事业单位基本养老保险缴费30.42万元、职业年金缴费23.64万元、 职工基本医疗保险缴费11.28万元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、  公务员医疗补助缴费2.48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、其他社会保障缴费1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、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住房公积金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24.77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、医疗费1.28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、生活补助47.01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、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医疗费补助1.2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公用经费30.51万元，主要包括：办公费10.63万元、印刷费0.7万元、手续费0.1万元、邮电费0.15万元、差旅费6万元、培训费0.8万元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、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公务接待费0.24万元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、专用材料费0.44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、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劳务费0.15万元、工会经费5.58万元、其他交通费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用4.97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、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其他商品和服务0.75万元。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t>七、“三公”经费财政拨款预算安排情况说明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部门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2026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年“三公”经费财政拨款预算数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0.24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与2025年持平。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其中：因公出国（境）经费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0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</w:t>
      </w:r>
      <w:r>
        <w:rPr>
          <w:rFonts w:hint="default" w:ascii="Times New Roman" w:hAnsi="Times New Roman" w:eastAsia="仿宋_GB2312" w:cs="Times New Roman"/>
          <w:color w:val="333333"/>
          <w:spacing w:val="-11"/>
          <w:sz w:val="32"/>
          <w:szCs w:val="32"/>
          <w:lang w:bidi="bo-CN"/>
        </w:rPr>
        <w:t>元，公务接待费</w:t>
      </w:r>
      <w:r>
        <w:rPr>
          <w:rFonts w:hint="default" w:ascii="Times New Roman" w:hAnsi="Times New Roman" w:eastAsia="仿宋_GB2312" w:cs="Times New Roman"/>
          <w:color w:val="333333"/>
          <w:spacing w:val="-11"/>
          <w:sz w:val="32"/>
          <w:szCs w:val="32"/>
          <w:lang w:val="en-US" w:eastAsia="zh-CN" w:bidi="bo-CN"/>
        </w:rPr>
        <w:t>0.24</w:t>
      </w:r>
      <w:r>
        <w:rPr>
          <w:rFonts w:hint="default" w:ascii="Times New Roman" w:hAnsi="Times New Roman" w:eastAsia="仿宋_GB2312" w:cs="Times New Roman"/>
          <w:color w:val="333333"/>
          <w:spacing w:val="-11"/>
          <w:sz w:val="32"/>
          <w:szCs w:val="32"/>
          <w:lang w:bidi="bo-CN"/>
        </w:rPr>
        <w:t xml:space="preserve">万元，公务用车购置及运行维护费 </w:t>
      </w:r>
      <w:r>
        <w:rPr>
          <w:rFonts w:hint="default" w:ascii="Times New Roman" w:hAnsi="Times New Roman" w:eastAsia="仿宋_GB2312" w:cs="Times New Roman"/>
          <w:color w:val="333333"/>
          <w:spacing w:val="-11"/>
          <w:sz w:val="32"/>
          <w:szCs w:val="32"/>
          <w:lang w:val="en-US" w:eastAsia="zh-CN" w:bidi="bo-CN"/>
        </w:rPr>
        <w:t>0</w:t>
      </w:r>
      <w:r>
        <w:rPr>
          <w:rFonts w:hint="default" w:ascii="Times New Roman" w:hAnsi="Times New Roman" w:eastAsia="仿宋_GB2312" w:cs="Times New Roman"/>
          <w:color w:val="333333"/>
          <w:spacing w:val="-11"/>
          <w:sz w:val="32"/>
          <w:szCs w:val="32"/>
          <w:lang w:bidi="bo-CN"/>
        </w:rPr>
        <w:t>万元。</w:t>
      </w:r>
    </w:p>
    <w:p w14:paraId="6816DA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333333"/>
          <w:sz w:val="32"/>
          <w:szCs w:val="32"/>
          <w:lang w:val="en-US" w:eastAsia="zh-CN" w:bidi="bo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333333"/>
          <w:sz w:val="32"/>
          <w:szCs w:val="32"/>
          <w:lang w:eastAsia="zh-CN" w:bidi="bo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333333"/>
          <w:sz w:val="32"/>
          <w:szCs w:val="32"/>
          <w:lang w:val="en-US" w:eastAsia="zh-CN" w:bidi="bo-CN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color w:val="333333"/>
          <w:sz w:val="32"/>
          <w:szCs w:val="32"/>
          <w:lang w:eastAsia="zh-CN" w:bidi="bo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333333"/>
          <w:sz w:val="32"/>
          <w:szCs w:val="32"/>
          <w:lang w:bidi="bo-CN"/>
        </w:rPr>
        <w:t>因公出国（境）经费</w:t>
      </w:r>
      <w:r>
        <w:rPr>
          <w:rFonts w:hint="default" w:ascii="Times New Roman" w:hAnsi="Times New Roman" w:eastAsia="仿宋_GB2312" w:cs="Times New Roman"/>
          <w:b w:val="0"/>
          <w:bCs w:val="0"/>
          <w:color w:val="333333"/>
          <w:sz w:val="32"/>
          <w:szCs w:val="32"/>
          <w:lang w:val="en-US" w:eastAsia="zh-CN" w:bidi="bo-CN"/>
        </w:rPr>
        <w:t>0万元。</w:t>
      </w:r>
    </w:p>
    <w:p w14:paraId="4801B6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333333"/>
          <w:sz w:val="32"/>
          <w:szCs w:val="32"/>
          <w:lang w:bidi="bo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333333"/>
          <w:sz w:val="32"/>
          <w:szCs w:val="32"/>
          <w:lang w:val="en-US" w:eastAsia="zh-CN" w:bidi="bo-CN"/>
        </w:rPr>
        <w:t>（二）公务接待费0.24万元，与2025年预算持平。</w:t>
      </w:r>
      <w:r>
        <w:rPr>
          <w:rFonts w:hint="default" w:ascii="Times New Roman" w:hAnsi="Times New Roman" w:eastAsia="仿宋_GB2312" w:cs="Times New Roman"/>
          <w:b w:val="0"/>
          <w:bCs w:val="0"/>
          <w:color w:val="333333"/>
          <w:sz w:val="32"/>
          <w:szCs w:val="32"/>
          <w:lang w:bidi="bo-CN"/>
        </w:rPr>
        <w:t>　　</w:t>
      </w:r>
    </w:p>
    <w:p w14:paraId="4E00DE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333333"/>
          <w:sz w:val="32"/>
          <w:szCs w:val="32"/>
          <w:lang w:eastAsia="zh-CN" w:bidi="bo-CN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color w:val="333333"/>
          <w:sz w:val="32"/>
          <w:szCs w:val="32"/>
          <w:lang w:bidi="bo-CN"/>
        </w:rPr>
        <w:t>公务用车购置及运行维护费</w:t>
      </w:r>
      <w:r>
        <w:rPr>
          <w:rFonts w:hint="default" w:ascii="Times New Roman" w:hAnsi="Times New Roman" w:eastAsia="仿宋_GB2312" w:cs="Times New Roman"/>
          <w:b w:val="0"/>
          <w:bCs w:val="0"/>
          <w:color w:val="333333"/>
          <w:sz w:val="32"/>
          <w:szCs w:val="32"/>
          <w:lang w:val="en-US" w:eastAsia="zh-CN" w:bidi="bo-CN"/>
        </w:rPr>
        <w:t>0万元</w:t>
      </w:r>
      <w:r>
        <w:rPr>
          <w:rFonts w:hint="default" w:ascii="Times New Roman" w:hAnsi="Times New Roman" w:eastAsia="仿宋_GB2312" w:cs="Times New Roman"/>
          <w:b w:val="0"/>
          <w:bCs w:val="0"/>
          <w:color w:val="333333"/>
          <w:sz w:val="32"/>
          <w:szCs w:val="32"/>
          <w:lang w:bidi="bo-CN"/>
        </w:rPr>
        <w:t>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t>　八、政府性基金预算支出情况说明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部门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202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6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年政府性基金预算支出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0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。</w:t>
      </w:r>
    </w:p>
    <w:p w14:paraId="0841DF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val="en-US" w:eastAsia="zh-CN" w:bidi="bo-CN"/>
        </w:rPr>
        <w:t>九、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t>国有资本经营预算支出情况说明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部门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202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6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年国有资本经营预算支出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0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t>　　十、其他重要事项的情况说明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  <w:t>　　（一）机关运行经费</w:t>
      </w: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</w:t>
      </w:r>
      <w:r>
        <w:rPr>
          <w:rFonts w:hint="default" w:ascii="Times New Roman" w:hAnsi="Times New Roman" w:eastAsia="仿宋_GB2312" w:cs="Times New Roman"/>
          <w:color w:val="333333"/>
          <w:spacing w:val="6"/>
          <w:sz w:val="32"/>
          <w:szCs w:val="32"/>
          <w:lang w:eastAsia="zh-CN" w:bidi="bo-CN"/>
        </w:rPr>
        <w:t>2026</w:t>
      </w:r>
      <w:r>
        <w:rPr>
          <w:rFonts w:hint="default" w:ascii="Times New Roman" w:hAnsi="Times New Roman" w:eastAsia="仿宋_GB2312" w:cs="Times New Roman"/>
          <w:color w:val="333333"/>
          <w:spacing w:val="6"/>
          <w:sz w:val="32"/>
          <w:szCs w:val="32"/>
          <w:lang w:bidi="bo-CN"/>
        </w:rPr>
        <w:t>年，部门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机关运行经费财政拨款预算为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30.51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万元，比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2025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年预算减少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8.44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万元，降低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21.67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%。主要原因是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减少单项定额公用经费预算。</w:t>
      </w: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  <w:t>　　</w:t>
      </w:r>
    </w:p>
    <w:p w14:paraId="0A76F3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  <w:t>（二）政府采购情况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2026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年，部门安排政府采购预算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0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  <w:t>　　（三）国有资产占有使用情况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截至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2025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年底，部门所属各预算单位共有车辆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0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辆。单位价值200万元以上大型设备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0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台（套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）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  <w:t>　　</w:t>
      </w:r>
    </w:p>
    <w:p w14:paraId="3ECF22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bidi="bo-CN"/>
        </w:rPr>
        <w:t>（四）绩效目标设置情况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绩效目标是预算编制的前提和基础，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2026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年部门编制了部门整体绩效目标，同时所有项目支出均按要求实行绩效目标管理，涉及一般公共预算当年拨款440.37万元。部门开展绩效目标管理的项目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1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个，涉及预算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60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万元。其中：人员类项目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0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 xml:space="preserve">个，涉及预算 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0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万元；运转类项目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1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个，涉及预算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60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万元；特定目标类项目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 xml:space="preserve"> 0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个，涉及预算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 w:bidi="bo-CN"/>
        </w:rPr>
        <w:t>0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万元。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t>　　十一、名词解释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（根据《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2026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年政府收支分类科目》及各部门实际情况对各收支科目名称进行解释。）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附件：表1.部门收支总表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　　　表1-1.部门收入总表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　　　表1-2.部门支出总表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　　　表2.财政拨款收支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预算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总表</w:t>
      </w:r>
    </w:p>
    <w:p w14:paraId="570F5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587" w:firstLineChars="496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表2-1 财政拨款支出预算表（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部门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经济分类科目）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　　　表3.一般公共预算支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出预算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　　　表3-1.一般公共预算基本支出预算表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　　　表3-2.一般公共预算项目支出预算表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　　　表3-3.一般公共预算“三公”经费支出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预算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　　　表4.政府性基金支出预算表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　　　表4-1.政府性基金预算“三公”经费支出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预算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br w:type="textWrapping"/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　　　　　表5.国有资本经营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预算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支出预算表</w:t>
      </w:r>
    </w:p>
    <w:p w14:paraId="10CDF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 xml:space="preserve">      表6.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区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级部门整体支出绩效目标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管理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表</w:t>
      </w:r>
    </w:p>
    <w:p w14:paraId="6E0B4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 xml:space="preserve">      表6-1.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2026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bidi="bo-CN"/>
        </w:rPr>
        <w:t>年部门预算项目绩效目标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 w:bidi="bo-CN"/>
        </w:rPr>
        <w:t>表</w:t>
      </w:r>
    </w:p>
    <w:p w14:paraId="2B8D2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ACAFE">
    <w:pPr>
      <w:pStyle w:val="2"/>
      <w:ind w:right="360"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5DE5CA">
                          <w:pPr>
                            <w:pStyle w:val="2"/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5DE5CA">
                    <w:pPr>
                      <w:pStyle w:val="2"/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60DD02"/>
    <w:multiLevelType w:val="singleLevel"/>
    <w:tmpl w:val="2860DD0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3YWIwNjMzMTgxNmYzYjBlOTI0MGQyZGUyNmRlZDIifQ=="/>
  </w:docVars>
  <w:rsids>
    <w:rsidRoot w:val="6664002D"/>
    <w:rsid w:val="023E2E17"/>
    <w:rsid w:val="0C832133"/>
    <w:rsid w:val="0CD42E13"/>
    <w:rsid w:val="0D1A1FC9"/>
    <w:rsid w:val="0DB8731C"/>
    <w:rsid w:val="0FC1695C"/>
    <w:rsid w:val="1B3A75C2"/>
    <w:rsid w:val="1BB750B7"/>
    <w:rsid w:val="2CF263E3"/>
    <w:rsid w:val="321921D0"/>
    <w:rsid w:val="36A36080"/>
    <w:rsid w:val="42674891"/>
    <w:rsid w:val="45D862F6"/>
    <w:rsid w:val="47420269"/>
    <w:rsid w:val="5156444F"/>
    <w:rsid w:val="549D4AEF"/>
    <w:rsid w:val="5CCC1A69"/>
    <w:rsid w:val="5EDA66BF"/>
    <w:rsid w:val="6664002D"/>
    <w:rsid w:val="792702FB"/>
    <w:rsid w:val="7940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qFormat/>
    <w:uiPriority w:val="0"/>
    <w:rPr>
      <w:b/>
      <w:bCs/>
    </w:rPr>
  </w:style>
  <w:style w:type="character" w:styleId="6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2500</Words>
  <Characters>2940</Characters>
  <Lines>0</Lines>
  <Paragraphs>0</Paragraphs>
  <TotalTime>13</TotalTime>
  <ScaleCrop>false</ScaleCrop>
  <LinksUpToDate>false</LinksUpToDate>
  <CharactersWithSpaces>3092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2025-01-23T01:06:00Z</dcterms:created>
  <dc:creator>Administrator</dc:creator>
  <cp:lastModifiedBy>henrikholm</cp:lastModifiedBy>
  <dcterms:modified xsi:type="dcterms:W3CDTF">2026-02-25T09:26:48Z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eyJoZGlkIjoiZTE3MjNiYjNkNDY2M2M0ZTIzMTEwNjRkOGFkZGY4YjUiLCJ1c2VySWQiOiI0MTMyODk3MTEifQ==</vt:lpwstr>
  </property>
  <property fmtid="{D5CDD505-2E9C-101B-9397-08002B2CF9AE}" pid="4" name="ICV">
    <vt:lpwstr>976DDA3D41E94BED8A30CD901994C2C5_12</vt:lpwstr>
  </property>
</Properties>
</file>