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4BF879">
      <w:pPr>
        <w:pStyle w:val="13"/>
        <w:pageBreakBefore w:val="0"/>
        <w:widowControl/>
        <w:kinsoku/>
        <w:wordWrap/>
        <w:overflowPunct/>
        <w:topLinePunct w:val="0"/>
        <w:autoSpaceDE/>
        <w:autoSpaceDN/>
        <w:bidi w:val="0"/>
        <w:snapToGrid/>
        <w:spacing w:before="0" w:beforeAutospacing="0" w:after="0" w:afterAutospacing="0" w:line="240" w:lineRule="auto"/>
        <w:jc w:val="both"/>
        <w:textAlignment w:val="auto"/>
        <w:rPr>
          <w:rFonts w:hint="eastAsia" w:ascii="MiSans Normal" w:hAnsi="MiSans Normal" w:eastAsia="MiSans Normal" w:cs="MiSans Normal"/>
          <w:sz w:val="72"/>
          <w:szCs w:val="72"/>
          <w:lang w:val="en-US" w:eastAsia="zh-CN" w:bidi="ar"/>
        </w:rPr>
      </w:pPr>
      <w:r>
        <w:rPr>
          <w:rFonts w:hint="eastAsia" w:ascii="MiSans Normal" w:hAnsi="MiSans Normal" w:eastAsia="MiSans Normal" w:cs="MiSans Normal"/>
          <w:sz w:val="72"/>
          <w:szCs w:val="72"/>
          <w:lang w:val="en-US" w:eastAsia="zh-CN" w:bidi="ar"/>
        </w:rPr>
        <w:t xml:space="preserve"> </w:t>
      </w:r>
    </w:p>
    <w:p w14:paraId="2E84ADBF">
      <w:pPr>
        <w:pStyle w:val="13"/>
        <w:pageBreakBefore w:val="0"/>
        <w:widowControl/>
        <w:kinsoku/>
        <w:wordWrap/>
        <w:overflowPunct/>
        <w:topLinePunct w:val="0"/>
        <w:autoSpaceDE/>
        <w:autoSpaceDN/>
        <w:bidi w:val="0"/>
        <w:snapToGrid/>
        <w:spacing w:before="0" w:beforeAutospacing="0" w:after="0" w:afterAutospacing="0" w:line="240" w:lineRule="auto"/>
        <w:jc w:val="center"/>
        <w:textAlignment w:val="auto"/>
        <w:rPr>
          <w:rFonts w:hint="eastAsia" w:ascii="思源黑体 CN Normal" w:hAnsi="思源黑体 CN Normal" w:eastAsia="思源黑体 CN Normal" w:cs="思源黑体 CN Normal"/>
          <w:sz w:val="72"/>
          <w:szCs w:val="72"/>
          <w:lang w:bidi="ar"/>
        </w:rPr>
      </w:pPr>
    </w:p>
    <w:p w14:paraId="3446604D">
      <w:pPr>
        <w:pStyle w:val="27"/>
        <w:bidi w:val="0"/>
        <w:rPr>
          <w:rFonts w:hint="eastAsia" w:ascii="黑体" w:hAnsi="黑体" w:eastAsia="黑体" w:cs="黑体"/>
          <w:sz w:val="72"/>
          <w:szCs w:val="72"/>
          <w:lang w:val="en-US" w:eastAsia="zh-CN"/>
        </w:rPr>
      </w:pPr>
      <w:r>
        <w:rPr>
          <w:rFonts w:hint="eastAsia" w:ascii="黑体" w:hAnsi="黑体" w:eastAsia="黑体" w:cs="黑体"/>
          <w:sz w:val="72"/>
          <w:szCs w:val="72"/>
          <w:lang w:val="en-US" w:eastAsia="zh-CN"/>
        </w:rPr>
        <w:t>中国共产党木里藏族自治县委员会党校</w:t>
      </w:r>
    </w:p>
    <w:p w14:paraId="058D71D0">
      <w:pPr>
        <w:pStyle w:val="27"/>
        <w:bidi w:val="0"/>
        <w:rPr>
          <w:rFonts w:hint="eastAsia" w:ascii="黑体" w:hAnsi="黑体" w:eastAsia="黑体" w:cs="黑体"/>
        </w:rPr>
      </w:pPr>
      <w:r>
        <w:rPr>
          <w:rFonts w:hint="eastAsia" w:ascii="黑体" w:hAnsi="黑体" w:eastAsia="黑体" w:cs="黑体"/>
          <w:sz w:val="72"/>
          <w:szCs w:val="72"/>
          <w:lang w:val="en-US" w:eastAsia="zh-CN"/>
        </w:rPr>
        <w:t>2026</w:t>
      </w:r>
      <w:r>
        <w:rPr>
          <w:rFonts w:hint="eastAsia" w:ascii="黑体" w:hAnsi="黑体" w:eastAsia="黑体" w:cs="黑体"/>
          <w:sz w:val="72"/>
          <w:szCs w:val="72"/>
        </w:rPr>
        <w:t>年部</w:t>
      </w:r>
      <w:bookmarkStart w:id="34" w:name="_GoBack"/>
      <w:bookmarkEnd w:id="34"/>
      <w:r>
        <w:rPr>
          <w:rFonts w:hint="eastAsia" w:ascii="黑体" w:hAnsi="黑体" w:eastAsia="黑体" w:cs="黑体"/>
          <w:sz w:val="72"/>
          <w:szCs w:val="72"/>
        </w:rPr>
        <w:t>门预算</w:t>
      </w:r>
    </w:p>
    <w:p w14:paraId="1CF3602A">
      <w:pPr>
        <w:pageBreakBefore w:val="0"/>
        <w:widowControl/>
        <w:kinsoku/>
        <w:wordWrap/>
        <w:overflowPunct/>
        <w:topLinePunct w:val="0"/>
        <w:autoSpaceDE/>
        <w:autoSpaceDN/>
        <w:bidi w:val="0"/>
        <w:snapToGrid/>
        <w:spacing w:line="240" w:lineRule="auto"/>
        <w:textAlignment w:val="auto"/>
        <w:rPr>
          <w:rFonts w:hint="eastAsia" w:ascii="思源黑体 CN Normal" w:hAnsi="思源黑体 CN Normal" w:eastAsia="思源黑体 CN Normal" w:cs="思源黑体 CN Normal"/>
          <w:kern w:val="0"/>
          <w:sz w:val="36"/>
          <w:szCs w:val="36"/>
          <w:lang w:bidi="ar"/>
        </w:rPr>
        <w:sectPr>
          <w:footerReference r:id="rId5" w:type="default"/>
          <w:pgSz w:w="11906" w:h="16838"/>
          <w:pgMar w:top="1440" w:right="1800" w:bottom="1440" w:left="1800" w:header="720" w:footer="720" w:gutter="0"/>
          <w:pgNumType w:fmt="numberInDash"/>
          <w:cols w:space="720" w:num="1"/>
          <w:docGrid w:type="lines" w:linePitch="312" w:charSpace="0"/>
        </w:sectPr>
      </w:pPr>
    </w:p>
    <w:p w14:paraId="4DCD0767">
      <w:pPr>
        <w:pStyle w:val="26"/>
        <w:pageBreakBefore w:val="0"/>
        <w:kinsoku/>
        <w:wordWrap/>
        <w:overflowPunct/>
        <w:topLinePunct w:val="0"/>
        <w:autoSpaceDE/>
        <w:autoSpaceDN/>
        <w:bidi w:val="0"/>
        <w:snapToGrid/>
        <w:spacing w:line="240" w:lineRule="auto"/>
        <w:jc w:val="center"/>
        <w:textAlignment w:val="auto"/>
        <w:rPr>
          <w:rFonts w:hint="eastAsia" w:ascii="思源黑体 CN Normal" w:hAnsi="思源黑体 CN Normal" w:eastAsia="思源黑体 CN Normal" w:cs="思源黑体 CN Normal"/>
          <w:color w:val="auto"/>
          <w:sz w:val="36"/>
          <w:szCs w:val="36"/>
        </w:rPr>
      </w:pPr>
      <w:r>
        <w:rPr>
          <w:rFonts w:hint="eastAsia" w:ascii="方正小标宋简体" w:hAnsi="方正小标宋简体" w:eastAsia="方正小标宋简体" w:cs="方正小标宋简体"/>
          <w:color w:val="auto"/>
          <w:sz w:val="36"/>
          <w:szCs w:val="36"/>
          <w:lang w:val="zh-CN"/>
        </w:rPr>
        <w:t>目录</w:t>
      </w:r>
    </w:p>
    <w:p w14:paraId="309D7C9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0"/>
        <w:rPr>
          <w:rFonts w:ascii="Times New Roman" w:hAnsi="Times New Roman" w:eastAsia="宋体" w:cs="宋体"/>
          <w:b w:val="0"/>
          <w:bCs/>
          <w:i w:val="0"/>
          <w:caps w:val="0"/>
          <w:color w:val="auto"/>
          <w:spacing w:val="0"/>
          <w:sz w:val="21"/>
          <w:szCs w:val="21"/>
          <w:highlight w:val="none"/>
          <w:shd w:val="clear" w:color="auto" w:fill="auto"/>
        </w:rPr>
      </w:pPr>
      <w:r>
        <w:rPr>
          <w:rStyle w:val="17"/>
          <w:rFonts w:ascii="Times New Roman" w:hAnsi="Times New Roman" w:eastAsia="黑体" w:cs="宋体"/>
          <w:b w:val="0"/>
          <w:bCs/>
          <w:i w:val="0"/>
          <w:caps w:val="0"/>
          <w:color w:val="auto"/>
          <w:spacing w:val="0"/>
          <w:sz w:val="32"/>
          <w:szCs w:val="21"/>
          <w:highlight w:val="none"/>
          <w:shd w:val="clear" w:color="auto" w:fill="auto"/>
        </w:rPr>
        <w:t>第一部分</w:t>
      </w:r>
      <w:r>
        <w:rPr>
          <w:rStyle w:val="17"/>
          <w:rFonts w:hint="eastAsia" w:ascii="Times New Roman" w:hAnsi="Times New Roman" w:eastAsia="黑体" w:cs="宋体"/>
          <w:b w:val="0"/>
          <w:bCs/>
          <w:i w:val="0"/>
          <w:caps w:val="0"/>
          <w:color w:val="auto"/>
          <w:spacing w:val="0"/>
          <w:sz w:val="32"/>
          <w:szCs w:val="21"/>
          <w:highlight w:val="none"/>
          <w:shd w:val="clear" w:color="auto" w:fill="auto"/>
          <w:lang w:val="en-US" w:eastAsia="zh-CN"/>
        </w:rPr>
        <w:t xml:space="preserve"> </w:t>
      </w:r>
      <w:r>
        <w:rPr>
          <w:rStyle w:val="17"/>
          <w:rFonts w:ascii="Times New Roman" w:hAnsi="Times New Roman" w:eastAsia="黑体" w:cs="宋体"/>
          <w:b w:val="0"/>
          <w:bCs/>
          <w:i w:val="0"/>
          <w:caps w:val="0"/>
          <w:color w:val="auto"/>
          <w:spacing w:val="0"/>
          <w:sz w:val="32"/>
          <w:szCs w:val="21"/>
          <w:highlight w:val="none"/>
          <w:shd w:val="clear" w:color="auto" w:fill="auto"/>
        </w:rPr>
        <w:t xml:space="preserve"> </w:t>
      </w:r>
      <w:r>
        <w:rPr>
          <w:rStyle w:val="17"/>
          <w:rFonts w:hint="eastAsia" w:ascii="Times New Roman" w:hAnsi="Times New Roman" w:eastAsia="黑体" w:cs="宋体"/>
          <w:b w:val="0"/>
          <w:bCs/>
          <w:i w:val="0"/>
          <w:caps w:val="0"/>
          <w:color w:val="auto"/>
          <w:spacing w:val="0"/>
          <w:sz w:val="32"/>
          <w:szCs w:val="21"/>
          <w:highlight w:val="none"/>
          <w:shd w:val="clear" w:color="auto" w:fill="auto"/>
        </w:rPr>
        <w:t>中国共产党木里藏族自治县委员会党校</w:t>
      </w:r>
      <w:r>
        <w:rPr>
          <w:rStyle w:val="17"/>
          <w:rFonts w:ascii="Times New Roman" w:hAnsi="Times New Roman" w:eastAsia="黑体" w:cs="宋体"/>
          <w:b w:val="0"/>
          <w:bCs/>
          <w:i w:val="0"/>
          <w:caps w:val="0"/>
          <w:color w:val="auto"/>
          <w:spacing w:val="0"/>
          <w:sz w:val="32"/>
          <w:szCs w:val="21"/>
          <w:highlight w:val="none"/>
          <w:shd w:val="clear" w:color="auto" w:fill="auto"/>
        </w:rPr>
        <w:t>概况</w:t>
      </w:r>
    </w:p>
    <w:p w14:paraId="68142AF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1"/>
        <w:rPr>
          <w:rFonts w:hint="eastAsia" w:ascii="Times New Roman" w:hAnsi="Times New Roman" w:eastAsia="仿宋_GB2312" w:cs="仿宋_GB2312"/>
          <w:i w:val="0"/>
          <w:caps w:val="0"/>
          <w:color w:val="auto"/>
          <w:spacing w:val="0"/>
          <w:sz w:val="32"/>
          <w:szCs w:val="32"/>
          <w:highlight w:val="none"/>
          <w:shd w:val="clear" w:color="auto" w:fill="auto"/>
          <w:lang w:eastAsia="zh-CN"/>
        </w:rPr>
      </w:pPr>
      <w:r>
        <w:rPr>
          <w:rFonts w:hint="eastAsia" w:ascii="Times New Roman" w:hAnsi="Times New Roman" w:eastAsia="仿宋_GB2312" w:cs="仿宋_GB2312"/>
          <w:i w:val="0"/>
          <w:caps w:val="0"/>
          <w:color w:val="auto"/>
          <w:spacing w:val="0"/>
          <w:sz w:val="32"/>
          <w:szCs w:val="32"/>
          <w:highlight w:val="none"/>
          <w:shd w:val="clear" w:color="auto" w:fill="auto"/>
        </w:rPr>
        <w:t>一、</w:t>
      </w:r>
      <w:r>
        <w:rPr>
          <w:rFonts w:hint="eastAsia" w:ascii="Times New Roman" w:hAnsi="Times New Roman" w:eastAsia="仿宋_GB2312" w:cs="仿宋_GB2312"/>
          <w:i w:val="0"/>
          <w:caps w:val="0"/>
          <w:color w:val="auto"/>
          <w:spacing w:val="0"/>
          <w:sz w:val="32"/>
          <w:szCs w:val="32"/>
          <w:highlight w:val="none"/>
          <w:shd w:val="clear" w:color="auto" w:fill="auto"/>
          <w:lang w:eastAsia="zh-CN"/>
        </w:rPr>
        <w:t>基本职能及主要工作</w:t>
      </w:r>
    </w:p>
    <w:p w14:paraId="3EE4C00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1"/>
        <w:rPr>
          <w:rFonts w:hint="eastAsia" w:ascii="Times New Roman" w:hAnsi="Times New Roman" w:eastAsia="仿宋_GB2312" w:cs="仿宋_GB2312"/>
          <w:i w:val="0"/>
          <w:caps w:val="0"/>
          <w:color w:val="auto"/>
          <w:spacing w:val="0"/>
          <w:sz w:val="32"/>
          <w:szCs w:val="32"/>
          <w:highlight w:val="none"/>
          <w:shd w:val="clear" w:color="auto" w:fill="auto"/>
          <w:lang w:eastAsia="zh-CN"/>
        </w:rPr>
      </w:pPr>
      <w:r>
        <w:rPr>
          <w:rFonts w:hint="eastAsia" w:ascii="Times New Roman" w:hAnsi="Times New Roman" w:eastAsia="仿宋_GB2312" w:cs="仿宋_GB2312"/>
          <w:i w:val="0"/>
          <w:caps w:val="0"/>
          <w:color w:val="auto"/>
          <w:spacing w:val="0"/>
          <w:sz w:val="32"/>
          <w:szCs w:val="32"/>
          <w:highlight w:val="none"/>
          <w:shd w:val="clear" w:color="auto" w:fill="auto"/>
        </w:rPr>
        <w:t>二、</w:t>
      </w:r>
      <w:r>
        <w:rPr>
          <w:rFonts w:hint="eastAsia" w:ascii="Times New Roman" w:hAnsi="Times New Roman" w:eastAsia="仿宋_GB2312" w:cs="仿宋_GB2312"/>
          <w:i w:val="0"/>
          <w:caps w:val="0"/>
          <w:color w:val="auto"/>
          <w:spacing w:val="0"/>
          <w:sz w:val="32"/>
          <w:szCs w:val="32"/>
          <w:highlight w:val="none"/>
          <w:shd w:val="clear" w:color="auto" w:fill="auto"/>
          <w:lang w:eastAsia="zh-CN"/>
        </w:rPr>
        <w:t>机构设置</w:t>
      </w:r>
    </w:p>
    <w:p w14:paraId="03EAADC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0"/>
        <w:rPr>
          <w:rFonts w:ascii="Times New Roman" w:hAnsi="Times New Roman" w:eastAsia="宋体" w:cs="宋体"/>
          <w:b w:val="0"/>
          <w:bCs/>
          <w:i w:val="0"/>
          <w:caps w:val="0"/>
          <w:color w:val="auto"/>
          <w:spacing w:val="0"/>
          <w:sz w:val="21"/>
          <w:szCs w:val="21"/>
          <w:highlight w:val="none"/>
          <w:shd w:val="clear" w:color="auto" w:fill="auto"/>
        </w:rPr>
      </w:pPr>
      <w:r>
        <w:rPr>
          <w:rStyle w:val="17"/>
          <w:rFonts w:ascii="Times New Roman" w:hAnsi="Times New Roman" w:eastAsia="黑体" w:cs="宋体"/>
          <w:b w:val="0"/>
          <w:bCs/>
          <w:i w:val="0"/>
          <w:caps w:val="0"/>
          <w:color w:val="auto"/>
          <w:spacing w:val="0"/>
          <w:sz w:val="32"/>
          <w:szCs w:val="21"/>
          <w:highlight w:val="none"/>
          <w:shd w:val="clear" w:color="auto" w:fill="auto"/>
        </w:rPr>
        <w:t>第二部分</w:t>
      </w:r>
      <w:r>
        <w:rPr>
          <w:rStyle w:val="17"/>
          <w:rFonts w:hint="eastAsia" w:ascii="Times New Roman" w:hAnsi="Times New Roman" w:eastAsia="黑体" w:cs="宋体"/>
          <w:b w:val="0"/>
          <w:bCs/>
          <w:i w:val="0"/>
          <w:caps w:val="0"/>
          <w:color w:val="auto"/>
          <w:spacing w:val="0"/>
          <w:sz w:val="32"/>
          <w:szCs w:val="21"/>
          <w:highlight w:val="none"/>
          <w:shd w:val="clear" w:color="auto" w:fill="auto"/>
          <w:lang w:val="en-US" w:eastAsia="zh-CN"/>
        </w:rPr>
        <w:t xml:space="preserve"> </w:t>
      </w:r>
      <w:r>
        <w:rPr>
          <w:rStyle w:val="17"/>
          <w:rFonts w:ascii="Times New Roman" w:hAnsi="Times New Roman" w:eastAsia="黑体" w:cs="宋体"/>
          <w:b w:val="0"/>
          <w:bCs/>
          <w:i w:val="0"/>
          <w:caps w:val="0"/>
          <w:color w:val="auto"/>
          <w:spacing w:val="0"/>
          <w:sz w:val="32"/>
          <w:szCs w:val="21"/>
          <w:highlight w:val="none"/>
          <w:shd w:val="clear" w:color="auto" w:fill="auto"/>
        </w:rPr>
        <w:t xml:space="preserve"> </w:t>
      </w:r>
      <w:r>
        <w:rPr>
          <w:rStyle w:val="17"/>
          <w:rFonts w:hint="eastAsia" w:ascii="Times New Roman" w:hAnsi="Times New Roman" w:eastAsia="黑体" w:cs="宋体"/>
          <w:b w:val="0"/>
          <w:bCs/>
          <w:i w:val="0"/>
          <w:caps w:val="0"/>
          <w:color w:val="auto"/>
          <w:spacing w:val="0"/>
          <w:sz w:val="32"/>
          <w:szCs w:val="21"/>
          <w:highlight w:val="none"/>
          <w:shd w:val="clear" w:color="auto" w:fill="auto"/>
        </w:rPr>
        <w:t>中国共产党木里藏族自治县委员会党校</w:t>
      </w:r>
      <w:r>
        <w:rPr>
          <w:rStyle w:val="17"/>
          <w:rFonts w:ascii="Times New Roman" w:hAnsi="Times New Roman" w:eastAsia="Times New Roman" w:cs="Times New Roman"/>
          <w:color w:val="auto"/>
          <w:sz w:val="32"/>
          <w:u w:color="auto"/>
        </w:rPr>
        <w:t>2026</w:t>
      </w:r>
      <w:r>
        <w:rPr>
          <w:rStyle w:val="17"/>
          <w:rFonts w:ascii="Times New Roman" w:hAnsi="Times New Roman" w:eastAsia="黑体" w:cs="宋体"/>
          <w:b w:val="0"/>
          <w:bCs/>
          <w:i w:val="0"/>
          <w:caps w:val="0"/>
          <w:color w:val="auto"/>
          <w:spacing w:val="0"/>
          <w:sz w:val="32"/>
          <w:szCs w:val="21"/>
          <w:highlight w:val="none"/>
          <w:shd w:val="clear" w:color="auto" w:fill="auto"/>
        </w:rPr>
        <w:t>年</w:t>
      </w:r>
      <w:r>
        <w:rPr>
          <w:rStyle w:val="17"/>
          <w:rFonts w:hint="eastAsia" w:ascii="Times New Roman" w:hAnsi="Times New Roman" w:eastAsia="黑体" w:cs="宋体"/>
          <w:b w:val="0"/>
          <w:bCs/>
          <w:i w:val="0"/>
          <w:caps w:val="0"/>
          <w:color w:val="auto"/>
          <w:spacing w:val="0"/>
          <w:sz w:val="32"/>
          <w:szCs w:val="21"/>
          <w:highlight w:val="none"/>
          <w:shd w:val="clear" w:color="auto" w:fill="auto"/>
          <w:lang w:eastAsia="zh-CN"/>
        </w:rPr>
        <w:t>单位</w:t>
      </w:r>
      <w:r>
        <w:rPr>
          <w:rStyle w:val="17"/>
          <w:rFonts w:ascii="Times New Roman" w:hAnsi="Times New Roman" w:eastAsia="黑体" w:cs="宋体"/>
          <w:b w:val="0"/>
          <w:bCs/>
          <w:i w:val="0"/>
          <w:caps w:val="0"/>
          <w:color w:val="auto"/>
          <w:spacing w:val="0"/>
          <w:sz w:val="32"/>
          <w:szCs w:val="21"/>
          <w:highlight w:val="none"/>
          <w:shd w:val="clear" w:color="auto" w:fill="auto"/>
        </w:rPr>
        <w:t>预算表</w:t>
      </w:r>
    </w:p>
    <w:p w14:paraId="7CE4253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1"/>
        <w:rPr>
          <w:rFonts w:hint="eastAsia" w:ascii="Times New Roman" w:hAnsi="Times New Roman" w:eastAsia="仿宋_GB2312" w:cs="仿宋_GB2312"/>
          <w:i w:val="0"/>
          <w:caps w:val="0"/>
          <w:color w:val="auto"/>
          <w:spacing w:val="0"/>
          <w:sz w:val="32"/>
          <w:szCs w:val="32"/>
          <w:highlight w:val="none"/>
          <w:shd w:val="clear" w:color="auto" w:fill="auto"/>
        </w:rPr>
      </w:pPr>
      <w:r>
        <w:rPr>
          <w:rFonts w:hint="eastAsia" w:ascii="Times New Roman" w:hAnsi="Times New Roman" w:eastAsia="仿宋_GB2312" w:cs="仿宋_GB2312"/>
          <w:i w:val="0"/>
          <w:caps w:val="0"/>
          <w:color w:val="auto"/>
          <w:spacing w:val="0"/>
          <w:sz w:val="32"/>
          <w:szCs w:val="32"/>
          <w:highlight w:val="none"/>
          <w:shd w:val="clear" w:color="auto" w:fill="auto"/>
        </w:rPr>
        <w:t>一、</w:t>
      </w:r>
      <w:r>
        <w:rPr>
          <w:rFonts w:hint="eastAsia" w:ascii="Times New Roman" w:hAnsi="Times New Roman" w:eastAsia="仿宋_GB2312" w:cs="仿宋_GB2312"/>
          <w:i w:val="0"/>
          <w:caps w:val="0"/>
          <w:color w:val="auto"/>
          <w:spacing w:val="0"/>
          <w:sz w:val="32"/>
          <w:szCs w:val="32"/>
          <w:highlight w:val="none"/>
          <w:shd w:val="clear" w:color="auto" w:fill="auto"/>
          <w:lang w:eastAsia="zh-CN"/>
        </w:rPr>
        <w:t>单位</w:t>
      </w:r>
      <w:r>
        <w:rPr>
          <w:rFonts w:hint="eastAsia" w:ascii="Times New Roman" w:hAnsi="Times New Roman" w:eastAsia="仿宋_GB2312" w:cs="仿宋_GB2312"/>
          <w:i w:val="0"/>
          <w:caps w:val="0"/>
          <w:color w:val="auto"/>
          <w:spacing w:val="0"/>
          <w:sz w:val="32"/>
          <w:szCs w:val="32"/>
          <w:highlight w:val="none"/>
          <w:shd w:val="clear" w:color="auto" w:fill="auto"/>
        </w:rPr>
        <w:t>收支总表</w:t>
      </w:r>
    </w:p>
    <w:p w14:paraId="305BC8C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1"/>
        <w:rPr>
          <w:rFonts w:hint="eastAsia" w:ascii="Times New Roman" w:hAnsi="Times New Roman" w:eastAsia="仿宋_GB2312" w:cs="仿宋_GB2312"/>
          <w:i w:val="0"/>
          <w:caps w:val="0"/>
          <w:color w:val="auto"/>
          <w:spacing w:val="0"/>
          <w:sz w:val="32"/>
          <w:szCs w:val="32"/>
          <w:highlight w:val="none"/>
          <w:shd w:val="clear" w:color="auto" w:fill="auto"/>
        </w:rPr>
      </w:pPr>
      <w:r>
        <w:rPr>
          <w:rFonts w:hint="eastAsia" w:ascii="Times New Roman" w:hAnsi="Times New Roman" w:eastAsia="仿宋_GB2312" w:cs="仿宋_GB2312"/>
          <w:i w:val="0"/>
          <w:caps w:val="0"/>
          <w:color w:val="auto"/>
          <w:spacing w:val="0"/>
          <w:sz w:val="32"/>
          <w:szCs w:val="32"/>
          <w:highlight w:val="none"/>
          <w:shd w:val="clear" w:color="auto" w:fill="auto"/>
        </w:rPr>
        <w:t>二、</w:t>
      </w:r>
      <w:r>
        <w:rPr>
          <w:rFonts w:hint="eastAsia" w:ascii="Times New Roman" w:hAnsi="Times New Roman" w:eastAsia="仿宋_GB2312" w:cs="仿宋_GB2312"/>
          <w:i w:val="0"/>
          <w:caps w:val="0"/>
          <w:color w:val="auto"/>
          <w:spacing w:val="0"/>
          <w:sz w:val="32"/>
          <w:szCs w:val="32"/>
          <w:highlight w:val="none"/>
          <w:shd w:val="clear" w:color="auto" w:fill="auto"/>
          <w:lang w:eastAsia="zh-CN"/>
        </w:rPr>
        <w:t>单位</w:t>
      </w:r>
      <w:r>
        <w:rPr>
          <w:rFonts w:hint="eastAsia" w:ascii="Times New Roman" w:hAnsi="Times New Roman" w:eastAsia="仿宋_GB2312" w:cs="仿宋_GB2312"/>
          <w:i w:val="0"/>
          <w:caps w:val="0"/>
          <w:color w:val="auto"/>
          <w:spacing w:val="0"/>
          <w:sz w:val="32"/>
          <w:szCs w:val="32"/>
          <w:highlight w:val="none"/>
          <w:shd w:val="clear" w:color="auto" w:fill="auto"/>
        </w:rPr>
        <w:t>收入总表</w:t>
      </w:r>
    </w:p>
    <w:p w14:paraId="3E1EB63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1"/>
        <w:rPr>
          <w:rFonts w:hint="eastAsia" w:ascii="Times New Roman" w:hAnsi="Times New Roman" w:eastAsia="仿宋_GB2312" w:cs="仿宋_GB2312"/>
          <w:i w:val="0"/>
          <w:caps w:val="0"/>
          <w:color w:val="auto"/>
          <w:spacing w:val="0"/>
          <w:sz w:val="32"/>
          <w:szCs w:val="32"/>
          <w:highlight w:val="none"/>
          <w:shd w:val="clear" w:color="auto" w:fill="auto"/>
        </w:rPr>
      </w:pPr>
      <w:r>
        <w:rPr>
          <w:rFonts w:hint="eastAsia" w:ascii="Times New Roman" w:hAnsi="Times New Roman" w:eastAsia="仿宋_GB2312" w:cs="仿宋_GB2312"/>
          <w:i w:val="0"/>
          <w:caps w:val="0"/>
          <w:color w:val="auto"/>
          <w:spacing w:val="0"/>
          <w:sz w:val="32"/>
          <w:szCs w:val="32"/>
          <w:highlight w:val="none"/>
          <w:shd w:val="clear" w:color="auto" w:fill="auto"/>
        </w:rPr>
        <w:t>三、</w:t>
      </w:r>
      <w:r>
        <w:rPr>
          <w:rFonts w:hint="eastAsia" w:ascii="Times New Roman" w:hAnsi="Times New Roman" w:eastAsia="仿宋_GB2312" w:cs="仿宋_GB2312"/>
          <w:i w:val="0"/>
          <w:caps w:val="0"/>
          <w:color w:val="auto"/>
          <w:spacing w:val="0"/>
          <w:sz w:val="32"/>
          <w:szCs w:val="32"/>
          <w:highlight w:val="none"/>
          <w:shd w:val="clear" w:color="auto" w:fill="auto"/>
          <w:lang w:eastAsia="zh-CN"/>
        </w:rPr>
        <w:t>单位</w:t>
      </w:r>
      <w:r>
        <w:rPr>
          <w:rFonts w:hint="eastAsia" w:ascii="Times New Roman" w:hAnsi="Times New Roman" w:eastAsia="仿宋_GB2312" w:cs="仿宋_GB2312"/>
          <w:i w:val="0"/>
          <w:caps w:val="0"/>
          <w:color w:val="auto"/>
          <w:spacing w:val="0"/>
          <w:sz w:val="32"/>
          <w:szCs w:val="32"/>
          <w:highlight w:val="none"/>
          <w:shd w:val="clear" w:color="auto" w:fill="auto"/>
        </w:rPr>
        <w:t>支出总表</w:t>
      </w:r>
    </w:p>
    <w:p w14:paraId="59C4B20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1"/>
        <w:rPr>
          <w:rFonts w:hint="eastAsia" w:ascii="Times New Roman" w:hAnsi="Times New Roman" w:eastAsia="仿宋_GB2312" w:cs="仿宋_GB2312"/>
          <w:i w:val="0"/>
          <w:caps w:val="0"/>
          <w:color w:val="auto"/>
          <w:spacing w:val="0"/>
          <w:sz w:val="32"/>
          <w:szCs w:val="32"/>
          <w:highlight w:val="none"/>
          <w:shd w:val="clear" w:color="auto" w:fill="auto"/>
        </w:rPr>
      </w:pPr>
      <w:r>
        <w:rPr>
          <w:rFonts w:hint="eastAsia" w:ascii="Times New Roman" w:hAnsi="Times New Roman" w:eastAsia="仿宋_GB2312" w:cs="仿宋_GB2312"/>
          <w:i w:val="0"/>
          <w:caps w:val="0"/>
          <w:color w:val="auto"/>
          <w:spacing w:val="0"/>
          <w:sz w:val="32"/>
          <w:szCs w:val="32"/>
          <w:highlight w:val="none"/>
          <w:shd w:val="clear" w:color="auto" w:fill="auto"/>
        </w:rPr>
        <w:t>四、财政拨款收支</w:t>
      </w:r>
      <w:r>
        <w:rPr>
          <w:rFonts w:hint="eastAsia" w:ascii="Times New Roman" w:hAnsi="Times New Roman" w:eastAsia="仿宋_GB2312" w:cs="仿宋_GB2312"/>
          <w:i w:val="0"/>
          <w:caps w:val="0"/>
          <w:color w:val="auto"/>
          <w:spacing w:val="0"/>
          <w:sz w:val="32"/>
          <w:szCs w:val="32"/>
          <w:highlight w:val="none"/>
          <w:shd w:val="clear" w:color="auto" w:fill="auto"/>
          <w:lang w:eastAsia="zh-CN"/>
        </w:rPr>
        <w:t>预算</w:t>
      </w:r>
      <w:r>
        <w:rPr>
          <w:rFonts w:hint="eastAsia" w:ascii="Times New Roman" w:hAnsi="Times New Roman" w:eastAsia="仿宋_GB2312" w:cs="仿宋_GB2312"/>
          <w:i w:val="0"/>
          <w:caps w:val="0"/>
          <w:color w:val="auto"/>
          <w:spacing w:val="0"/>
          <w:sz w:val="32"/>
          <w:szCs w:val="32"/>
          <w:highlight w:val="none"/>
          <w:shd w:val="clear" w:color="auto" w:fill="auto"/>
        </w:rPr>
        <w:t>总表</w:t>
      </w:r>
    </w:p>
    <w:p w14:paraId="25C734B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1"/>
        <w:rPr>
          <w:rFonts w:hint="eastAsia" w:ascii="Times New Roman" w:hAnsi="Times New Roman" w:eastAsia="仿宋_GB2312" w:cs="仿宋_GB2312"/>
          <w:i w:val="0"/>
          <w:caps w:val="0"/>
          <w:color w:val="auto"/>
          <w:spacing w:val="0"/>
          <w:sz w:val="32"/>
          <w:szCs w:val="32"/>
          <w:highlight w:val="none"/>
          <w:shd w:val="clear" w:color="auto" w:fill="auto"/>
          <w:lang w:eastAsia="zh-CN"/>
        </w:rPr>
      </w:pPr>
      <w:r>
        <w:rPr>
          <w:rFonts w:hint="eastAsia" w:ascii="Times New Roman" w:hAnsi="Times New Roman" w:eastAsia="仿宋_GB2312" w:cs="仿宋_GB2312"/>
          <w:i w:val="0"/>
          <w:caps w:val="0"/>
          <w:color w:val="auto"/>
          <w:spacing w:val="0"/>
          <w:sz w:val="32"/>
          <w:szCs w:val="32"/>
          <w:highlight w:val="none"/>
          <w:shd w:val="clear" w:color="auto" w:fill="auto"/>
          <w:lang w:eastAsia="zh-CN"/>
        </w:rPr>
        <w:t>五、财政拨款支出预算表（部门经济分类科目）</w:t>
      </w:r>
    </w:p>
    <w:p w14:paraId="33A4B76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1"/>
        <w:rPr>
          <w:rFonts w:hint="eastAsia" w:ascii="Times New Roman" w:hAnsi="Times New Roman" w:eastAsia="仿宋_GB2312" w:cs="仿宋_GB2312"/>
          <w:i w:val="0"/>
          <w:caps w:val="0"/>
          <w:color w:val="auto"/>
          <w:spacing w:val="0"/>
          <w:sz w:val="32"/>
          <w:szCs w:val="32"/>
          <w:highlight w:val="none"/>
          <w:shd w:val="clear" w:color="auto" w:fill="auto"/>
        </w:rPr>
      </w:pPr>
      <w:r>
        <w:rPr>
          <w:rFonts w:hint="eastAsia" w:ascii="Times New Roman" w:hAnsi="Times New Roman" w:eastAsia="仿宋_GB2312" w:cs="仿宋_GB2312"/>
          <w:i w:val="0"/>
          <w:caps w:val="0"/>
          <w:color w:val="auto"/>
          <w:spacing w:val="0"/>
          <w:sz w:val="32"/>
          <w:szCs w:val="32"/>
          <w:highlight w:val="none"/>
          <w:shd w:val="clear" w:color="auto" w:fill="auto"/>
          <w:lang w:eastAsia="zh-CN"/>
        </w:rPr>
        <w:t>六</w:t>
      </w:r>
      <w:r>
        <w:rPr>
          <w:rFonts w:hint="eastAsia" w:ascii="Times New Roman" w:hAnsi="Times New Roman" w:eastAsia="仿宋_GB2312" w:cs="仿宋_GB2312"/>
          <w:i w:val="0"/>
          <w:caps w:val="0"/>
          <w:color w:val="auto"/>
          <w:spacing w:val="0"/>
          <w:sz w:val="32"/>
          <w:szCs w:val="32"/>
          <w:highlight w:val="none"/>
          <w:shd w:val="clear" w:color="auto" w:fill="auto"/>
        </w:rPr>
        <w:t>、一般公共预算支出预算表</w:t>
      </w:r>
    </w:p>
    <w:p w14:paraId="2399372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1"/>
        <w:rPr>
          <w:rFonts w:hint="eastAsia" w:ascii="Times New Roman" w:hAnsi="Times New Roman" w:eastAsia="仿宋_GB2312" w:cs="仿宋_GB2312"/>
          <w:i w:val="0"/>
          <w:caps w:val="0"/>
          <w:color w:val="auto"/>
          <w:spacing w:val="0"/>
          <w:sz w:val="32"/>
          <w:szCs w:val="32"/>
          <w:highlight w:val="none"/>
          <w:shd w:val="clear" w:color="auto" w:fill="auto"/>
        </w:rPr>
      </w:pPr>
      <w:r>
        <w:rPr>
          <w:rFonts w:hint="eastAsia" w:ascii="Times New Roman" w:hAnsi="Times New Roman" w:eastAsia="仿宋_GB2312" w:cs="仿宋_GB2312"/>
          <w:i w:val="0"/>
          <w:caps w:val="0"/>
          <w:color w:val="auto"/>
          <w:spacing w:val="0"/>
          <w:sz w:val="32"/>
          <w:szCs w:val="32"/>
          <w:highlight w:val="none"/>
          <w:shd w:val="clear" w:color="auto" w:fill="auto"/>
          <w:lang w:eastAsia="zh-CN"/>
        </w:rPr>
        <w:t>七</w:t>
      </w:r>
      <w:r>
        <w:rPr>
          <w:rFonts w:hint="eastAsia" w:ascii="Times New Roman" w:hAnsi="Times New Roman" w:eastAsia="仿宋_GB2312" w:cs="仿宋_GB2312"/>
          <w:i w:val="0"/>
          <w:caps w:val="0"/>
          <w:color w:val="auto"/>
          <w:spacing w:val="0"/>
          <w:sz w:val="32"/>
          <w:szCs w:val="32"/>
          <w:highlight w:val="none"/>
          <w:shd w:val="clear" w:color="auto" w:fill="auto"/>
        </w:rPr>
        <w:t>、一般公共预算基本支出预算表</w:t>
      </w:r>
    </w:p>
    <w:p w14:paraId="3E480E3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1"/>
        <w:rPr>
          <w:rFonts w:hint="eastAsia" w:ascii="Times New Roman" w:hAnsi="Times New Roman" w:eastAsia="仿宋_GB2312" w:cs="仿宋_GB2312"/>
          <w:i w:val="0"/>
          <w:caps w:val="0"/>
          <w:color w:val="auto"/>
          <w:spacing w:val="0"/>
          <w:sz w:val="32"/>
          <w:szCs w:val="32"/>
          <w:highlight w:val="none"/>
          <w:shd w:val="clear" w:color="auto" w:fill="auto"/>
        </w:rPr>
      </w:pPr>
      <w:r>
        <w:rPr>
          <w:rFonts w:hint="eastAsia" w:ascii="Times New Roman" w:hAnsi="Times New Roman" w:eastAsia="仿宋_GB2312" w:cs="仿宋_GB2312"/>
          <w:i w:val="0"/>
          <w:caps w:val="0"/>
          <w:color w:val="auto"/>
          <w:spacing w:val="0"/>
          <w:sz w:val="32"/>
          <w:szCs w:val="32"/>
          <w:highlight w:val="none"/>
          <w:shd w:val="clear" w:color="auto" w:fill="auto"/>
          <w:lang w:eastAsia="zh-CN"/>
        </w:rPr>
        <w:t>八、</w:t>
      </w:r>
      <w:r>
        <w:rPr>
          <w:rFonts w:hint="eastAsia" w:ascii="Times New Roman" w:hAnsi="Times New Roman" w:eastAsia="仿宋_GB2312" w:cs="仿宋_GB2312"/>
          <w:i w:val="0"/>
          <w:caps w:val="0"/>
          <w:color w:val="auto"/>
          <w:spacing w:val="0"/>
          <w:sz w:val="32"/>
          <w:szCs w:val="32"/>
          <w:highlight w:val="none"/>
          <w:shd w:val="clear" w:color="auto" w:fill="auto"/>
        </w:rPr>
        <w:t>一般公共预算项目支出预算表</w:t>
      </w:r>
    </w:p>
    <w:p w14:paraId="72163E2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1"/>
        <w:rPr>
          <w:rFonts w:hint="eastAsia" w:ascii="Times New Roman" w:hAnsi="Times New Roman" w:eastAsia="仿宋_GB2312" w:cs="仿宋_GB2312"/>
          <w:i w:val="0"/>
          <w:caps w:val="0"/>
          <w:color w:val="auto"/>
          <w:spacing w:val="0"/>
          <w:sz w:val="32"/>
          <w:szCs w:val="32"/>
          <w:highlight w:val="none"/>
          <w:shd w:val="clear" w:color="auto" w:fill="auto"/>
        </w:rPr>
      </w:pPr>
      <w:r>
        <w:rPr>
          <w:rFonts w:hint="eastAsia" w:ascii="Times New Roman" w:hAnsi="Times New Roman" w:eastAsia="仿宋_GB2312" w:cs="仿宋_GB2312"/>
          <w:i w:val="0"/>
          <w:caps w:val="0"/>
          <w:color w:val="auto"/>
          <w:spacing w:val="0"/>
          <w:sz w:val="32"/>
          <w:szCs w:val="32"/>
          <w:highlight w:val="none"/>
          <w:shd w:val="clear" w:color="auto" w:fill="auto"/>
          <w:lang w:eastAsia="zh-CN"/>
        </w:rPr>
        <w:t>九</w:t>
      </w:r>
      <w:r>
        <w:rPr>
          <w:rFonts w:hint="eastAsia" w:ascii="Times New Roman" w:hAnsi="Times New Roman" w:eastAsia="仿宋_GB2312" w:cs="仿宋_GB2312"/>
          <w:i w:val="0"/>
          <w:caps w:val="0"/>
          <w:color w:val="auto"/>
          <w:spacing w:val="0"/>
          <w:sz w:val="32"/>
          <w:szCs w:val="32"/>
          <w:highlight w:val="none"/>
          <w:shd w:val="clear" w:color="auto" w:fill="auto"/>
        </w:rPr>
        <w:t>、一般公共预算“三公”经费支出</w:t>
      </w:r>
      <w:r>
        <w:rPr>
          <w:rFonts w:hint="eastAsia" w:ascii="Times New Roman" w:hAnsi="Times New Roman" w:eastAsia="仿宋_GB2312" w:cs="仿宋_GB2312"/>
          <w:i w:val="0"/>
          <w:caps w:val="0"/>
          <w:color w:val="auto"/>
          <w:spacing w:val="0"/>
          <w:sz w:val="32"/>
          <w:szCs w:val="32"/>
          <w:highlight w:val="none"/>
          <w:shd w:val="clear" w:color="auto" w:fill="auto"/>
          <w:lang w:eastAsia="zh-CN"/>
        </w:rPr>
        <w:t>预算</w:t>
      </w:r>
      <w:r>
        <w:rPr>
          <w:rFonts w:hint="eastAsia" w:ascii="Times New Roman" w:hAnsi="Times New Roman" w:eastAsia="仿宋_GB2312" w:cs="仿宋_GB2312"/>
          <w:i w:val="0"/>
          <w:caps w:val="0"/>
          <w:color w:val="auto"/>
          <w:spacing w:val="0"/>
          <w:sz w:val="32"/>
          <w:szCs w:val="32"/>
          <w:highlight w:val="none"/>
          <w:shd w:val="clear" w:color="auto" w:fill="auto"/>
        </w:rPr>
        <w:t>表</w:t>
      </w:r>
    </w:p>
    <w:p w14:paraId="600E3DB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1"/>
        <w:rPr>
          <w:rFonts w:hint="eastAsia" w:ascii="Times New Roman" w:hAnsi="Times New Roman" w:eastAsia="仿宋_GB2312" w:cs="仿宋_GB2312"/>
          <w:i w:val="0"/>
          <w:caps w:val="0"/>
          <w:color w:val="auto"/>
          <w:spacing w:val="0"/>
          <w:sz w:val="32"/>
          <w:szCs w:val="32"/>
          <w:highlight w:val="none"/>
          <w:shd w:val="clear" w:color="auto" w:fill="auto"/>
          <w:lang w:eastAsia="zh-CN"/>
        </w:rPr>
      </w:pPr>
      <w:r>
        <w:rPr>
          <w:rFonts w:hint="eastAsia" w:ascii="Times New Roman" w:hAnsi="Times New Roman" w:eastAsia="仿宋_GB2312" w:cs="仿宋_GB2312"/>
          <w:i w:val="0"/>
          <w:caps w:val="0"/>
          <w:color w:val="auto"/>
          <w:spacing w:val="0"/>
          <w:sz w:val="32"/>
          <w:szCs w:val="32"/>
          <w:highlight w:val="none"/>
          <w:shd w:val="clear" w:color="auto" w:fill="auto"/>
          <w:lang w:eastAsia="zh-CN"/>
        </w:rPr>
        <w:t>十</w:t>
      </w:r>
      <w:r>
        <w:rPr>
          <w:rFonts w:hint="eastAsia" w:ascii="Times New Roman" w:hAnsi="Times New Roman" w:eastAsia="仿宋_GB2312" w:cs="仿宋_GB2312"/>
          <w:i w:val="0"/>
          <w:caps w:val="0"/>
          <w:color w:val="auto"/>
          <w:spacing w:val="0"/>
          <w:sz w:val="32"/>
          <w:szCs w:val="32"/>
          <w:highlight w:val="none"/>
          <w:shd w:val="clear" w:color="auto" w:fill="auto"/>
        </w:rPr>
        <w:t>、政府性基金支出预算表</w:t>
      </w:r>
    </w:p>
    <w:p w14:paraId="4930064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1"/>
        <w:rPr>
          <w:rFonts w:hint="eastAsia" w:ascii="Times New Roman" w:hAnsi="Times New Roman" w:eastAsia="仿宋_GB2312" w:cs="仿宋_GB2312"/>
          <w:i w:val="0"/>
          <w:caps w:val="0"/>
          <w:color w:val="auto"/>
          <w:spacing w:val="0"/>
          <w:sz w:val="32"/>
          <w:szCs w:val="32"/>
          <w:highlight w:val="none"/>
          <w:shd w:val="clear" w:color="auto" w:fill="auto"/>
          <w:lang w:eastAsia="zh-CN"/>
        </w:rPr>
      </w:pPr>
      <w:r>
        <w:rPr>
          <w:rFonts w:hint="eastAsia" w:ascii="Times New Roman" w:hAnsi="Times New Roman" w:eastAsia="仿宋_GB2312" w:cs="仿宋_GB2312"/>
          <w:i w:val="0"/>
          <w:caps w:val="0"/>
          <w:color w:val="auto"/>
          <w:spacing w:val="0"/>
          <w:sz w:val="32"/>
          <w:szCs w:val="32"/>
          <w:highlight w:val="none"/>
          <w:shd w:val="clear" w:color="auto" w:fill="auto"/>
          <w:lang w:eastAsia="zh-CN"/>
        </w:rPr>
        <w:t>十一、政府性基金预算“三公”经费支出预算表</w:t>
      </w:r>
    </w:p>
    <w:p w14:paraId="64B8A15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1"/>
        <w:rPr>
          <w:rFonts w:hint="eastAsia" w:ascii="Times New Roman" w:hAnsi="Times New Roman" w:eastAsia="仿宋_GB2312" w:cs="仿宋_GB2312"/>
          <w:i w:val="0"/>
          <w:caps w:val="0"/>
          <w:color w:val="auto"/>
          <w:spacing w:val="0"/>
          <w:sz w:val="32"/>
          <w:szCs w:val="32"/>
          <w:highlight w:val="none"/>
          <w:shd w:val="clear" w:color="auto" w:fill="auto"/>
        </w:rPr>
      </w:pPr>
      <w:r>
        <w:rPr>
          <w:rFonts w:hint="eastAsia" w:ascii="Times New Roman" w:hAnsi="Times New Roman" w:eastAsia="仿宋_GB2312" w:cs="仿宋_GB2312"/>
          <w:i w:val="0"/>
          <w:caps w:val="0"/>
          <w:color w:val="auto"/>
          <w:spacing w:val="0"/>
          <w:sz w:val="32"/>
          <w:szCs w:val="32"/>
          <w:highlight w:val="none"/>
          <w:shd w:val="clear" w:color="auto" w:fill="auto"/>
          <w:lang w:eastAsia="zh-CN"/>
        </w:rPr>
        <w:t>十二</w:t>
      </w:r>
      <w:r>
        <w:rPr>
          <w:rFonts w:hint="eastAsia" w:ascii="Times New Roman" w:hAnsi="Times New Roman" w:eastAsia="仿宋_GB2312" w:cs="仿宋_GB2312"/>
          <w:i w:val="0"/>
          <w:caps w:val="0"/>
          <w:color w:val="auto"/>
          <w:spacing w:val="0"/>
          <w:sz w:val="32"/>
          <w:szCs w:val="32"/>
          <w:highlight w:val="none"/>
          <w:shd w:val="clear" w:color="auto" w:fill="auto"/>
        </w:rPr>
        <w:t>、国有资本经营预算支出</w:t>
      </w:r>
      <w:r>
        <w:rPr>
          <w:rFonts w:hint="eastAsia" w:ascii="Times New Roman" w:hAnsi="Times New Roman" w:eastAsia="仿宋_GB2312" w:cs="仿宋_GB2312"/>
          <w:i w:val="0"/>
          <w:caps w:val="0"/>
          <w:color w:val="auto"/>
          <w:spacing w:val="0"/>
          <w:sz w:val="32"/>
          <w:szCs w:val="32"/>
          <w:highlight w:val="none"/>
          <w:shd w:val="clear" w:color="auto" w:fill="auto"/>
          <w:lang w:eastAsia="zh-CN"/>
        </w:rPr>
        <w:t>预算</w:t>
      </w:r>
      <w:r>
        <w:rPr>
          <w:rFonts w:hint="eastAsia" w:ascii="Times New Roman" w:hAnsi="Times New Roman" w:eastAsia="仿宋_GB2312" w:cs="仿宋_GB2312"/>
          <w:i w:val="0"/>
          <w:caps w:val="0"/>
          <w:color w:val="auto"/>
          <w:spacing w:val="0"/>
          <w:sz w:val="32"/>
          <w:szCs w:val="32"/>
          <w:highlight w:val="none"/>
          <w:shd w:val="clear" w:color="auto" w:fill="auto"/>
        </w:rPr>
        <w:t>表</w:t>
      </w:r>
    </w:p>
    <w:p w14:paraId="747E73A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1"/>
        <w:rPr>
          <w:rFonts w:hint="eastAsia" w:ascii="Times New Roman" w:hAnsi="Times New Roman" w:eastAsia="仿宋_GB2312" w:cs="仿宋_GB2312"/>
          <w:i w:val="0"/>
          <w:caps w:val="0"/>
          <w:color w:val="auto"/>
          <w:spacing w:val="0"/>
          <w:sz w:val="32"/>
          <w:szCs w:val="32"/>
          <w:highlight w:val="none"/>
          <w:shd w:val="clear" w:color="auto" w:fill="auto"/>
        </w:rPr>
      </w:pPr>
      <w:r>
        <w:rPr>
          <w:rFonts w:hint="eastAsia" w:ascii="Times New Roman" w:hAnsi="Times New Roman" w:eastAsia="仿宋_GB2312" w:cs="仿宋_GB2312"/>
          <w:i w:val="0"/>
          <w:caps w:val="0"/>
          <w:color w:val="auto"/>
          <w:spacing w:val="0"/>
          <w:sz w:val="32"/>
          <w:szCs w:val="32"/>
          <w:highlight w:val="none"/>
          <w:shd w:val="clear" w:color="auto" w:fill="auto"/>
        </w:rPr>
        <w:t>十三、</w:t>
      </w:r>
      <w:r>
        <w:rPr>
          <w:rFonts w:hint="eastAsia" w:ascii="Times New Roman" w:hAnsi="Times New Roman" w:eastAsia="仿宋_GB2312" w:cs="仿宋_GB2312"/>
          <w:i w:val="0"/>
          <w:caps w:val="0"/>
          <w:color w:val="auto"/>
          <w:spacing w:val="0"/>
          <w:sz w:val="32"/>
          <w:szCs w:val="32"/>
          <w:highlight w:val="none"/>
          <w:shd w:val="clear" w:color="auto" w:fill="auto"/>
          <w:lang w:eastAsia="zh-CN"/>
        </w:rPr>
        <w:t>单位</w:t>
      </w:r>
      <w:r>
        <w:rPr>
          <w:rFonts w:hint="eastAsia" w:ascii="Times New Roman" w:hAnsi="Times New Roman" w:eastAsia="仿宋_GB2312" w:cs="仿宋_GB2312"/>
          <w:i w:val="0"/>
          <w:caps w:val="0"/>
          <w:color w:val="auto"/>
          <w:spacing w:val="0"/>
          <w:sz w:val="32"/>
          <w:szCs w:val="32"/>
          <w:highlight w:val="none"/>
          <w:shd w:val="clear" w:color="auto" w:fill="auto"/>
        </w:rPr>
        <w:t>预算项目支出绩效目标表</w:t>
      </w:r>
    </w:p>
    <w:p w14:paraId="0D2D37C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0"/>
        <w:rPr>
          <w:rStyle w:val="17"/>
          <w:rFonts w:ascii="Times New Roman" w:hAnsi="Times New Roman" w:eastAsia="黑体" w:cs="宋体"/>
          <w:b w:val="0"/>
          <w:bCs/>
          <w:i w:val="0"/>
          <w:caps w:val="0"/>
          <w:color w:val="auto"/>
          <w:spacing w:val="0"/>
          <w:sz w:val="32"/>
          <w:szCs w:val="21"/>
          <w:highlight w:val="none"/>
          <w:shd w:val="clear" w:color="auto" w:fill="auto"/>
        </w:rPr>
      </w:pPr>
      <w:r>
        <w:rPr>
          <w:rStyle w:val="17"/>
          <w:rFonts w:ascii="Times New Roman" w:hAnsi="Times New Roman" w:eastAsia="黑体" w:cs="宋体"/>
          <w:b w:val="0"/>
          <w:bCs/>
          <w:i w:val="0"/>
          <w:caps w:val="0"/>
          <w:color w:val="auto"/>
          <w:spacing w:val="0"/>
          <w:sz w:val="32"/>
          <w:szCs w:val="21"/>
          <w:highlight w:val="none"/>
          <w:shd w:val="clear" w:color="auto" w:fill="auto"/>
        </w:rPr>
        <w:t>第三部分</w:t>
      </w:r>
      <w:r>
        <w:rPr>
          <w:rStyle w:val="17"/>
          <w:rFonts w:hint="eastAsia" w:ascii="Times New Roman" w:hAnsi="Times New Roman" w:eastAsia="黑体" w:cs="宋体"/>
          <w:b w:val="0"/>
          <w:bCs/>
          <w:i w:val="0"/>
          <w:caps w:val="0"/>
          <w:color w:val="auto"/>
          <w:spacing w:val="0"/>
          <w:sz w:val="32"/>
          <w:szCs w:val="21"/>
          <w:highlight w:val="none"/>
          <w:shd w:val="clear" w:color="auto" w:fill="auto"/>
          <w:lang w:val="en-US" w:eastAsia="zh-CN"/>
        </w:rPr>
        <w:t xml:space="preserve"> </w:t>
      </w:r>
      <w:r>
        <w:rPr>
          <w:rStyle w:val="17"/>
          <w:rFonts w:ascii="Times New Roman" w:hAnsi="Times New Roman" w:eastAsia="黑体" w:cs="宋体"/>
          <w:b w:val="0"/>
          <w:bCs/>
          <w:i w:val="0"/>
          <w:caps w:val="0"/>
          <w:color w:val="auto"/>
          <w:spacing w:val="0"/>
          <w:sz w:val="32"/>
          <w:szCs w:val="21"/>
          <w:highlight w:val="none"/>
          <w:shd w:val="clear" w:color="auto" w:fill="auto"/>
        </w:rPr>
        <w:t xml:space="preserve"> </w:t>
      </w:r>
      <w:r>
        <w:rPr>
          <w:rStyle w:val="17"/>
          <w:rFonts w:hint="eastAsia" w:ascii="Times New Roman" w:hAnsi="Times New Roman" w:eastAsia="黑体" w:cs="宋体"/>
          <w:b w:val="0"/>
          <w:bCs/>
          <w:i w:val="0"/>
          <w:caps w:val="0"/>
          <w:color w:val="auto"/>
          <w:spacing w:val="0"/>
          <w:sz w:val="32"/>
          <w:szCs w:val="21"/>
          <w:highlight w:val="none"/>
          <w:shd w:val="clear" w:color="auto" w:fill="auto"/>
        </w:rPr>
        <w:t>中国共产党木里藏族自治县委员会党校</w:t>
      </w:r>
      <w:r>
        <w:rPr>
          <w:rStyle w:val="17"/>
          <w:rFonts w:ascii="Times New Roman" w:hAnsi="Times New Roman" w:eastAsia="Times New Roman" w:cs="Times New Roman"/>
          <w:color w:val="auto"/>
          <w:sz w:val="32"/>
          <w:u w:color="auto"/>
        </w:rPr>
        <w:t>2026</w:t>
      </w:r>
      <w:r>
        <w:rPr>
          <w:rStyle w:val="17"/>
          <w:rFonts w:ascii="Times New Roman" w:hAnsi="Times New Roman" w:eastAsia="黑体" w:cs="宋体"/>
          <w:b w:val="0"/>
          <w:bCs/>
          <w:i w:val="0"/>
          <w:caps w:val="0"/>
          <w:color w:val="auto"/>
          <w:spacing w:val="0"/>
          <w:sz w:val="32"/>
          <w:szCs w:val="21"/>
          <w:highlight w:val="none"/>
          <w:shd w:val="clear" w:color="auto" w:fill="auto"/>
        </w:rPr>
        <w:t>年</w:t>
      </w:r>
      <w:r>
        <w:rPr>
          <w:rStyle w:val="17"/>
          <w:rFonts w:hint="eastAsia" w:ascii="Times New Roman" w:hAnsi="Times New Roman" w:eastAsia="黑体" w:cs="宋体"/>
          <w:b w:val="0"/>
          <w:bCs/>
          <w:i w:val="0"/>
          <w:caps w:val="0"/>
          <w:color w:val="auto"/>
          <w:spacing w:val="0"/>
          <w:sz w:val="32"/>
          <w:szCs w:val="21"/>
          <w:highlight w:val="none"/>
          <w:shd w:val="clear" w:color="auto" w:fill="auto"/>
          <w:lang w:eastAsia="zh-CN"/>
        </w:rPr>
        <w:t>单位</w:t>
      </w:r>
      <w:r>
        <w:rPr>
          <w:rStyle w:val="17"/>
          <w:rFonts w:ascii="Times New Roman" w:hAnsi="Times New Roman" w:eastAsia="黑体" w:cs="宋体"/>
          <w:b w:val="0"/>
          <w:bCs/>
          <w:i w:val="0"/>
          <w:caps w:val="0"/>
          <w:color w:val="auto"/>
          <w:spacing w:val="0"/>
          <w:sz w:val="32"/>
          <w:szCs w:val="21"/>
          <w:highlight w:val="none"/>
          <w:shd w:val="clear" w:color="auto" w:fill="auto"/>
        </w:rPr>
        <w:t>预算情况说明</w:t>
      </w:r>
    </w:p>
    <w:p w14:paraId="65CD801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0"/>
        <w:rPr>
          <w:rStyle w:val="17"/>
          <w:rFonts w:ascii="Times New Roman" w:hAnsi="Times New Roman" w:eastAsia="黑体" w:cs="宋体"/>
          <w:b w:val="0"/>
          <w:bCs/>
          <w:i w:val="0"/>
          <w:caps w:val="0"/>
          <w:color w:val="auto"/>
          <w:spacing w:val="0"/>
          <w:sz w:val="32"/>
          <w:szCs w:val="21"/>
          <w:highlight w:val="none"/>
          <w:shd w:val="clear" w:color="auto" w:fill="auto"/>
        </w:rPr>
      </w:pPr>
      <w:r>
        <w:rPr>
          <w:rStyle w:val="17"/>
          <w:rFonts w:ascii="Times New Roman" w:hAnsi="Times New Roman" w:eastAsia="黑体" w:cs="宋体"/>
          <w:b w:val="0"/>
          <w:bCs/>
          <w:i w:val="0"/>
          <w:caps w:val="0"/>
          <w:color w:val="auto"/>
          <w:spacing w:val="0"/>
          <w:sz w:val="32"/>
          <w:szCs w:val="21"/>
          <w:highlight w:val="none"/>
          <w:shd w:val="clear" w:color="auto" w:fill="auto"/>
        </w:rPr>
        <w:t>第四部分</w:t>
      </w:r>
      <w:r>
        <w:rPr>
          <w:rStyle w:val="17"/>
          <w:rFonts w:hint="eastAsia" w:ascii="Times New Roman" w:hAnsi="Times New Roman" w:eastAsia="黑体" w:cs="宋体"/>
          <w:b w:val="0"/>
          <w:bCs/>
          <w:i w:val="0"/>
          <w:caps w:val="0"/>
          <w:color w:val="auto"/>
          <w:spacing w:val="0"/>
          <w:sz w:val="32"/>
          <w:szCs w:val="21"/>
          <w:highlight w:val="none"/>
          <w:shd w:val="clear" w:color="auto" w:fill="auto"/>
          <w:lang w:val="en-US" w:eastAsia="zh-CN"/>
        </w:rPr>
        <w:t xml:space="preserve">  </w:t>
      </w:r>
      <w:r>
        <w:rPr>
          <w:rStyle w:val="17"/>
          <w:rFonts w:ascii="Times New Roman" w:hAnsi="Times New Roman" w:eastAsia="黑体" w:cs="宋体"/>
          <w:b w:val="0"/>
          <w:bCs/>
          <w:i w:val="0"/>
          <w:caps w:val="0"/>
          <w:color w:val="auto"/>
          <w:spacing w:val="0"/>
          <w:sz w:val="32"/>
          <w:szCs w:val="21"/>
          <w:highlight w:val="none"/>
          <w:shd w:val="clear" w:color="auto" w:fill="auto"/>
        </w:rPr>
        <w:t>名词解释</w:t>
      </w:r>
    </w:p>
    <w:p w14:paraId="055F4FC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sectPr>
          <w:footerReference r:id="rId6" w:type="default"/>
          <w:pgSz w:w="11906" w:h="16838"/>
          <w:pgMar w:top="1440" w:right="1800" w:bottom="1440" w:left="1800" w:header="720" w:footer="720" w:gutter="0"/>
          <w:pgBorders w:offsetFrom="page">
            <w:top w:val="none" w:sz="0" w:space="0"/>
            <w:left w:val="none" w:sz="0" w:space="0"/>
            <w:bottom w:val="none" w:sz="0" w:space="0"/>
            <w:right w:val="none" w:sz="0" w:space="0"/>
          </w:pgBorders>
          <w:pgNumType w:fmt="numberInDash" w:start="1"/>
          <w:cols w:space="720" w:num="1"/>
          <w:docGrid w:type="lines" w:linePitch="312" w:charSpace="0"/>
        </w:sectPr>
      </w:pPr>
    </w:p>
    <w:p w14:paraId="44BEA7C7">
      <w:pPr>
        <w:pageBreakBefore w:val="0"/>
        <w:kinsoku/>
        <w:wordWrap/>
        <w:overflowPunct/>
        <w:topLinePunct w:val="0"/>
        <w:autoSpaceDE/>
        <w:autoSpaceDN/>
        <w:bidi w:val="0"/>
        <w:snapToGrid/>
        <w:spacing w:line="240" w:lineRule="auto"/>
        <w:textAlignment w:val="auto"/>
        <w:rPr>
          <w:rFonts w:hint="eastAsia" w:ascii="思源黑体 CN Normal" w:hAnsi="思源黑体 CN Normal" w:eastAsia="思源黑体 CN Normal" w:cs="思源黑体 CN Normal"/>
        </w:rPr>
      </w:pPr>
    </w:p>
    <w:p w14:paraId="13A55F95">
      <w:pPr>
        <w:pageBreakBefore w:val="0"/>
        <w:kinsoku/>
        <w:wordWrap/>
        <w:overflowPunct/>
        <w:topLinePunct w:val="0"/>
        <w:autoSpaceDE/>
        <w:autoSpaceDN/>
        <w:bidi w:val="0"/>
        <w:snapToGrid/>
        <w:spacing w:line="240" w:lineRule="auto"/>
        <w:textAlignment w:val="auto"/>
        <w:rPr>
          <w:rStyle w:val="17"/>
          <w:rFonts w:hint="eastAsia" w:ascii="思源黑体 CN Normal" w:hAnsi="思源黑体 CN Normal" w:eastAsia="思源黑体 CN Normal" w:cs="思源黑体 CN Normal"/>
        </w:rPr>
      </w:pPr>
    </w:p>
    <w:p w14:paraId="3A92706E">
      <w:pPr>
        <w:pStyle w:val="13"/>
        <w:pageBreakBefore w:val="0"/>
        <w:widowControl/>
        <w:kinsoku/>
        <w:wordWrap/>
        <w:overflowPunct/>
        <w:topLinePunct w:val="0"/>
        <w:autoSpaceDE/>
        <w:autoSpaceDN/>
        <w:bidi w:val="0"/>
        <w:snapToGrid/>
        <w:spacing w:before="0" w:beforeAutospacing="0" w:after="0" w:afterAutospacing="0" w:line="240" w:lineRule="auto"/>
        <w:jc w:val="center"/>
        <w:textAlignment w:val="auto"/>
        <w:rPr>
          <w:rFonts w:hint="eastAsia" w:ascii="思源黑体 CN Normal" w:hAnsi="思源黑体 CN Normal" w:eastAsia="思源黑体 CN Normal" w:cs="思源黑体 CN Normal"/>
          <w:sz w:val="52"/>
          <w:szCs w:val="52"/>
          <w:lang w:bidi="ar"/>
        </w:rPr>
      </w:pPr>
    </w:p>
    <w:p w14:paraId="3EBB44DE">
      <w:pPr>
        <w:pStyle w:val="13"/>
        <w:pageBreakBefore w:val="0"/>
        <w:widowControl/>
        <w:kinsoku/>
        <w:wordWrap/>
        <w:overflowPunct/>
        <w:topLinePunct w:val="0"/>
        <w:autoSpaceDE/>
        <w:autoSpaceDN/>
        <w:bidi w:val="0"/>
        <w:snapToGrid/>
        <w:spacing w:before="0" w:beforeAutospacing="0" w:after="0" w:afterAutospacing="0" w:line="240" w:lineRule="auto"/>
        <w:jc w:val="center"/>
        <w:textAlignment w:val="auto"/>
        <w:rPr>
          <w:rFonts w:hint="eastAsia" w:ascii="思源黑体 CN Normal" w:hAnsi="思源黑体 CN Normal" w:eastAsia="思源黑体 CN Normal" w:cs="思源黑体 CN Normal"/>
          <w:sz w:val="52"/>
          <w:szCs w:val="52"/>
          <w:lang w:bidi="ar"/>
        </w:rPr>
      </w:pPr>
    </w:p>
    <w:p w14:paraId="1FB64EA9">
      <w:pPr>
        <w:pStyle w:val="13"/>
        <w:pageBreakBefore w:val="0"/>
        <w:widowControl/>
        <w:kinsoku/>
        <w:wordWrap/>
        <w:overflowPunct/>
        <w:topLinePunct w:val="0"/>
        <w:autoSpaceDE/>
        <w:autoSpaceDN/>
        <w:bidi w:val="0"/>
        <w:snapToGrid/>
        <w:spacing w:before="0" w:beforeAutospacing="0" w:after="0" w:afterAutospacing="0" w:line="240" w:lineRule="auto"/>
        <w:jc w:val="center"/>
        <w:textAlignment w:val="auto"/>
        <w:rPr>
          <w:rFonts w:hint="eastAsia" w:ascii="思源黑体 CN Normal" w:hAnsi="思源黑体 CN Normal" w:eastAsia="思源黑体 CN Normal" w:cs="思源黑体 CN Normal"/>
          <w:sz w:val="52"/>
          <w:szCs w:val="52"/>
          <w:lang w:bidi="ar"/>
        </w:rPr>
      </w:pPr>
    </w:p>
    <w:p w14:paraId="1BB9AE8B">
      <w:pPr>
        <w:pStyle w:val="13"/>
        <w:pageBreakBefore w:val="0"/>
        <w:widowControl/>
        <w:kinsoku/>
        <w:wordWrap/>
        <w:overflowPunct/>
        <w:topLinePunct w:val="0"/>
        <w:autoSpaceDE/>
        <w:autoSpaceDN/>
        <w:bidi w:val="0"/>
        <w:snapToGrid/>
        <w:spacing w:before="0" w:beforeAutospacing="0" w:after="0" w:afterAutospacing="0" w:line="240" w:lineRule="auto"/>
        <w:jc w:val="center"/>
        <w:textAlignment w:val="auto"/>
        <w:rPr>
          <w:rFonts w:hint="eastAsia" w:ascii="思源黑体 CN Normal" w:hAnsi="思源黑体 CN Normal" w:eastAsia="思源黑体 CN Normal" w:cs="思源黑体 CN Normal"/>
          <w:sz w:val="52"/>
          <w:szCs w:val="52"/>
          <w:lang w:bidi="ar"/>
        </w:rPr>
      </w:pPr>
    </w:p>
    <w:p w14:paraId="2481426C">
      <w:pPr>
        <w:pStyle w:val="13"/>
        <w:pageBreakBefore w:val="0"/>
        <w:widowControl/>
        <w:kinsoku/>
        <w:wordWrap/>
        <w:overflowPunct/>
        <w:topLinePunct w:val="0"/>
        <w:autoSpaceDE/>
        <w:autoSpaceDN/>
        <w:bidi w:val="0"/>
        <w:snapToGrid/>
        <w:spacing w:before="0" w:beforeAutospacing="0" w:after="0" w:afterAutospacing="0" w:line="240" w:lineRule="auto"/>
        <w:ind w:left="0" w:leftChars="0" w:firstLine="0" w:firstLineChars="0"/>
        <w:jc w:val="both"/>
        <w:textAlignment w:val="auto"/>
        <w:outlineLvl w:val="0"/>
        <w:rPr>
          <w:rFonts w:hint="eastAsia" w:ascii="思源黑体 CN Normal" w:hAnsi="思源黑体 CN Normal" w:eastAsia="思源黑体 CN Normal" w:cs="思源黑体 CN Normal"/>
          <w:sz w:val="52"/>
          <w:szCs w:val="52"/>
          <w:lang w:bidi="ar"/>
        </w:rPr>
      </w:pPr>
    </w:p>
    <w:p w14:paraId="43A03401">
      <w:pPr>
        <w:pStyle w:val="13"/>
        <w:pageBreakBefore w:val="0"/>
        <w:widowControl/>
        <w:kinsoku/>
        <w:wordWrap/>
        <w:overflowPunct/>
        <w:topLinePunct w:val="0"/>
        <w:autoSpaceDE/>
        <w:autoSpaceDN/>
        <w:bidi w:val="0"/>
        <w:snapToGrid/>
        <w:spacing w:before="0" w:beforeAutospacing="0" w:after="0" w:afterAutospacing="0" w:line="240" w:lineRule="auto"/>
        <w:ind w:left="0" w:leftChars="0" w:firstLine="0" w:firstLineChars="0"/>
        <w:jc w:val="center"/>
        <w:textAlignment w:val="auto"/>
        <w:outlineLvl w:val="0"/>
        <w:rPr>
          <w:rStyle w:val="17"/>
          <w:rFonts w:hint="eastAsia" w:ascii="黑体" w:hAnsi="黑体" w:eastAsia="黑体" w:cs="黑体"/>
        </w:rPr>
      </w:pPr>
      <w:bookmarkStart w:id="0" w:name="_Toc26897"/>
      <w:r>
        <w:rPr>
          <w:rStyle w:val="17"/>
          <w:rFonts w:hint="eastAsia" w:ascii="黑体" w:hAnsi="黑体" w:eastAsia="黑体" w:cs="黑体"/>
          <w:sz w:val="52"/>
          <w:szCs w:val="52"/>
        </w:rPr>
        <w:t xml:space="preserve">第一部分  </w:t>
      </w:r>
      <w:r>
        <w:rPr>
          <w:rStyle w:val="17"/>
          <w:rFonts w:hint="eastAsia" w:ascii="黑体" w:hAnsi="黑体" w:eastAsia="黑体" w:cs="黑体"/>
          <w:sz w:val="52"/>
          <w:u w:color="auto"/>
        </w:rPr>
        <w:t>中国共产党木里藏族自治县委员会党校概况</w:t>
      </w:r>
      <w:bookmarkEnd w:id="0"/>
    </w:p>
    <w:p w14:paraId="33D3153B">
      <w:pPr>
        <w:pStyle w:val="13"/>
        <w:pageBreakBefore w:val="0"/>
        <w:widowControl/>
        <w:kinsoku/>
        <w:wordWrap/>
        <w:overflowPunct/>
        <w:topLinePunct w:val="0"/>
        <w:autoSpaceDE/>
        <w:autoSpaceDN/>
        <w:bidi w:val="0"/>
        <w:adjustRightInd w:val="0"/>
        <w:snapToGrid/>
        <w:spacing w:before="0" w:beforeAutospacing="0" w:after="0" w:afterAutospacing="0" w:line="240" w:lineRule="auto"/>
        <w:ind w:firstLine="640" w:firstLineChars="200"/>
        <w:jc w:val="both"/>
        <w:textAlignment w:val="auto"/>
        <w:rPr>
          <w:rStyle w:val="17"/>
          <w:rFonts w:hint="eastAsia" w:ascii="思源黑体 CN Normal" w:hAnsi="思源黑体 CN Normal" w:eastAsia="思源黑体 CN Normal" w:cs="思源黑体 CN Normal"/>
          <w:b w:val="0"/>
          <w:bCs/>
          <w:sz w:val="32"/>
          <w:szCs w:val="21"/>
        </w:rPr>
        <w:sectPr>
          <w:footerReference r:id="rId7" w:type="default"/>
          <w:pgSz w:w="11906" w:h="16838"/>
          <w:pgMar w:top="1440" w:right="1800" w:bottom="1440" w:left="1800" w:header="720" w:footer="720" w:gutter="0"/>
          <w:pgNumType w:fmt="decimal" w:start="1"/>
          <w:cols w:space="720" w:num="1"/>
          <w:docGrid w:type="lines" w:linePitch="312" w:charSpace="0"/>
        </w:sectPr>
      </w:pPr>
    </w:p>
    <w:p w14:paraId="1041BAA4">
      <w:pPr>
        <w:pStyle w:val="2"/>
        <w:numPr>
          <w:ilvl w:val="0"/>
          <w:numId w:val="2"/>
        </w:numPr>
        <w:bidi w:val="0"/>
        <w:rPr>
          <w:rFonts w:hint="eastAsia"/>
        </w:rPr>
      </w:pPr>
      <w:r>
        <w:rPr>
          <w:rStyle w:val="17"/>
          <w:rFonts w:hint="eastAsia" w:ascii="Times New Roman" w:hAnsi="Times New Roman" w:eastAsia="黑体" w:cs="宋体"/>
          <w:b w:val="0"/>
          <w:bCs/>
          <w:i w:val="0"/>
          <w:caps w:val="0"/>
          <w:color w:val="auto"/>
          <w:spacing w:val="0"/>
          <w:sz w:val="32"/>
          <w:szCs w:val="21"/>
          <w:highlight w:val="none"/>
          <w:shd w:val="clear" w:color="auto" w:fill="auto"/>
          <w:lang w:eastAsia="zh-CN"/>
        </w:rPr>
        <w:t>基本职能及主要工作</w:t>
      </w:r>
    </w:p>
    <w:p w14:paraId="0666D426">
      <w:pPr>
        <w:numPr>
          <w:ilvl w:val="0"/>
          <w:numId w:val="3"/>
        </w:numPr>
        <w:rPr>
          <w:rFonts w:hint="eastAsia" w:ascii="楷体" w:hAnsi="楷体" w:eastAsia="楷体" w:cs="楷体"/>
          <w:b/>
          <w:color w:val="auto"/>
          <w:sz w:val="32"/>
          <w:szCs w:val="32"/>
          <w:highlight w:val="none"/>
          <w:shd w:val="clear" w:color="auto" w:fill="auto"/>
          <w:lang w:val="en-US" w:eastAsia="zh-CN"/>
        </w:rPr>
      </w:pPr>
      <w:r>
        <w:rPr>
          <w:rFonts w:hint="eastAsia" w:ascii="楷体" w:hAnsi="楷体" w:eastAsia="楷体" w:cs="楷体"/>
          <w:b/>
          <w:color w:val="auto"/>
          <w:sz w:val="32"/>
          <w:szCs w:val="32"/>
          <w:highlight w:val="none"/>
          <w:shd w:val="clear" w:color="auto" w:fill="auto"/>
          <w:lang w:val="en-US" w:eastAsia="zh-CN"/>
        </w:rPr>
        <w:t>党校</w:t>
      </w:r>
      <w:r>
        <w:rPr>
          <w:rFonts w:ascii="楷体" w:hAnsi="楷体" w:eastAsia="楷体" w:cs="楷体"/>
          <w:b/>
          <w:color w:val="auto"/>
          <w:sz w:val="32"/>
          <w:u w:color="auto"/>
        </w:rPr>
        <w:t>职能简介。</w:t>
      </w:r>
    </w:p>
    <w:p w14:paraId="39F53014">
      <w:pPr>
        <w:bidi w:val="0"/>
        <w:rPr>
          <w:rFonts w:hint="eastAsia" w:ascii="仿宋" w:hAnsi="仿宋" w:eastAsia="仿宋" w:cs="仿宋"/>
          <w:sz w:val="32"/>
          <w:szCs w:val="32"/>
          <w:lang w:val="en-US" w:eastAsia="zh-CN"/>
        </w:rPr>
      </w:pPr>
      <w:r>
        <w:rPr>
          <w:rFonts w:hint="eastAsia" w:ascii="仿宋" w:hAnsi="仿宋" w:cs="仿宋"/>
          <w:sz w:val="32"/>
          <w:szCs w:val="32"/>
          <w:lang w:eastAsia="zh-CN"/>
        </w:rPr>
        <w:t>党校</w:t>
      </w:r>
      <w:r>
        <w:rPr>
          <w:rFonts w:hint="eastAsia" w:ascii="仿宋" w:hAnsi="仿宋" w:eastAsia="仿宋" w:cs="仿宋"/>
          <w:sz w:val="32"/>
          <w:szCs w:val="32"/>
        </w:rPr>
        <w:t>经县委批准于2004年。成立“木里县行政学校”。与县委党校实行一个机构， 两块牌子，合署办公”。主要培训和论训全县基层党员领导干都及中青年领导干部</w:t>
      </w:r>
    </w:p>
    <w:p w14:paraId="5FCACF49">
      <w:pPr>
        <w:numPr>
          <w:ilvl w:val="0"/>
          <w:numId w:val="3"/>
        </w:numPr>
        <w:rPr>
          <w:rFonts w:hint="eastAsia" w:ascii="楷体" w:hAnsi="楷体" w:eastAsia="楷体" w:cs="楷体"/>
          <w:b/>
          <w:color w:val="auto"/>
          <w:sz w:val="32"/>
          <w:szCs w:val="32"/>
          <w:highlight w:val="none"/>
          <w:shd w:val="clear" w:color="auto" w:fill="auto"/>
          <w:lang w:val="en-US" w:eastAsia="zh-CN"/>
        </w:rPr>
      </w:pPr>
      <w:r>
        <w:rPr>
          <w:rFonts w:hint="eastAsia" w:ascii="楷体" w:hAnsi="楷体" w:eastAsia="楷体" w:cs="楷体"/>
          <w:b/>
          <w:color w:val="auto"/>
          <w:sz w:val="32"/>
          <w:szCs w:val="32"/>
          <w:highlight w:val="none"/>
          <w:shd w:val="clear" w:color="auto" w:fill="auto"/>
          <w:lang w:val="en-US" w:eastAsia="zh-CN"/>
        </w:rPr>
        <w:t>党校</w:t>
      </w:r>
      <w:r>
        <w:rPr>
          <w:rFonts w:ascii="楷体" w:hAnsi="楷体" w:eastAsia="楷体" w:cs="楷体"/>
          <w:b/>
          <w:color w:val="auto"/>
          <w:sz w:val="32"/>
          <w:u w:color="auto"/>
        </w:rPr>
        <w:t>2026年重点工作</w:t>
      </w:r>
    </w:p>
    <w:p w14:paraId="77B53CE8">
      <w:pPr>
        <w:bidi w:val="0"/>
        <w:rPr>
          <w:rFonts w:hint="eastAsia" w:ascii="仿宋" w:hAnsi="仿宋" w:eastAsia="仿宋" w:cs="仿宋"/>
          <w:sz w:val="32"/>
          <w:szCs w:val="32"/>
        </w:rPr>
      </w:pPr>
      <w:r>
        <w:rPr>
          <w:rFonts w:hint="eastAsia" w:ascii="仿宋" w:hAnsi="仿宋" w:eastAsia="仿宋" w:cs="仿宋"/>
          <w:sz w:val="32"/>
          <w:szCs w:val="32"/>
        </w:rPr>
        <w:t>主要培训和论训全县基层党员领导干都及中青年领导干部</w:t>
      </w:r>
    </w:p>
    <w:p w14:paraId="2E135586">
      <w:pPr>
        <w:keepNext w:val="0"/>
        <w:keepLines w:val="0"/>
        <w:widowControl/>
        <w:suppressLineNumbers w:val="0"/>
        <w:jc w:val="left"/>
        <w:rPr>
          <w:rStyle w:val="17"/>
          <w:rFonts w:hint="eastAsia" w:eastAsia="黑体" w:cs="宋体"/>
          <w:b w:val="0"/>
          <w:bCs/>
          <w:i w:val="0"/>
          <w:caps w:val="0"/>
          <w:color w:val="auto"/>
          <w:spacing w:val="0"/>
          <w:kern w:val="44"/>
          <w:sz w:val="32"/>
          <w:szCs w:val="21"/>
          <w:highlight w:val="none"/>
          <w:shd w:val="clear" w:color="auto" w:fill="auto"/>
          <w:lang w:val="en-US" w:eastAsia="zh-CN" w:bidi="ar-SA"/>
        </w:rPr>
      </w:pPr>
      <w:bookmarkStart w:id="1" w:name="_Toc15861"/>
      <w:r>
        <w:rPr>
          <w:rStyle w:val="17"/>
          <w:rFonts w:hint="eastAsia" w:eastAsia="黑体" w:cs="宋体"/>
          <w:b w:val="0"/>
          <w:bCs/>
          <w:i w:val="0"/>
          <w:caps w:val="0"/>
          <w:color w:val="auto"/>
          <w:spacing w:val="0"/>
          <w:kern w:val="44"/>
          <w:sz w:val="32"/>
          <w:szCs w:val="21"/>
          <w:highlight w:val="none"/>
          <w:shd w:val="clear" w:color="auto" w:fill="auto"/>
          <w:lang w:val="en-US" w:eastAsia="zh-CN" w:bidi="ar-SA"/>
        </w:rPr>
        <w:t>二、</w:t>
      </w:r>
      <w:bookmarkEnd w:id="1"/>
      <w:r>
        <w:rPr>
          <w:rStyle w:val="17"/>
          <w:rFonts w:hint="eastAsia" w:eastAsia="黑体" w:cs="宋体"/>
          <w:b w:val="0"/>
          <w:bCs/>
          <w:i w:val="0"/>
          <w:caps w:val="0"/>
          <w:color w:val="auto"/>
          <w:spacing w:val="0"/>
          <w:kern w:val="44"/>
          <w:sz w:val="32"/>
          <w:szCs w:val="21"/>
          <w:highlight w:val="none"/>
          <w:shd w:val="clear" w:color="auto" w:fill="auto"/>
          <w:lang w:val="en-US" w:eastAsia="zh-CN" w:bidi="ar-SA"/>
        </w:rPr>
        <w:t>机构设置</w:t>
      </w:r>
    </w:p>
    <w:p w14:paraId="298A8901">
      <w:pPr>
        <w:bidi w:val="0"/>
        <w:rPr>
          <w:rFonts w:hint="eastAsia" w:ascii="仿宋" w:hAnsi="仿宋" w:eastAsia="仿宋" w:cs="仿宋"/>
          <w:sz w:val="32"/>
          <w:szCs w:val="32"/>
        </w:rPr>
      </w:pPr>
      <w:r>
        <w:rPr>
          <w:rFonts w:hint="eastAsia" w:ascii="仿宋" w:hAnsi="仿宋" w:eastAsia="仿宋" w:cs="仿宋"/>
          <w:sz w:val="32"/>
          <w:szCs w:val="32"/>
        </w:rPr>
        <w:t>本单位是隶属于</w:t>
      </w:r>
      <w:r>
        <w:rPr>
          <w:rFonts w:ascii="仿宋" w:hAnsi="仿宋" w:eastAsia="仿宋" w:cs="仿宋"/>
          <w:sz w:val="32"/>
          <w:u w:color="auto"/>
        </w:rPr>
        <w:t>中国共产党木里藏族自治县委员会党校的二级预算单位，本单位无下属预算单位。</w:t>
      </w:r>
    </w:p>
    <w:p w14:paraId="5BF64AB2">
      <w:pPr>
        <w:pStyle w:val="13"/>
        <w:pageBreakBefore w:val="0"/>
        <w:widowControl/>
        <w:kinsoku/>
        <w:wordWrap/>
        <w:overflowPunct/>
        <w:topLinePunct w:val="0"/>
        <w:autoSpaceDE/>
        <w:autoSpaceDN/>
        <w:bidi w:val="0"/>
        <w:snapToGrid/>
        <w:spacing w:before="0" w:beforeAutospacing="0" w:after="0" w:afterAutospacing="0" w:line="240" w:lineRule="auto"/>
        <w:ind w:firstLine="640" w:firstLineChars="200"/>
        <w:jc w:val="both"/>
        <w:textAlignment w:val="auto"/>
        <w:rPr>
          <w:rFonts w:hint="eastAsia" w:ascii="思源黑体 CN Normal" w:hAnsi="思源黑体 CN Normal" w:eastAsia="思源黑体 CN Normal" w:cs="思源黑体 CN Normal"/>
          <w:sz w:val="32"/>
        </w:rPr>
      </w:pPr>
    </w:p>
    <w:p w14:paraId="52422DBB">
      <w:pPr>
        <w:pStyle w:val="13"/>
        <w:pageBreakBefore w:val="0"/>
        <w:widowControl/>
        <w:kinsoku/>
        <w:wordWrap/>
        <w:overflowPunct/>
        <w:topLinePunct w:val="0"/>
        <w:autoSpaceDE/>
        <w:autoSpaceDN/>
        <w:bidi w:val="0"/>
        <w:snapToGrid/>
        <w:spacing w:before="0" w:beforeAutospacing="0" w:after="0" w:afterAutospacing="0" w:line="240" w:lineRule="auto"/>
        <w:ind w:firstLine="640" w:firstLineChars="200"/>
        <w:jc w:val="both"/>
        <w:textAlignment w:val="auto"/>
        <w:rPr>
          <w:rFonts w:hint="eastAsia" w:ascii="思源黑体 CN Normal" w:hAnsi="思源黑体 CN Normal" w:eastAsia="思源黑体 CN Normal" w:cs="思源黑体 CN Normal"/>
          <w:sz w:val="32"/>
        </w:rPr>
      </w:pPr>
    </w:p>
    <w:p w14:paraId="05921F44">
      <w:pPr>
        <w:pStyle w:val="13"/>
        <w:pageBreakBefore w:val="0"/>
        <w:widowControl/>
        <w:kinsoku/>
        <w:wordWrap/>
        <w:overflowPunct/>
        <w:topLinePunct w:val="0"/>
        <w:autoSpaceDE/>
        <w:autoSpaceDN/>
        <w:bidi w:val="0"/>
        <w:snapToGrid/>
        <w:spacing w:before="0" w:beforeAutospacing="0" w:after="150" w:afterAutospacing="0" w:line="240" w:lineRule="auto"/>
        <w:textAlignment w:val="auto"/>
        <w:rPr>
          <w:rFonts w:hint="eastAsia" w:ascii="思源黑体 CN Normal" w:hAnsi="思源黑体 CN Normal" w:eastAsia="思源黑体 CN Normal" w:cs="思源黑体 CN Normal"/>
          <w:sz w:val="27"/>
          <w:szCs w:val="27"/>
        </w:rPr>
      </w:pPr>
      <w:r>
        <w:rPr>
          <w:rStyle w:val="17"/>
          <w:rFonts w:hint="eastAsia" w:ascii="思源黑体 CN Normal" w:hAnsi="思源黑体 CN Normal" w:eastAsia="思源黑体 CN Normal" w:cs="思源黑体 CN Normal"/>
          <w:sz w:val="27"/>
          <w:szCs w:val="27"/>
        </w:rPr>
        <w:t>　　</w:t>
      </w:r>
    </w:p>
    <w:p w14:paraId="455560B3">
      <w:pPr>
        <w:pStyle w:val="13"/>
        <w:pageBreakBefore w:val="0"/>
        <w:widowControl/>
        <w:kinsoku/>
        <w:wordWrap/>
        <w:overflowPunct/>
        <w:topLinePunct w:val="0"/>
        <w:autoSpaceDE/>
        <w:autoSpaceDN/>
        <w:bidi w:val="0"/>
        <w:snapToGrid/>
        <w:spacing w:before="0" w:beforeAutospacing="0" w:after="0" w:afterAutospacing="0" w:line="240" w:lineRule="auto"/>
        <w:jc w:val="center"/>
        <w:textAlignment w:val="auto"/>
        <w:rPr>
          <w:rFonts w:hint="eastAsia" w:ascii="思源黑体 CN Normal" w:hAnsi="思源黑体 CN Normal" w:eastAsia="思源黑体 CN Normal" w:cs="思源黑体 CN Normal"/>
          <w:sz w:val="52"/>
          <w:szCs w:val="52"/>
          <w:lang w:bidi="ar"/>
        </w:rPr>
        <w:sectPr>
          <w:footerReference r:id="rId8" w:type="default"/>
          <w:pgSz w:w="11906" w:h="16838"/>
          <w:pgMar w:top="1440" w:right="1800" w:bottom="1440" w:left="1800" w:header="720" w:footer="720" w:gutter="0"/>
          <w:pgNumType w:fmt="decimal"/>
          <w:cols w:space="720" w:num="1"/>
          <w:docGrid w:type="lines" w:linePitch="312" w:charSpace="0"/>
        </w:sectPr>
      </w:pPr>
    </w:p>
    <w:p w14:paraId="1AF369DF">
      <w:pPr>
        <w:pStyle w:val="13"/>
        <w:pageBreakBefore w:val="0"/>
        <w:widowControl/>
        <w:kinsoku/>
        <w:wordWrap/>
        <w:overflowPunct/>
        <w:topLinePunct w:val="0"/>
        <w:autoSpaceDE/>
        <w:autoSpaceDN/>
        <w:bidi w:val="0"/>
        <w:snapToGrid/>
        <w:spacing w:before="0" w:beforeAutospacing="0" w:after="0" w:afterAutospacing="0" w:line="240" w:lineRule="auto"/>
        <w:jc w:val="center"/>
        <w:textAlignment w:val="auto"/>
        <w:rPr>
          <w:rFonts w:hint="eastAsia" w:ascii="思源黑体 CN Normal" w:hAnsi="思源黑体 CN Normal" w:eastAsia="思源黑体 CN Normal" w:cs="思源黑体 CN Normal"/>
          <w:sz w:val="52"/>
          <w:szCs w:val="52"/>
          <w:lang w:bidi="ar"/>
        </w:rPr>
      </w:pPr>
    </w:p>
    <w:p w14:paraId="0C0BA2D8">
      <w:pPr>
        <w:pStyle w:val="13"/>
        <w:pageBreakBefore w:val="0"/>
        <w:widowControl/>
        <w:kinsoku/>
        <w:wordWrap/>
        <w:overflowPunct/>
        <w:topLinePunct w:val="0"/>
        <w:autoSpaceDE/>
        <w:autoSpaceDN/>
        <w:bidi w:val="0"/>
        <w:snapToGrid/>
        <w:spacing w:before="0" w:beforeAutospacing="0" w:after="0" w:afterAutospacing="0" w:line="240" w:lineRule="auto"/>
        <w:jc w:val="center"/>
        <w:textAlignment w:val="auto"/>
        <w:rPr>
          <w:rFonts w:hint="eastAsia" w:ascii="思源黑体 CN Normal" w:hAnsi="思源黑体 CN Normal" w:eastAsia="思源黑体 CN Normal" w:cs="思源黑体 CN Normal"/>
          <w:sz w:val="52"/>
          <w:szCs w:val="52"/>
          <w:lang w:bidi="ar"/>
        </w:rPr>
      </w:pPr>
    </w:p>
    <w:p w14:paraId="5AD96D3B">
      <w:pPr>
        <w:pStyle w:val="13"/>
        <w:pageBreakBefore w:val="0"/>
        <w:widowControl/>
        <w:kinsoku/>
        <w:wordWrap/>
        <w:overflowPunct/>
        <w:topLinePunct w:val="0"/>
        <w:autoSpaceDE/>
        <w:autoSpaceDN/>
        <w:bidi w:val="0"/>
        <w:snapToGrid/>
        <w:spacing w:before="0" w:beforeAutospacing="0" w:after="0" w:afterAutospacing="0" w:line="240" w:lineRule="auto"/>
        <w:jc w:val="center"/>
        <w:textAlignment w:val="auto"/>
        <w:rPr>
          <w:rFonts w:hint="eastAsia" w:ascii="思源黑体 CN Normal" w:hAnsi="思源黑体 CN Normal" w:eastAsia="思源黑体 CN Normal" w:cs="思源黑体 CN Normal"/>
          <w:sz w:val="52"/>
          <w:szCs w:val="52"/>
          <w:lang w:bidi="ar"/>
        </w:rPr>
      </w:pPr>
    </w:p>
    <w:p w14:paraId="6AF718B9">
      <w:pPr>
        <w:pStyle w:val="13"/>
        <w:pageBreakBefore w:val="0"/>
        <w:widowControl/>
        <w:kinsoku/>
        <w:wordWrap/>
        <w:overflowPunct/>
        <w:topLinePunct w:val="0"/>
        <w:autoSpaceDE/>
        <w:autoSpaceDN/>
        <w:bidi w:val="0"/>
        <w:snapToGrid/>
        <w:spacing w:before="0" w:beforeAutospacing="0" w:after="0" w:afterAutospacing="0" w:line="240" w:lineRule="auto"/>
        <w:jc w:val="center"/>
        <w:textAlignment w:val="auto"/>
        <w:rPr>
          <w:rFonts w:hint="eastAsia" w:ascii="思源黑体 CN Normal" w:hAnsi="思源黑体 CN Normal" w:eastAsia="思源黑体 CN Normal" w:cs="思源黑体 CN Normal"/>
          <w:sz w:val="52"/>
          <w:szCs w:val="52"/>
          <w:lang w:bidi="ar"/>
        </w:rPr>
      </w:pPr>
    </w:p>
    <w:p w14:paraId="42E0AAF7">
      <w:pPr>
        <w:pStyle w:val="13"/>
        <w:pageBreakBefore w:val="0"/>
        <w:widowControl/>
        <w:kinsoku/>
        <w:wordWrap/>
        <w:overflowPunct/>
        <w:topLinePunct w:val="0"/>
        <w:autoSpaceDE/>
        <w:autoSpaceDN/>
        <w:bidi w:val="0"/>
        <w:snapToGrid/>
        <w:spacing w:before="0" w:beforeAutospacing="0" w:after="0" w:afterAutospacing="0" w:line="240" w:lineRule="auto"/>
        <w:jc w:val="center"/>
        <w:textAlignment w:val="auto"/>
        <w:rPr>
          <w:rFonts w:hint="eastAsia" w:ascii="思源黑体 CN Normal" w:hAnsi="思源黑体 CN Normal" w:eastAsia="思源黑体 CN Normal" w:cs="思源黑体 CN Normal"/>
          <w:sz w:val="52"/>
          <w:szCs w:val="52"/>
          <w:lang w:bidi="ar"/>
        </w:rPr>
      </w:pPr>
    </w:p>
    <w:p w14:paraId="2BBE4055">
      <w:pPr>
        <w:pStyle w:val="13"/>
        <w:pageBreakBefore w:val="0"/>
        <w:widowControl/>
        <w:kinsoku/>
        <w:wordWrap/>
        <w:overflowPunct/>
        <w:topLinePunct w:val="0"/>
        <w:autoSpaceDE/>
        <w:autoSpaceDN/>
        <w:bidi w:val="0"/>
        <w:snapToGrid/>
        <w:spacing w:before="0" w:beforeAutospacing="0" w:after="0" w:afterAutospacing="0" w:line="240" w:lineRule="auto"/>
        <w:jc w:val="center"/>
        <w:textAlignment w:val="auto"/>
        <w:rPr>
          <w:rFonts w:hint="eastAsia" w:ascii="思源黑体 CN Normal" w:hAnsi="思源黑体 CN Normal" w:eastAsia="思源黑体 CN Normal" w:cs="思源黑体 CN Normal"/>
          <w:sz w:val="52"/>
          <w:szCs w:val="52"/>
          <w:lang w:bidi="ar"/>
        </w:rPr>
      </w:pPr>
    </w:p>
    <w:p w14:paraId="0B28F10A">
      <w:pPr>
        <w:pStyle w:val="13"/>
        <w:pageBreakBefore w:val="0"/>
        <w:widowControl/>
        <w:kinsoku/>
        <w:wordWrap/>
        <w:overflowPunct/>
        <w:topLinePunct w:val="0"/>
        <w:autoSpaceDE/>
        <w:autoSpaceDN/>
        <w:bidi w:val="0"/>
        <w:snapToGrid/>
        <w:spacing w:before="0" w:beforeAutospacing="0" w:after="0" w:afterAutospacing="0" w:line="240" w:lineRule="auto"/>
        <w:jc w:val="center"/>
        <w:textAlignment w:val="auto"/>
        <w:rPr>
          <w:rFonts w:hint="eastAsia" w:ascii="思源黑体 CN Normal" w:hAnsi="思源黑体 CN Normal" w:eastAsia="思源黑体 CN Normal" w:cs="思源黑体 CN Normal"/>
          <w:sz w:val="52"/>
          <w:szCs w:val="52"/>
          <w:lang w:bidi="ar"/>
        </w:rPr>
      </w:pPr>
    </w:p>
    <w:p w14:paraId="69F8C9A9">
      <w:pPr>
        <w:pStyle w:val="13"/>
        <w:pageBreakBefore w:val="0"/>
        <w:widowControl/>
        <w:kinsoku/>
        <w:wordWrap/>
        <w:overflowPunct/>
        <w:topLinePunct w:val="0"/>
        <w:autoSpaceDE/>
        <w:autoSpaceDN/>
        <w:bidi w:val="0"/>
        <w:snapToGrid/>
        <w:spacing w:before="0" w:beforeAutospacing="0" w:after="0" w:afterAutospacing="0" w:line="240" w:lineRule="auto"/>
        <w:jc w:val="center"/>
        <w:textAlignment w:val="auto"/>
        <w:rPr>
          <w:rFonts w:hint="eastAsia" w:ascii="思源黑体 CN Normal" w:hAnsi="思源黑体 CN Normal" w:eastAsia="思源黑体 CN Normal" w:cs="思源黑体 CN Normal"/>
          <w:sz w:val="52"/>
          <w:szCs w:val="52"/>
          <w:lang w:bidi="ar"/>
        </w:rPr>
      </w:pPr>
    </w:p>
    <w:p w14:paraId="0299671C">
      <w:pPr>
        <w:pStyle w:val="13"/>
        <w:pageBreakBefore w:val="0"/>
        <w:widowControl/>
        <w:kinsoku/>
        <w:wordWrap/>
        <w:overflowPunct/>
        <w:topLinePunct w:val="0"/>
        <w:autoSpaceDE/>
        <w:autoSpaceDN/>
        <w:bidi w:val="0"/>
        <w:snapToGrid/>
        <w:spacing w:before="0" w:beforeAutospacing="0" w:after="0" w:afterAutospacing="0" w:line="240" w:lineRule="auto"/>
        <w:jc w:val="center"/>
        <w:textAlignment w:val="auto"/>
        <w:rPr>
          <w:rFonts w:hint="eastAsia" w:ascii="思源黑体 CN Normal" w:hAnsi="思源黑体 CN Normal" w:eastAsia="思源黑体 CN Normal" w:cs="思源黑体 CN Normal"/>
          <w:sz w:val="52"/>
          <w:szCs w:val="52"/>
          <w:lang w:bidi="ar"/>
        </w:rPr>
      </w:pPr>
    </w:p>
    <w:p w14:paraId="7AF76D2C">
      <w:pPr>
        <w:pStyle w:val="13"/>
        <w:pageBreakBefore w:val="0"/>
        <w:widowControl/>
        <w:kinsoku/>
        <w:wordWrap/>
        <w:overflowPunct/>
        <w:topLinePunct w:val="0"/>
        <w:autoSpaceDE/>
        <w:autoSpaceDN/>
        <w:bidi w:val="0"/>
        <w:snapToGrid/>
        <w:spacing w:before="0" w:beforeAutospacing="0" w:after="0" w:afterAutospacing="0" w:line="240" w:lineRule="auto"/>
        <w:ind w:left="0" w:leftChars="0" w:firstLine="0" w:firstLineChars="0"/>
        <w:jc w:val="center"/>
        <w:textAlignment w:val="auto"/>
        <w:outlineLvl w:val="0"/>
        <w:rPr>
          <w:rStyle w:val="17"/>
          <w:rFonts w:hint="eastAsia" w:ascii="黑体" w:hAnsi="黑体" w:eastAsia="黑体" w:cs="黑体"/>
          <w:sz w:val="52"/>
          <w:szCs w:val="52"/>
        </w:rPr>
      </w:pPr>
      <w:bookmarkStart w:id="2" w:name="_Toc4119"/>
      <w:r>
        <w:rPr>
          <w:rStyle w:val="17"/>
          <w:rFonts w:hint="eastAsia" w:ascii="黑体" w:hAnsi="黑体" w:eastAsia="黑体" w:cs="黑体"/>
          <w:sz w:val="52"/>
          <w:szCs w:val="52"/>
        </w:rPr>
        <w:t xml:space="preserve">第二部分  </w:t>
      </w:r>
      <w:r>
        <w:rPr>
          <w:rStyle w:val="17"/>
          <w:rFonts w:hint="eastAsia" w:ascii="黑体" w:hAnsi="黑体" w:eastAsia="黑体" w:cs="黑体"/>
          <w:sz w:val="52"/>
          <w:u w:color="auto"/>
        </w:rPr>
        <w:t>中国共产党木里藏族自治县委员会党校2026年部门预算表</w:t>
      </w:r>
      <w:bookmarkEnd w:id="2"/>
    </w:p>
    <w:p w14:paraId="3739EC07">
      <w:pPr>
        <w:pStyle w:val="13"/>
        <w:pageBreakBefore w:val="0"/>
        <w:widowControl/>
        <w:kinsoku/>
        <w:wordWrap/>
        <w:overflowPunct/>
        <w:topLinePunct w:val="0"/>
        <w:autoSpaceDE/>
        <w:autoSpaceDN/>
        <w:bidi w:val="0"/>
        <w:snapToGrid/>
        <w:spacing w:before="450" w:beforeAutospacing="0" w:after="0" w:afterAutospacing="0" w:line="240" w:lineRule="auto"/>
        <w:ind w:left="420"/>
        <w:jc w:val="both"/>
        <w:textAlignment w:val="auto"/>
        <w:rPr>
          <w:rFonts w:hint="eastAsia" w:ascii="思源黑体 CN Normal" w:hAnsi="思源黑体 CN Normal" w:eastAsia="思源黑体 CN Normal" w:cs="思源黑体 CN Normal"/>
          <w:sz w:val="32"/>
        </w:rPr>
        <w:sectPr>
          <w:footerReference r:id="rId9" w:type="default"/>
          <w:pgSz w:w="11906" w:h="16838"/>
          <w:pgMar w:top="1440" w:right="1800" w:bottom="1440" w:left="1800" w:header="720" w:footer="720" w:gutter="0"/>
          <w:pgNumType w:fmt="decimal"/>
          <w:cols w:space="720" w:num="1"/>
          <w:docGrid w:type="lines" w:linePitch="312" w:charSpace="0"/>
        </w:sectPr>
      </w:pPr>
    </w:p>
    <w:p w14:paraId="26FBA163">
      <w:pPr>
        <w:pStyle w:val="13"/>
        <w:pageBreakBefore w:val="0"/>
        <w:widowControl/>
        <w:numPr>
          <w:ilvl w:val="0"/>
          <w:numId w:val="4"/>
        </w:numPr>
        <w:kinsoku/>
        <w:wordWrap/>
        <w:overflowPunct/>
        <w:topLinePunct w:val="0"/>
        <w:autoSpaceDE/>
        <w:autoSpaceDN/>
        <w:bidi w:val="0"/>
        <w:snapToGrid/>
        <w:spacing w:before="0" w:beforeAutospacing="0" w:after="0" w:afterAutospacing="0" w:line="240" w:lineRule="auto"/>
        <w:ind w:firstLine="640" w:firstLineChars="200"/>
        <w:jc w:val="both"/>
        <w:textAlignment w:val="auto"/>
        <w:outlineLvl w:val="1"/>
        <w:rPr>
          <w:rFonts w:hint="eastAsia" w:ascii="仿宋" w:hAnsi="仿宋" w:eastAsia="仿宋" w:cs="仿宋"/>
          <w:sz w:val="32"/>
        </w:rPr>
      </w:pPr>
      <w:bookmarkStart w:id="3" w:name="_Toc3358"/>
      <w:r>
        <w:rPr>
          <w:rFonts w:hint="eastAsia" w:ascii="仿宋" w:hAnsi="仿宋" w:eastAsia="仿宋" w:cs="仿宋"/>
          <w:sz w:val="32"/>
        </w:rPr>
        <w:t>部门收支总表（公开表1）</w:t>
      </w:r>
      <w:bookmarkEnd w:id="3"/>
    </w:p>
    <w:p w14:paraId="0B85AD48">
      <w:pPr>
        <w:pStyle w:val="13"/>
        <w:pageBreakBefore w:val="0"/>
        <w:widowControl/>
        <w:numPr>
          <w:ilvl w:val="0"/>
          <w:numId w:val="4"/>
        </w:numPr>
        <w:kinsoku/>
        <w:wordWrap/>
        <w:overflowPunct/>
        <w:topLinePunct w:val="0"/>
        <w:autoSpaceDE/>
        <w:autoSpaceDN/>
        <w:bidi w:val="0"/>
        <w:snapToGrid/>
        <w:spacing w:before="0" w:beforeAutospacing="0" w:after="0" w:afterAutospacing="0" w:line="240" w:lineRule="auto"/>
        <w:ind w:firstLine="640" w:firstLineChars="200"/>
        <w:jc w:val="both"/>
        <w:textAlignment w:val="auto"/>
        <w:outlineLvl w:val="1"/>
        <w:rPr>
          <w:rFonts w:hint="eastAsia" w:ascii="仿宋" w:hAnsi="仿宋" w:eastAsia="仿宋" w:cs="仿宋"/>
          <w:sz w:val="32"/>
        </w:rPr>
      </w:pPr>
      <w:bookmarkStart w:id="4" w:name="_Toc13556"/>
      <w:r>
        <w:rPr>
          <w:rFonts w:hint="eastAsia" w:ascii="仿宋" w:hAnsi="仿宋" w:eastAsia="仿宋" w:cs="仿宋"/>
          <w:sz w:val="32"/>
        </w:rPr>
        <w:t>部门收入总表（公开表1-1）</w:t>
      </w:r>
      <w:bookmarkEnd w:id="4"/>
    </w:p>
    <w:p w14:paraId="494ABD0B">
      <w:pPr>
        <w:pStyle w:val="13"/>
        <w:pageBreakBefore w:val="0"/>
        <w:widowControl/>
        <w:numPr>
          <w:ilvl w:val="0"/>
          <w:numId w:val="4"/>
        </w:numPr>
        <w:kinsoku/>
        <w:wordWrap/>
        <w:overflowPunct/>
        <w:topLinePunct w:val="0"/>
        <w:autoSpaceDE/>
        <w:autoSpaceDN/>
        <w:bidi w:val="0"/>
        <w:snapToGrid/>
        <w:spacing w:before="0" w:beforeAutospacing="0" w:after="0" w:afterAutospacing="0" w:line="240" w:lineRule="auto"/>
        <w:ind w:firstLine="640" w:firstLineChars="200"/>
        <w:jc w:val="both"/>
        <w:textAlignment w:val="auto"/>
        <w:outlineLvl w:val="1"/>
        <w:rPr>
          <w:rFonts w:hint="eastAsia" w:ascii="仿宋" w:hAnsi="仿宋" w:eastAsia="仿宋" w:cs="仿宋"/>
          <w:sz w:val="32"/>
        </w:rPr>
      </w:pPr>
      <w:bookmarkStart w:id="5" w:name="_Toc13602"/>
      <w:r>
        <w:rPr>
          <w:rFonts w:hint="eastAsia" w:ascii="仿宋" w:hAnsi="仿宋" w:eastAsia="仿宋" w:cs="仿宋"/>
          <w:sz w:val="32"/>
        </w:rPr>
        <w:t>部门支出总表（公开表1-2）</w:t>
      </w:r>
      <w:bookmarkEnd w:id="5"/>
    </w:p>
    <w:p w14:paraId="558D5C6E">
      <w:pPr>
        <w:pStyle w:val="13"/>
        <w:pageBreakBefore w:val="0"/>
        <w:widowControl/>
        <w:numPr>
          <w:ilvl w:val="0"/>
          <w:numId w:val="4"/>
        </w:numPr>
        <w:kinsoku/>
        <w:wordWrap/>
        <w:overflowPunct/>
        <w:topLinePunct w:val="0"/>
        <w:autoSpaceDE/>
        <w:autoSpaceDN/>
        <w:bidi w:val="0"/>
        <w:snapToGrid/>
        <w:spacing w:before="0" w:beforeAutospacing="0" w:after="0" w:afterAutospacing="0" w:line="240" w:lineRule="auto"/>
        <w:ind w:firstLine="640" w:firstLineChars="200"/>
        <w:jc w:val="both"/>
        <w:textAlignment w:val="auto"/>
        <w:outlineLvl w:val="1"/>
        <w:rPr>
          <w:rFonts w:hint="eastAsia" w:ascii="仿宋" w:hAnsi="仿宋" w:eastAsia="仿宋" w:cs="仿宋"/>
          <w:sz w:val="32"/>
        </w:rPr>
      </w:pPr>
      <w:bookmarkStart w:id="6" w:name="_Toc4151"/>
      <w:r>
        <w:rPr>
          <w:rFonts w:hint="eastAsia" w:ascii="仿宋" w:hAnsi="仿宋" w:eastAsia="仿宋" w:cs="仿宋"/>
          <w:sz w:val="32"/>
        </w:rPr>
        <w:t>财政拨款收支预算总表（公开表2）</w:t>
      </w:r>
      <w:bookmarkEnd w:id="6"/>
    </w:p>
    <w:p w14:paraId="433D9BE6">
      <w:pPr>
        <w:pStyle w:val="13"/>
        <w:pageBreakBefore w:val="0"/>
        <w:widowControl/>
        <w:kinsoku/>
        <w:wordWrap/>
        <w:overflowPunct/>
        <w:topLinePunct w:val="0"/>
        <w:autoSpaceDE/>
        <w:autoSpaceDN/>
        <w:bidi w:val="0"/>
        <w:snapToGrid/>
        <w:spacing w:before="0" w:beforeAutospacing="0" w:after="0" w:afterAutospacing="0" w:line="240" w:lineRule="auto"/>
        <w:ind w:firstLine="640" w:firstLineChars="200"/>
        <w:jc w:val="both"/>
        <w:textAlignment w:val="auto"/>
        <w:outlineLvl w:val="1"/>
        <w:rPr>
          <w:rFonts w:hint="eastAsia" w:ascii="仿宋" w:hAnsi="仿宋" w:eastAsia="仿宋" w:cs="仿宋"/>
          <w:sz w:val="32"/>
        </w:rPr>
      </w:pPr>
      <w:bookmarkStart w:id="7" w:name="_Toc25616"/>
      <w:r>
        <w:rPr>
          <w:rFonts w:hint="eastAsia" w:ascii="仿宋" w:hAnsi="仿宋" w:eastAsia="仿宋" w:cs="仿宋"/>
          <w:sz w:val="32"/>
        </w:rPr>
        <w:t>五、财政拨款支出预算表（部门经济分类科目）（公开</w:t>
      </w:r>
      <w:bookmarkEnd w:id="7"/>
    </w:p>
    <w:p w14:paraId="1914539A">
      <w:pPr>
        <w:pStyle w:val="13"/>
        <w:pageBreakBefore w:val="0"/>
        <w:widowControl/>
        <w:kinsoku/>
        <w:wordWrap/>
        <w:overflowPunct/>
        <w:topLinePunct w:val="0"/>
        <w:autoSpaceDE/>
        <w:autoSpaceDN/>
        <w:bidi w:val="0"/>
        <w:snapToGrid/>
        <w:spacing w:before="0" w:beforeAutospacing="0" w:after="0" w:afterAutospacing="0" w:line="240" w:lineRule="auto"/>
        <w:ind w:firstLine="1280" w:firstLineChars="400"/>
        <w:jc w:val="both"/>
        <w:textAlignment w:val="auto"/>
        <w:rPr>
          <w:rFonts w:hint="eastAsia" w:ascii="仿宋" w:hAnsi="仿宋" w:eastAsia="仿宋" w:cs="仿宋"/>
          <w:sz w:val="32"/>
        </w:rPr>
      </w:pPr>
      <w:r>
        <w:rPr>
          <w:rFonts w:hint="eastAsia" w:ascii="仿宋" w:hAnsi="仿宋" w:eastAsia="仿宋" w:cs="仿宋"/>
          <w:sz w:val="32"/>
        </w:rPr>
        <w:t>表2-1）</w:t>
      </w:r>
    </w:p>
    <w:p w14:paraId="1F36D525">
      <w:pPr>
        <w:pStyle w:val="13"/>
        <w:pageBreakBefore w:val="0"/>
        <w:widowControl/>
        <w:kinsoku/>
        <w:wordWrap/>
        <w:overflowPunct/>
        <w:topLinePunct w:val="0"/>
        <w:autoSpaceDE/>
        <w:autoSpaceDN/>
        <w:bidi w:val="0"/>
        <w:snapToGrid/>
        <w:spacing w:before="0" w:beforeAutospacing="0" w:after="0" w:afterAutospacing="0" w:line="240" w:lineRule="auto"/>
        <w:ind w:firstLine="640" w:firstLineChars="200"/>
        <w:jc w:val="both"/>
        <w:textAlignment w:val="auto"/>
        <w:outlineLvl w:val="1"/>
        <w:rPr>
          <w:rFonts w:hint="eastAsia" w:ascii="仿宋" w:hAnsi="仿宋" w:eastAsia="仿宋" w:cs="仿宋"/>
          <w:sz w:val="32"/>
        </w:rPr>
      </w:pPr>
      <w:bookmarkStart w:id="8" w:name="_Toc4459"/>
      <w:r>
        <w:rPr>
          <w:rFonts w:hint="eastAsia" w:ascii="仿宋" w:hAnsi="仿宋" w:eastAsia="仿宋" w:cs="仿宋"/>
          <w:sz w:val="32"/>
        </w:rPr>
        <w:t>六、一般公共预算支出预算表（公开表3）</w:t>
      </w:r>
      <w:bookmarkEnd w:id="8"/>
    </w:p>
    <w:p w14:paraId="1E170F67">
      <w:pPr>
        <w:pStyle w:val="13"/>
        <w:pageBreakBefore w:val="0"/>
        <w:widowControl/>
        <w:kinsoku/>
        <w:wordWrap/>
        <w:overflowPunct/>
        <w:topLinePunct w:val="0"/>
        <w:autoSpaceDE/>
        <w:autoSpaceDN/>
        <w:bidi w:val="0"/>
        <w:snapToGrid/>
        <w:spacing w:before="0" w:beforeAutospacing="0" w:after="0" w:afterAutospacing="0" w:line="240" w:lineRule="auto"/>
        <w:ind w:firstLine="640" w:firstLineChars="200"/>
        <w:jc w:val="both"/>
        <w:textAlignment w:val="auto"/>
        <w:outlineLvl w:val="1"/>
        <w:rPr>
          <w:rFonts w:hint="eastAsia" w:ascii="仿宋" w:hAnsi="仿宋" w:eastAsia="仿宋" w:cs="仿宋"/>
          <w:sz w:val="32"/>
        </w:rPr>
      </w:pPr>
      <w:bookmarkStart w:id="9" w:name="_Toc17941"/>
      <w:r>
        <w:rPr>
          <w:rFonts w:hint="eastAsia" w:ascii="仿宋" w:hAnsi="仿宋" w:eastAsia="仿宋" w:cs="仿宋"/>
          <w:sz w:val="32"/>
        </w:rPr>
        <w:t>七、一般公共预算基本支出预算表（公开表3-1）</w:t>
      </w:r>
      <w:bookmarkEnd w:id="9"/>
    </w:p>
    <w:p w14:paraId="005231D0">
      <w:pPr>
        <w:pStyle w:val="13"/>
        <w:pageBreakBefore w:val="0"/>
        <w:widowControl/>
        <w:kinsoku/>
        <w:wordWrap/>
        <w:overflowPunct/>
        <w:topLinePunct w:val="0"/>
        <w:autoSpaceDE/>
        <w:autoSpaceDN/>
        <w:bidi w:val="0"/>
        <w:snapToGrid/>
        <w:spacing w:before="0" w:beforeAutospacing="0" w:after="0" w:afterAutospacing="0" w:line="240" w:lineRule="auto"/>
        <w:ind w:firstLine="640" w:firstLineChars="200"/>
        <w:jc w:val="both"/>
        <w:textAlignment w:val="auto"/>
        <w:outlineLvl w:val="1"/>
        <w:rPr>
          <w:rFonts w:hint="eastAsia" w:ascii="仿宋" w:hAnsi="仿宋" w:eastAsia="仿宋" w:cs="仿宋"/>
          <w:sz w:val="32"/>
        </w:rPr>
      </w:pPr>
      <w:bookmarkStart w:id="10" w:name="_Toc2966"/>
      <w:r>
        <w:rPr>
          <w:rFonts w:hint="eastAsia" w:ascii="仿宋" w:hAnsi="仿宋" w:eastAsia="仿宋" w:cs="仿宋"/>
          <w:sz w:val="32"/>
        </w:rPr>
        <w:t>八、一般公共预算项目支出预算表（公开表3-2）</w:t>
      </w:r>
      <w:bookmarkEnd w:id="10"/>
    </w:p>
    <w:p w14:paraId="6A7D36D6">
      <w:pPr>
        <w:pStyle w:val="13"/>
        <w:pageBreakBefore w:val="0"/>
        <w:widowControl/>
        <w:kinsoku/>
        <w:wordWrap/>
        <w:overflowPunct/>
        <w:topLinePunct w:val="0"/>
        <w:autoSpaceDE/>
        <w:autoSpaceDN/>
        <w:bidi w:val="0"/>
        <w:snapToGrid/>
        <w:spacing w:before="0" w:beforeAutospacing="0" w:after="0" w:afterAutospacing="0" w:line="240" w:lineRule="auto"/>
        <w:ind w:firstLine="640" w:firstLineChars="200"/>
        <w:jc w:val="both"/>
        <w:textAlignment w:val="auto"/>
        <w:outlineLvl w:val="1"/>
        <w:rPr>
          <w:rFonts w:hint="eastAsia" w:ascii="仿宋" w:hAnsi="仿宋" w:eastAsia="仿宋" w:cs="仿宋"/>
          <w:sz w:val="32"/>
        </w:rPr>
      </w:pPr>
      <w:bookmarkStart w:id="11" w:name="_Toc901"/>
      <w:r>
        <w:rPr>
          <w:rFonts w:hint="eastAsia" w:ascii="仿宋" w:hAnsi="仿宋" w:eastAsia="仿宋" w:cs="仿宋"/>
          <w:sz w:val="32"/>
        </w:rPr>
        <w:t>九、一般公共预算“三公”经费支出预算表（公开表3-3）</w:t>
      </w:r>
      <w:bookmarkEnd w:id="11"/>
    </w:p>
    <w:p w14:paraId="02DF211C">
      <w:pPr>
        <w:pStyle w:val="13"/>
        <w:pageBreakBefore w:val="0"/>
        <w:widowControl/>
        <w:kinsoku/>
        <w:wordWrap/>
        <w:overflowPunct/>
        <w:topLinePunct w:val="0"/>
        <w:autoSpaceDE/>
        <w:autoSpaceDN/>
        <w:bidi w:val="0"/>
        <w:snapToGrid/>
        <w:spacing w:before="0" w:beforeAutospacing="0" w:after="0" w:afterAutospacing="0" w:line="240" w:lineRule="auto"/>
        <w:ind w:firstLine="640" w:firstLineChars="200"/>
        <w:jc w:val="both"/>
        <w:textAlignment w:val="auto"/>
        <w:outlineLvl w:val="1"/>
        <w:rPr>
          <w:rFonts w:hint="eastAsia" w:ascii="仿宋" w:hAnsi="仿宋" w:eastAsia="仿宋" w:cs="仿宋"/>
          <w:sz w:val="32"/>
        </w:rPr>
      </w:pPr>
      <w:bookmarkStart w:id="12" w:name="_Toc10648"/>
      <w:r>
        <w:rPr>
          <w:rFonts w:hint="eastAsia" w:ascii="仿宋" w:hAnsi="仿宋" w:eastAsia="仿宋" w:cs="仿宋"/>
          <w:sz w:val="32"/>
        </w:rPr>
        <w:t>十、政府性基金预算支出预算表（公开表4）</w:t>
      </w:r>
      <w:bookmarkEnd w:id="12"/>
    </w:p>
    <w:p w14:paraId="25CFAA72">
      <w:pPr>
        <w:pStyle w:val="13"/>
        <w:pageBreakBefore w:val="0"/>
        <w:widowControl/>
        <w:kinsoku/>
        <w:wordWrap/>
        <w:overflowPunct/>
        <w:topLinePunct w:val="0"/>
        <w:autoSpaceDE/>
        <w:autoSpaceDN/>
        <w:bidi w:val="0"/>
        <w:snapToGrid/>
        <w:spacing w:before="0" w:beforeAutospacing="0" w:after="0" w:afterAutospacing="0" w:line="240" w:lineRule="auto"/>
        <w:ind w:firstLine="640" w:firstLineChars="200"/>
        <w:jc w:val="both"/>
        <w:textAlignment w:val="auto"/>
        <w:outlineLvl w:val="1"/>
        <w:rPr>
          <w:rFonts w:hint="eastAsia" w:ascii="仿宋" w:hAnsi="仿宋" w:eastAsia="仿宋" w:cs="仿宋"/>
          <w:sz w:val="32"/>
        </w:rPr>
      </w:pPr>
      <w:bookmarkStart w:id="13" w:name="_Toc6191"/>
      <w:r>
        <w:rPr>
          <w:rFonts w:hint="eastAsia" w:ascii="仿宋" w:hAnsi="仿宋" w:eastAsia="仿宋" w:cs="仿宋"/>
          <w:sz w:val="32"/>
        </w:rPr>
        <w:t>十一、政府性基金预算“三公”经费支出预算表（公开</w:t>
      </w:r>
      <w:bookmarkEnd w:id="13"/>
    </w:p>
    <w:p w14:paraId="5FDC1417">
      <w:pPr>
        <w:pStyle w:val="13"/>
        <w:pageBreakBefore w:val="0"/>
        <w:widowControl/>
        <w:kinsoku/>
        <w:wordWrap/>
        <w:overflowPunct/>
        <w:topLinePunct w:val="0"/>
        <w:autoSpaceDE/>
        <w:autoSpaceDN/>
        <w:bidi w:val="0"/>
        <w:snapToGrid/>
        <w:spacing w:before="0" w:beforeAutospacing="0" w:after="0" w:afterAutospacing="0" w:line="240" w:lineRule="auto"/>
        <w:ind w:firstLine="1600" w:firstLineChars="500"/>
        <w:jc w:val="both"/>
        <w:textAlignment w:val="auto"/>
        <w:rPr>
          <w:rFonts w:hint="eastAsia" w:ascii="仿宋" w:hAnsi="仿宋" w:eastAsia="仿宋" w:cs="仿宋"/>
          <w:sz w:val="32"/>
        </w:rPr>
      </w:pPr>
      <w:r>
        <w:rPr>
          <w:rFonts w:hint="eastAsia" w:ascii="仿宋" w:hAnsi="仿宋" w:eastAsia="仿宋" w:cs="仿宋"/>
          <w:sz w:val="32"/>
        </w:rPr>
        <w:t>表4-1）</w:t>
      </w:r>
    </w:p>
    <w:p w14:paraId="3FA94030">
      <w:pPr>
        <w:pStyle w:val="13"/>
        <w:pageBreakBefore w:val="0"/>
        <w:widowControl/>
        <w:numPr>
          <w:ilvl w:val="0"/>
          <w:numId w:val="5"/>
        </w:numPr>
        <w:kinsoku/>
        <w:wordWrap/>
        <w:overflowPunct/>
        <w:topLinePunct w:val="0"/>
        <w:autoSpaceDE/>
        <w:autoSpaceDN/>
        <w:bidi w:val="0"/>
        <w:snapToGrid/>
        <w:spacing w:before="0" w:beforeAutospacing="0" w:after="0" w:afterAutospacing="0" w:line="240" w:lineRule="auto"/>
        <w:ind w:firstLine="640" w:firstLineChars="200"/>
        <w:jc w:val="both"/>
        <w:textAlignment w:val="auto"/>
        <w:rPr>
          <w:rFonts w:hint="eastAsia" w:ascii="仿宋" w:hAnsi="仿宋" w:eastAsia="仿宋" w:cs="仿宋"/>
          <w:sz w:val="32"/>
        </w:rPr>
      </w:pPr>
      <w:r>
        <w:rPr>
          <w:rFonts w:hint="eastAsia" w:ascii="仿宋" w:hAnsi="仿宋" w:eastAsia="仿宋" w:cs="仿宋"/>
          <w:sz w:val="32"/>
        </w:rPr>
        <w:t>国有资本经营预算支出预算表（公开表5）</w:t>
      </w:r>
    </w:p>
    <w:p w14:paraId="79C8105E">
      <w:pPr>
        <w:pStyle w:val="13"/>
        <w:pageBreakBefore w:val="0"/>
        <w:widowControl/>
        <w:kinsoku/>
        <w:wordWrap/>
        <w:overflowPunct/>
        <w:topLinePunct w:val="0"/>
        <w:autoSpaceDE/>
        <w:autoSpaceDN/>
        <w:bidi w:val="0"/>
        <w:snapToGrid/>
        <w:spacing w:before="0" w:beforeAutospacing="0" w:after="0" w:afterAutospacing="0" w:line="240" w:lineRule="auto"/>
        <w:ind w:firstLine="640" w:firstLineChars="200"/>
        <w:jc w:val="both"/>
        <w:textAlignment w:val="auto"/>
        <w:outlineLvl w:val="1"/>
        <w:rPr>
          <w:rFonts w:hint="eastAsia" w:ascii="思源黑体 CN Normal" w:hAnsi="思源黑体 CN Normal" w:eastAsia="思源黑体 CN Normal" w:cs="思源黑体 CN Normal"/>
          <w:sz w:val="32"/>
        </w:rPr>
      </w:pPr>
      <w:bookmarkStart w:id="14" w:name="_Toc19113"/>
      <w:r>
        <w:rPr>
          <w:rFonts w:hint="eastAsia" w:ascii="仿宋" w:hAnsi="仿宋" w:eastAsia="仿宋" w:cs="仿宋"/>
          <w:sz w:val="32"/>
        </w:rPr>
        <w:t>十三、部门预算项目绩效目标表（公开表6）</w:t>
      </w:r>
      <w:bookmarkEnd w:id="14"/>
    </w:p>
    <w:p w14:paraId="2D022FCA">
      <w:pPr>
        <w:pStyle w:val="13"/>
        <w:pageBreakBefore w:val="0"/>
        <w:widowControl/>
        <w:kinsoku/>
        <w:wordWrap/>
        <w:overflowPunct/>
        <w:topLinePunct w:val="0"/>
        <w:autoSpaceDE/>
        <w:autoSpaceDN/>
        <w:bidi w:val="0"/>
        <w:snapToGrid/>
        <w:spacing w:before="0" w:beforeAutospacing="0" w:after="0" w:afterAutospacing="0" w:line="240" w:lineRule="auto"/>
        <w:jc w:val="center"/>
        <w:textAlignment w:val="auto"/>
        <w:rPr>
          <w:rFonts w:hint="eastAsia" w:ascii="思源黑体 CN Normal" w:hAnsi="思源黑体 CN Normal" w:eastAsia="思源黑体 CN Normal" w:cs="思源黑体 CN Normal"/>
          <w:sz w:val="52"/>
          <w:szCs w:val="52"/>
          <w:lang w:bidi="ar"/>
        </w:rPr>
      </w:pPr>
    </w:p>
    <w:p w14:paraId="42B1FA2E">
      <w:pPr>
        <w:pStyle w:val="13"/>
        <w:pageBreakBefore w:val="0"/>
        <w:widowControl/>
        <w:kinsoku/>
        <w:wordWrap/>
        <w:overflowPunct/>
        <w:topLinePunct w:val="0"/>
        <w:autoSpaceDE/>
        <w:autoSpaceDN/>
        <w:bidi w:val="0"/>
        <w:snapToGrid/>
        <w:spacing w:before="0" w:beforeAutospacing="0" w:after="0" w:afterAutospacing="0" w:line="240" w:lineRule="auto"/>
        <w:jc w:val="center"/>
        <w:textAlignment w:val="auto"/>
        <w:rPr>
          <w:rFonts w:hint="eastAsia" w:ascii="思源黑体 CN Normal" w:hAnsi="思源黑体 CN Normal" w:eastAsia="思源黑体 CN Normal" w:cs="思源黑体 CN Normal"/>
          <w:sz w:val="52"/>
          <w:szCs w:val="52"/>
          <w:lang w:bidi="ar"/>
        </w:rPr>
      </w:pPr>
    </w:p>
    <w:p w14:paraId="2690865A">
      <w:pPr>
        <w:pStyle w:val="13"/>
        <w:pageBreakBefore w:val="0"/>
        <w:widowControl/>
        <w:kinsoku/>
        <w:wordWrap/>
        <w:overflowPunct/>
        <w:topLinePunct w:val="0"/>
        <w:autoSpaceDE/>
        <w:autoSpaceDN/>
        <w:bidi w:val="0"/>
        <w:snapToGrid/>
        <w:spacing w:before="0" w:beforeAutospacing="0" w:after="0" w:afterAutospacing="0" w:line="240" w:lineRule="auto"/>
        <w:jc w:val="center"/>
        <w:textAlignment w:val="auto"/>
        <w:rPr>
          <w:rFonts w:hint="eastAsia" w:ascii="思源黑体 CN Normal" w:hAnsi="思源黑体 CN Normal" w:eastAsia="思源黑体 CN Normal" w:cs="思源黑体 CN Normal"/>
          <w:sz w:val="52"/>
          <w:szCs w:val="52"/>
          <w:lang w:bidi="ar"/>
        </w:rPr>
      </w:pPr>
    </w:p>
    <w:p w14:paraId="2F8D48BB">
      <w:pPr>
        <w:pStyle w:val="13"/>
        <w:pageBreakBefore w:val="0"/>
        <w:widowControl/>
        <w:kinsoku/>
        <w:wordWrap/>
        <w:overflowPunct/>
        <w:topLinePunct w:val="0"/>
        <w:autoSpaceDE/>
        <w:autoSpaceDN/>
        <w:bidi w:val="0"/>
        <w:snapToGrid/>
        <w:spacing w:before="0" w:beforeAutospacing="0" w:after="0" w:afterAutospacing="0" w:line="240" w:lineRule="auto"/>
        <w:jc w:val="center"/>
        <w:textAlignment w:val="auto"/>
        <w:rPr>
          <w:rFonts w:hint="eastAsia" w:ascii="思源黑体 CN Normal" w:hAnsi="思源黑体 CN Normal" w:eastAsia="思源黑体 CN Normal" w:cs="思源黑体 CN Normal"/>
          <w:sz w:val="52"/>
          <w:szCs w:val="52"/>
          <w:lang w:bidi="ar"/>
        </w:rPr>
      </w:pPr>
    </w:p>
    <w:p w14:paraId="68C05130">
      <w:pPr>
        <w:pStyle w:val="13"/>
        <w:pageBreakBefore w:val="0"/>
        <w:widowControl/>
        <w:kinsoku/>
        <w:wordWrap/>
        <w:overflowPunct/>
        <w:topLinePunct w:val="0"/>
        <w:autoSpaceDE/>
        <w:autoSpaceDN/>
        <w:bidi w:val="0"/>
        <w:snapToGrid/>
        <w:spacing w:before="0" w:beforeAutospacing="0" w:after="0" w:afterAutospacing="0" w:line="240" w:lineRule="auto"/>
        <w:ind w:left="0" w:leftChars="0" w:firstLine="0" w:firstLineChars="0"/>
        <w:jc w:val="both"/>
        <w:textAlignment w:val="auto"/>
        <w:rPr>
          <w:rFonts w:hint="eastAsia" w:ascii="思源黑体 CN Normal" w:hAnsi="思源黑体 CN Normal" w:eastAsia="思源黑体 CN Normal" w:cs="思源黑体 CN Normal"/>
          <w:sz w:val="52"/>
          <w:szCs w:val="52"/>
          <w:lang w:bidi="ar"/>
        </w:rPr>
      </w:pPr>
    </w:p>
    <w:p w14:paraId="12412740">
      <w:pPr>
        <w:pStyle w:val="13"/>
        <w:pageBreakBefore w:val="0"/>
        <w:widowControl/>
        <w:kinsoku/>
        <w:wordWrap/>
        <w:overflowPunct/>
        <w:topLinePunct w:val="0"/>
        <w:autoSpaceDE/>
        <w:autoSpaceDN/>
        <w:bidi w:val="0"/>
        <w:snapToGrid/>
        <w:spacing w:before="0" w:beforeAutospacing="0" w:after="0" w:afterAutospacing="0" w:line="240" w:lineRule="auto"/>
        <w:ind w:left="0" w:leftChars="0" w:firstLine="0" w:firstLineChars="0"/>
        <w:jc w:val="both"/>
        <w:textAlignment w:val="auto"/>
        <w:rPr>
          <w:rFonts w:hint="eastAsia" w:ascii="思源黑体 CN Normal" w:hAnsi="思源黑体 CN Normal" w:eastAsia="思源黑体 CN Normal" w:cs="思源黑体 CN Normal"/>
          <w:sz w:val="52"/>
          <w:szCs w:val="52"/>
          <w:lang w:bidi="ar"/>
        </w:rPr>
      </w:pPr>
    </w:p>
    <w:p w14:paraId="2DD3B30E">
      <w:pPr>
        <w:pStyle w:val="13"/>
        <w:pageBreakBefore w:val="0"/>
        <w:widowControl/>
        <w:kinsoku/>
        <w:wordWrap/>
        <w:overflowPunct/>
        <w:topLinePunct w:val="0"/>
        <w:autoSpaceDE/>
        <w:autoSpaceDN/>
        <w:bidi w:val="0"/>
        <w:snapToGrid/>
        <w:spacing w:before="0" w:beforeAutospacing="0" w:after="0" w:afterAutospacing="0" w:line="240" w:lineRule="auto"/>
        <w:ind w:left="0" w:leftChars="0" w:firstLine="0" w:firstLineChars="0"/>
        <w:jc w:val="center"/>
        <w:textAlignment w:val="auto"/>
        <w:outlineLvl w:val="0"/>
        <w:rPr>
          <w:rStyle w:val="17"/>
          <w:rFonts w:hint="eastAsia" w:ascii="黑体" w:hAnsi="黑体" w:eastAsia="黑体" w:cs="黑体"/>
          <w:sz w:val="52"/>
          <w:szCs w:val="52"/>
        </w:rPr>
        <w:sectPr>
          <w:footerReference r:id="rId10" w:type="default"/>
          <w:pgSz w:w="11906" w:h="16838"/>
          <w:pgMar w:top="1440" w:right="1800" w:bottom="1440" w:left="1800" w:header="720" w:footer="720" w:gutter="0"/>
          <w:pgNumType w:fmt="decimal"/>
          <w:cols w:space="720" w:num="1"/>
          <w:docGrid w:type="lines" w:linePitch="312" w:charSpace="0"/>
        </w:sectPr>
      </w:pPr>
      <w:bookmarkStart w:id="15" w:name="_Toc12215"/>
      <w:r>
        <w:rPr>
          <w:rStyle w:val="17"/>
          <w:rFonts w:hint="eastAsia" w:ascii="黑体" w:hAnsi="黑体" w:eastAsia="黑体" w:cs="黑体"/>
          <w:sz w:val="52"/>
          <w:szCs w:val="52"/>
        </w:rPr>
        <w:t xml:space="preserve">第三部分  </w:t>
      </w:r>
      <w:r>
        <w:rPr>
          <w:rStyle w:val="17"/>
          <w:rFonts w:hint="eastAsia" w:ascii="黑体" w:hAnsi="黑体" w:eastAsia="黑体" w:cs="黑体"/>
          <w:sz w:val="52"/>
          <w:u w:color="auto"/>
        </w:rPr>
        <w:t>中国共产党木里藏族自治县委员会党校2026年预算情况</w:t>
      </w:r>
      <w:bookmarkEnd w:id="15"/>
    </w:p>
    <w:p w14:paraId="22A1F968">
      <w:pPr>
        <w:pStyle w:val="2"/>
        <w:bidi w:val="0"/>
        <w:rPr>
          <w:rFonts w:hint="eastAsia"/>
        </w:rPr>
      </w:pPr>
      <w:bookmarkStart w:id="16" w:name="_Toc15243"/>
      <w:r>
        <w:rPr>
          <w:rFonts w:hint="eastAsia"/>
        </w:rPr>
        <w:t>一、收支预算情况说明</w:t>
      </w:r>
      <w:bookmarkEnd w:id="16"/>
    </w:p>
    <w:p w14:paraId="4CD1F095">
      <w:pPr>
        <w:bidi w:val="0"/>
        <w:rPr>
          <w:rFonts w:hint="eastAsia"/>
          <w:sz w:val="32"/>
          <w:szCs w:val="32"/>
        </w:rPr>
      </w:pPr>
      <w:r>
        <w:rPr>
          <w:rFonts w:hint="eastAsia"/>
          <w:sz w:val="32"/>
          <w:szCs w:val="32"/>
        </w:rPr>
        <w:t>按照综合预算的原则，</w:t>
      </w:r>
      <w:r>
        <w:rPr>
          <w:rFonts w:hint="eastAsia"/>
          <w:sz w:val="32"/>
          <w:u w:color="auto"/>
          <w:lang w:eastAsia="zh-CN"/>
        </w:rPr>
        <w:t>党校</w:t>
      </w:r>
      <w:r>
        <w:rPr>
          <w:sz w:val="32"/>
          <w:u w:color="auto"/>
        </w:rPr>
        <w:t>所有收入和支出均纳入单位预算管理。收入包括：一般公共预算拨款收入；支出包括：卫生健康支出、住房保障支出、教育支出、社会保障和就业支出。</w:t>
      </w:r>
      <w:r>
        <w:rPr>
          <w:rFonts w:hint="eastAsia"/>
          <w:sz w:val="32"/>
          <w:u w:color="auto"/>
          <w:lang w:eastAsia="zh-CN"/>
        </w:rPr>
        <w:t>党校</w:t>
      </w:r>
      <w:r>
        <w:rPr>
          <w:sz w:val="32"/>
          <w:u w:color="auto"/>
        </w:rPr>
        <w:t>2026年收支预算总数</w:t>
      </w:r>
      <w:r>
        <w:rPr>
          <w:rFonts w:hint="eastAsia"/>
          <w:sz w:val="32"/>
          <w:u w:color="auto"/>
          <w:lang w:eastAsia="zh-CN"/>
        </w:rPr>
        <w:t>465.95万元</w:t>
      </w:r>
      <w:r>
        <w:rPr>
          <w:sz w:val="32"/>
          <w:u w:color="auto"/>
        </w:rPr>
        <w:t>，比2025年减少</w:t>
      </w:r>
      <w:r>
        <w:rPr>
          <w:rFonts w:hint="eastAsia"/>
          <w:sz w:val="32"/>
          <w:u w:color="auto"/>
          <w:lang w:eastAsia="zh-CN"/>
        </w:rPr>
        <w:t>253.18万元</w:t>
      </w:r>
      <w:r>
        <w:rPr>
          <w:rFonts w:hint="eastAsia"/>
          <w:sz w:val="32"/>
          <w:szCs w:val="32"/>
        </w:rPr>
        <w:t>，</w:t>
      </w:r>
      <w:r>
        <w:rPr>
          <w:sz w:val="32"/>
          <w:u w:color="auto"/>
        </w:rPr>
        <w:t>主要原因是基金减少。</w:t>
      </w:r>
    </w:p>
    <w:p w14:paraId="6EF5A0C8">
      <w:pPr>
        <w:pStyle w:val="3"/>
        <w:pageBreakBefore w:val="0"/>
        <w:kinsoku/>
        <w:wordWrap/>
        <w:overflowPunct/>
        <w:topLinePunct w:val="0"/>
        <w:autoSpaceDE/>
        <w:autoSpaceDN/>
        <w:bidi w:val="0"/>
        <w:snapToGrid/>
        <w:spacing w:line="240" w:lineRule="auto"/>
        <w:textAlignment w:val="auto"/>
        <w:rPr>
          <w:rFonts w:hint="eastAsia" w:ascii="楷体" w:hAnsi="楷体" w:eastAsia="楷体" w:cs="楷体"/>
          <w:b/>
          <w:bCs/>
          <w:sz w:val="32"/>
          <w:szCs w:val="32"/>
        </w:rPr>
      </w:pPr>
      <w:bookmarkStart w:id="17" w:name="_Toc26792"/>
      <w:r>
        <w:rPr>
          <w:rFonts w:hint="eastAsia" w:ascii="楷体" w:hAnsi="楷体" w:eastAsia="楷体" w:cs="楷体"/>
          <w:b/>
          <w:bCs/>
          <w:sz w:val="32"/>
          <w:szCs w:val="32"/>
        </w:rPr>
        <w:t>（一）收入预算情况</w:t>
      </w:r>
      <w:bookmarkEnd w:id="17"/>
    </w:p>
    <w:p w14:paraId="468D16AB">
      <w:pPr>
        <w:bidi w:val="0"/>
        <w:rPr>
          <w:rFonts w:hint="eastAsia"/>
        </w:rPr>
      </w:pPr>
      <w:r>
        <w:rPr>
          <w:rFonts w:hint="eastAsia"/>
          <w:sz w:val="32"/>
          <w:szCs w:val="32"/>
          <w:lang w:eastAsia="zh-CN"/>
        </w:rPr>
        <w:t>党校</w:t>
      </w:r>
      <w:r>
        <w:rPr>
          <w:sz w:val="32"/>
          <w:u w:color="auto"/>
        </w:rPr>
        <w:t>2026年收入预算</w:t>
      </w:r>
      <w:r>
        <w:rPr>
          <w:rFonts w:hint="eastAsia"/>
          <w:sz w:val="32"/>
          <w:u w:color="auto"/>
          <w:lang w:eastAsia="zh-CN"/>
        </w:rPr>
        <w:t>465.95万元</w:t>
      </w:r>
      <w:r>
        <w:rPr>
          <w:rFonts w:hint="eastAsia"/>
          <w:sz w:val="32"/>
          <w:szCs w:val="32"/>
          <w:lang w:eastAsia="zh-CN"/>
        </w:rPr>
        <w:t>，</w:t>
      </w:r>
      <w:r>
        <w:rPr>
          <w:rFonts w:hint="eastAsia"/>
          <w:sz w:val="32"/>
          <w:szCs w:val="32"/>
        </w:rPr>
        <w:t>上</w:t>
      </w:r>
      <w:r>
        <w:rPr>
          <w:sz w:val="32"/>
          <w:u w:color="auto"/>
        </w:rPr>
        <w:t>年结转0</w:t>
      </w:r>
      <w:r>
        <w:rPr>
          <w:rFonts w:hint="eastAsia"/>
          <w:sz w:val="32"/>
          <w:u w:color="auto"/>
          <w:lang w:val="en-US" w:eastAsia="zh-CN"/>
        </w:rPr>
        <w:t>万</w:t>
      </w:r>
      <w:r>
        <w:rPr>
          <w:sz w:val="32"/>
          <w:u w:color="auto"/>
        </w:rPr>
        <w:t>元；一般公共预算拨款收入</w:t>
      </w:r>
      <w:r>
        <w:rPr>
          <w:rFonts w:hint="eastAsia"/>
          <w:sz w:val="32"/>
          <w:u w:color="auto"/>
          <w:lang w:eastAsia="zh-CN"/>
        </w:rPr>
        <w:t>465.95万元</w:t>
      </w:r>
      <w:r>
        <w:rPr>
          <w:sz w:val="32"/>
          <w:u w:color="auto"/>
        </w:rPr>
        <w:t>，占100.00%。</w:t>
      </w:r>
    </w:p>
    <w:p w14:paraId="6AC01489">
      <w:pPr>
        <w:pStyle w:val="3"/>
        <w:pageBreakBefore w:val="0"/>
        <w:kinsoku/>
        <w:wordWrap/>
        <w:overflowPunct/>
        <w:topLinePunct w:val="0"/>
        <w:autoSpaceDE/>
        <w:autoSpaceDN/>
        <w:bidi w:val="0"/>
        <w:snapToGrid/>
        <w:spacing w:line="240" w:lineRule="auto"/>
        <w:textAlignment w:val="auto"/>
        <w:rPr>
          <w:rFonts w:hint="eastAsia" w:ascii="楷体" w:hAnsi="楷体" w:eastAsia="楷体" w:cs="楷体"/>
          <w:b/>
          <w:bCs/>
          <w:sz w:val="32"/>
          <w:szCs w:val="32"/>
        </w:rPr>
      </w:pPr>
      <w:bookmarkStart w:id="18" w:name="_Toc10355"/>
      <w:r>
        <w:rPr>
          <w:rFonts w:hint="eastAsia" w:ascii="楷体" w:hAnsi="楷体" w:eastAsia="楷体" w:cs="楷体"/>
          <w:b/>
          <w:bCs/>
          <w:sz w:val="32"/>
          <w:szCs w:val="32"/>
        </w:rPr>
        <w:t>（二）支出预算情况</w:t>
      </w:r>
      <w:bookmarkEnd w:id="18"/>
    </w:p>
    <w:p w14:paraId="159E32C4">
      <w:pPr>
        <w:bidi w:val="0"/>
        <w:rPr>
          <w:rFonts w:hint="eastAsia"/>
          <w:sz w:val="32"/>
          <w:szCs w:val="32"/>
        </w:rPr>
      </w:pPr>
      <w:r>
        <w:rPr>
          <w:rFonts w:hint="eastAsia"/>
          <w:sz w:val="32"/>
          <w:szCs w:val="32"/>
          <w:lang w:eastAsia="zh-CN"/>
        </w:rPr>
        <w:t>党校</w:t>
      </w:r>
      <w:r>
        <w:rPr>
          <w:sz w:val="32"/>
          <w:u w:color="auto"/>
        </w:rPr>
        <w:t>2026年支出预算</w:t>
      </w:r>
      <w:r>
        <w:rPr>
          <w:rFonts w:hint="eastAsia"/>
          <w:sz w:val="32"/>
          <w:u w:color="auto"/>
          <w:lang w:eastAsia="zh-CN"/>
        </w:rPr>
        <w:t>465.95万元</w:t>
      </w:r>
      <w:r>
        <w:rPr>
          <w:rFonts w:hint="eastAsia"/>
          <w:sz w:val="32"/>
          <w:szCs w:val="32"/>
          <w:lang w:eastAsia="zh-CN"/>
        </w:rPr>
        <w:t>，</w:t>
      </w:r>
      <w:r>
        <w:rPr>
          <w:rFonts w:hint="eastAsia"/>
          <w:sz w:val="32"/>
          <w:szCs w:val="32"/>
        </w:rPr>
        <w:t>其中：基</w:t>
      </w:r>
      <w:r>
        <w:rPr>
          <w:sz w:val="32"/>
          <w:u w:color="auto"/>
        </w:rPr>
        <w:t>本支出</w:t>
      </w:r>
      <w:r>
        <w:rPr>
          <w:rFonts w:hint="eastAsia"/>
          <w:sz w:val="32"/>
          <w:u w:color="auto"/>
          <w:lang w:eastAsia="zh-CN"/>
        </w:rPr>
        <w:t>400.66万元</w:t>
      </w:r>
      <w:r>
        <w:rPr>
          <w:sz w:val="32"/>
          <w:u w:color="auto"/>
        </w:rPr>
        <w:t>，占85.99%；项目支出</w:t>
      </w:r>
      <w:r>
        <w:rPr>
          <w:rFonts w:hint="eastAsia"/>
          <w:sz w:val="32"/>
          <w:u w:color="auto"/>
          <w:lang w:eastAsia="zh-CN"/>
        </w:rPr>
        <w:t>65.29万元</w:t>
      </w:r>
      <w:r>
        <w:rPr>
          <w:sz w:val="32"/>
          <w:u w:color="auto"/>
        </w:rPr>
        <w:t>，占14.01%。</w:t>
      </w:r>
    </w:p>
    <w:p w14:paraId="6E53AB8B">
      <w:pPr>
        <w:pStyle w:val="2"/>
        <w:pageBreakBefore w:val="0"/>
        <w:kinsoku/>
        <w:wordWrap/>
        <w:overflowPunct/>
        <w:topLinePunct w:val="0"/>
        <w:autoSpaceDE/>
        <w:autoSpaceDN/>
        <w:bidi w:val="0"/>
        <w:snapToGrid/>
        <w:spacing w:line="240" w:lineRule="auto"/>
        <w:textAlignment w:val="auto"/>
        <w:rPr>
          <w:rFonts w:hint="eastAsia"/>
        </w:rPr>
      </w:pPr>
      <w:bookmarkStart w:id="19" w:name="_Toc10456"/>
      <w:r>
        <w:rPr>
          <w:rFonts w:hint="eastAsia"/>
        </w:rPr>
        <w:t>二、财政拨款收支预算情况说明</w:t>
      </w:r>
      <w:bookmarkEnd w:id="19"/>
    </w:p>
    <w:p w14:paraId="5421C87E">
      <w:pPr>
        <w:bidi w:val="0"/>
        <w:rPr>
          <w:rFonts w:hint="eastAsia" w:ascii="仿宋" w:hAnsi="仿宋" w:eastAsia="仿宋" w:cs="仿宋"/>
          <w:sz w:val="32"/>
          <w:szCs w:val="32"/>
        </w:rPr>
      </w:pPr>
      <w:r>
        <w:rPr>
          <w:rFonts w:hint="eastAsia" w:ascii="仿宋" w:hAnsi="仿宋" w:cs="仿宋"/>
          <w:sz w:val="32"/>
          <w:szCs w:val="32"/>
          <w:lang w:eastAsia="zh-CN"/>
        </w:rPr>
        <w:t>党校</w:t>
      </w:r>
      <w:r>
        <w:rPr>
          <w:rFonts w:ascii="仿宋" w:hAnsi="仿宋" w:eastAsia="仿宋" w:cs="仿宋"/>
          <w:sz w:val="32"/>
          <w:u w:color="auto"/>
        </w:rPr>
        <w:t>2026年财政拨款收支预算总数</w:t>
      </w:r>
      <w:r>
        <w:rPr>
          <w:rFonts w:hint="eastAsia" w:ascii="仿宋" w:hAnsi="仿宋" w:cs="仿宋"/>
          <w:sz w:val="32"/>
          <w:u w:color="auto"/>
          <w:lang w:eastAsia="zh-CN"/>
        </w:rPr>
        <w:t>465.95万元</w:t>
      </w:r>
      <w:r>
        <w:rPr>
          <w:rFonts w:ascii="仿宋" w:hAnsi="仿宋" w:eastAsia="仿宋" w:cs="仿宋"/>
          <w:sz w:val="32"/>
          <w:u w:color="auto"/>
        </w:rPr>
        <w:t>，比2025年财政拨款收支预算总数减少</w:t>
      </w:r>
      <w:r>
        <w:rPr>
          <w:rFonts w:hint="eastAsia" w:ascii="仿宋" w:hAnsi="仿宋" w:cs="仿宋"/>
          <w:sz w:val="32"/>
          <w:u w:color="auto"/>
          <w:lang w:eastAsia="zh-CN"/>
        </w:rPr>
        <w:t>253.18万元</w:t>
      </w:r>
      <w:r>
        <w:rPr>
          <w:rFonts w:ascii="仿宋" w:hAnsi="仿宋" w:eastAsia="仿宋" w:cs="仿宋"/>
          <w:sz w:val="32"/>
          <w:u w:color="auto"/>
        </w:rPr>
        <w:t>。主要原因是基金减少。</w:t>
      </w:r>
    </w:p>
    <w:p w14:paraId="0F4144CC">
      <w:pPr>
        <w:bidi w:val="0"/>
        <w:rPr>
          <w:rFonts w:hint="eastAsia" w:ascii="仿宋" w:hAnsi="仿宋" w:eastAsia="仿宋" w:cs="仿宋"/>
          <w:sz w:val="32"/>
          <w:szCs w:val="32"/>
        </w:rPr>
      </w:pPr>
      <w:r>
        <w:rPr>
          <w:rFonts w:hint="eastAsia" w:ascii="仿宋" w:hAnsi="仿宋" w:eastAsia="仿宋" w:cs="仿宋"/>
          <w:sz w:val="32"/>
          <w:szCs w:val="32"/>
        </w:rPr>
        <w:t>收入包括：</w:t>
      </w:r>
      <w:r>
        <w:rPr>
          <w:rFonts w:ascii="仿宋" w:hAnsi="仿宋" w:eastAsia="仿宋" w:cs="仿宋"/>
          <w:sz w:val="32"/>
          <w:u w:color="auto"/>
        </w:rPr>
        <w:t> 一般公共预算拨款收入</w:t>
      </w:r>
      <w:r>
        <w:rPr>
          <w:rFonts w:hint="eastAsia" w:ascii="仿宋" w:hAnsi="仿宋" w:cs="仿宋"/>
          <w:sz w:val="32"/>
          <w:u w:color="auto"/>
          <w:lang w:eastAsia="zh-CN"/>
        </w:rPr>
        <w:t>465.95万元</w:t>
      </w:r>
      <w:r>
        <w:rPr>
          <w:rFonts w:ascii="仿宋" w:hAnsi="仿宋" w:eastAsia="仿宋" w:cs="仿宋"/>
          <w:sz w:val="32"/>
          <w:u w:color="auto"/>
        </w:rPr>
        <w:t>；支出包括： 教育支出</w:t>
      </w:r>
      <w:r>
        <w:rPr>
          <w:rFonts w:hint="eastAsia" w:ascii="仿宋" w:hAnsi="仿宋" w:cs="仿宋"/>
          <w:sz w:val="32"/>
          <w:u w:color="auto"/>
          <w:lang w:eastAsia="zh-CN"/>
        </w:rPr>
        <w:t>355.69万元</w:t>
      </w:r>
      <w:r>
        <w:rPr>
          <w:rFonts w:ascii="仿宋" w:hAnsi="仿宋" w:eastAsia="仿宋" w:cs="仿宋"/>
          <w:sz w:val="32"/>
          <w:u w:color="auto"/>
        </w:rPr>
        <w:t>、 卫生健康支出</w:t>
      </w:r>
      <w:r>
        <w:rPr>
          <w:rFonts w:hint="eastAsia" w:ascii="仿宋" w:hAnsi="仿宋" w:cs="仿宋"/>
          <w:sz w:val="32"/>
          <w:u w:color="auto"/>
          <w:lang w:eastAsia="zh-CN"/>
        </w:rPr>
        <w:t>24.54万元</w:t>
      </w:r>
      <w:r>
        <w:rPr>
          <w:rFonts w:ascii="仿宋" w:hAnsi="仿宋" w:eastAsia="仿宋" w:cs="仿宋"/>
          <w:sz w:val="32"/>
          <w:u w:color="auto"/>
        </w:rPr>
        <w:t>、 住房保障支出</w:t>
      </w:r>
      <w:r>
        <w:rPr>
          <w:rFonts w:hint="eastAsia" w:ascii="仿宋" w:hAnsi="仿宋" w:cs="仿宋"/>
          <w:sz w:val="32"/>
          <w:u w:color="auto"/>
          <w:lang w:eastAsia="zh-CN"/>
        </w:rPr>
        <w:t>30.34万元</w:t>
      </w:r>
      <w:r>
        <w:rPr>
          <w:rFonts w:ascii="仿宋" w:hAnsi="仿宋" w:eastAsia="仿宋" w:cs="仿宋"/>
          <w:sz w:val="32"/>
          <w:u w:color="auto"/>
        </w:rPr>
        <w:t>、 社会保障和就业支出</w:t>
      </w:r>
      <w:r>
        <w:rPr>
          <w:rFonts w:hint="eastAsia" w:ascii="仿宋" w:hAnsi="仿宋" w:cs="仿宋"/>
          <w:sz w:val="32"/>
          <w:u w:color="auto"/>
          <w:lang w:eastAsia="zh-CN"/>
        </w:rPr>
        <w:t>55.36万元</w:t>
      </w:r>
      <w:r>
        <w:rPr>
          <w:rFonts w:ascii="仿宋" w:hAnsi="仿宋" w:eastAsia="仿宋" w:cs="仿宋"/>
          <w:sz w:val="32"/>
          <w:u w:color="auto"/>
        </w:rPr>
        <w:t>。</w:t>
      </w:r>
    </w:p>
    <w:p w14:paraId="4242FE04">
      <w:pPr>
        <w:pStyle w:val="2"/>
        <w:pageBreakBefore w:val="0"/>
        <w:kinsoku/>
        <w:wordWrap/>
        <w:overflowPunct/>
        <w:topLinePunct w:val="0"/>
        <w:autoSpaceDE/>
        <w:autoSpaceDN/>
        <w:bidi w:val="0"/>
        <w:snapToGrid/>
        <w:spacing w:line="240" w:lineRule="auto"/>
        <w:textAlignment w:val="auto"/>
        <w:rPr>
          <w:rFonts w:hint="eastAsia"/>
        </w:rPr>
      </w:pPr>
      <w:bookmarkStart w:id="20" w:name="_Toc26827"/>
      <w:r>
        <w:rPr>
          <w:rFonts w:hint="eastAsia"/>
        </w:rPr>
        <w:t>三、一般公共预算当年拨款情况说明</w:t>
      </w:r>
      <w:bookmarkEnd w:id="20"/>
    </w:p>
    <w:p w14:paraId="4BEBD19C">
      <w:pPr>
        <w:pStyle w:val="3"/>
        <w:pageBreakBefore w:val="0"/>
        <w:kinsoku/>
        <w:wordWrap/>
        <w:overflowPunct/>
        <w:topLinePunct w:val="0"/>
        <w:autoSpaceDE/>
        <w:autoSpaceDN/>
        <w:bidi w:val="0"/>
        <w:snapToGrid/>
        <w:spacing w:line="240" w:lineRule="auto"/>
        <w:textAlignment w:val="auto"/>
        <w:rPr>
          <w:rFonts w:hint="eastAsia" w:ascii="楷体" w:hAnsi="楷体" w:eastAsia="楷体" w:cs="楷体"/>
          <w:b/>
          <w:bCs/>
          <w:sz w:val="32"/>
          <w:szCs w:val="32"/>
        </w:rPr>
      </w:pPr>
      <w:bookmarkStart w:id="21" w:name="_Toc9280"/>
      <w:r>
        <w:rPr>
          <w:rFonts w:hint="eastAsia" w:ascii="楷体" w:hAnsi="楷体" w:eastAsia="楷体" w:cs="楷体"/>
          <w:b/>
          <w:bCs/>
          <w:sz w:val="32"/>
          <w:szCs w:val="32"/>
        </w:rPr>
        <w:t>（一）一般公共预算当年拨款规模变化情况</w:t>
      </w:r>
      <w:bookmarkEnd w:id="21"/>
    </w:p>
    <w:p w14:paraId="6ECB2A6D">
      <w:pPr>
        <w:bidi w:val="0"/>
        <w:rPr>
          <w:rFonts w:hint="eastAsia" w:ascii="仿宋" w:hAnsi="仿宋" w:eastAsia="仿宋" w:cs="仿宋"/>
          <w:sz w:val="32"/>
          <w:szCs w:val="32"/>
        </w:rPr>
      </w:pPr>
      <w:r>
        <w:rPr>
          <w:rFonts w:hint="eastAsia" w:ascii="仿宋" w:hAnsi="仿宋" w:cs="仿宋"/>
          <w:sz w:val="32"/>
          <w:szCs w:val="32"/>
          <w:lang w:eastAsia="zh-CN"/>
        </w:rPr>
        <w:t>党校</w:t>
      </w:r>
      <w:r>
        <w:rPr>
          <w:rFonts w:ascii="仿宋" w:hAnsi="仿宋" w:eastAsia="仿宋" w:cs="仿宋"/>
          <w:sz w:val="32"/>
          <w:u w:color="auto"/>
        </w:rPr>
        <w:t>2026年一般公共预算当年拨款</w:t>
      </w:r>
      <w:r>
        <w:rPr>
          <w:rFonts w:hint="eastAsia" w:ascii="仿宋" w:hAnsi="仿宋" w:cs="仿宋"/>
          <w:sz w:val="32"/>
          <w:u w:color="auto"/>
          <w:lang w:eastAsia="zh-CN"/>
        </w:rPr>
        <w:t>465.95万元</w:t>
      </w:r>
      <w:r>
        <w:rPr>
          <w:rFonts w:ascii="仿宋" w:hAnsi="仿宋" w:eastAsia="仿宋" w:cs="仿宋"/>
          <w:sz w:val="32"/>
          <w:u w:color="auto"/>
        </w:rPr>
        <w:t>，比2025年预算数增加</w:t>
      </w:r>
      <w:r>
        <w:rPr>
          <w:rFonts w:hint="eastAsia" w:ascii="仿宋" w:hAnsi="仿宋" w:cs="仿宋"/>
          <w:sz w:val="32"/>
          <w:u w:color="auto"/>
          <w:lang w:eastAsia="zh-CN"/>
        </w:rPr>
        <w:t>3.38万元</w:t>
      </w:r>
      <w:r>
        <w:rPr>
          <w:rFonts w:ascii="仿宋" w:hAnsi="仿宋" w:eastAsia="仿宋" w:cs="仿宋"/>
          <w:sz w:val="32"/>
          <w:u w:color="auto"/>
        </w:rPr>
        <w:t>。主要原因是项目增加。</w:t>
      </w:r>
    </w:p>
    <w:p w14:paraId="3D8895C6">
      <w:pPr>
        <w:pStyle w:val="3"/>
        <w:pageBreakBefore w:val="0"/>
        <w:kinsoku/>
        <w:wordWrap/>
        <w:overflowPunct/>
        <w:topLinePunct w:val="0"/>
        <w:autoSpaceDE/>
        <w:autoSpaceDN/>
        <w:bidi w:val="0"/>
        <w:snapToGrid/>
        <w:spacing w:line="240" w:lineRule="auto"/>
        <w:textAlignment w:val="auto"/>
        <w:rPr>
          <w:rFonts w:hint="eastAsia" w:ascii="楷体" w:hAnsi="楷体" w:eastAsia="楷体" w:cs="楷体"/>
          <w:b/>
          <w:bCs/>
          <w:sz w:val="32"/>
          <w:szCs w:val="32"/>
        </w:rPr>
      </w:pPr>
      <w:bookmarkStart w:id="22" w:name="_Toc993"/>
      <w:r>
        <w:rPr>
          <w:rFonts w:hint="eastAsia" w:ascii="楷体" w:hAnsi="楷体" w:eastAsia="楷体" w:cs="楷体"/>
          <w:b/>
          <w:bCs/>
          <w:sz w:val="32"/>
          <w:szCs w:val="32"/>
        </w:rPr>
        <w:t>（二）一般公共预算当年拨款结构情况</w:t>
      </w:r>
      <w:bookmarkEnd w:id="22"/>
    </w:p>
    <w:p w14:paraId="082CDAC4">
      <w:pPr>
        <w:bidi w:val="0"/>
        <w:rPr>
          <w:rFonts w:hint="eastAsia" w:ascii="仿宋" w:hAnsi="仿宋" w:eastAsia="仿宋" w:cs="仿宋"/>
          <w:sz w:val="32"/>
          <w:szCs w:val="32"/>
        </w:rPr>
      </w:pPr>
      <w:r>
        <w:rPr>
          <w:rFonts w:hint="eastAsia" w:ascii="仿宋" w:hAnsi="仿宋" w:eastAsia="仿宋" w:cs="仿宋"/>
          <w:sz w:val="32"/>
          <w:szCs w:val="32"/>
        </w:rPr>
        <w:t> 教育支出</w:t>
      </w:r>
      <w:r>
        <w:rPr>
          <w:rFonts w:hint="eastAsia" w:ascii="仿宋" w:hAnsi="仿宋" w:cs="仿宋"/>
          <w:sz w:val="32"/>
          <w:szCs w:val="32"/>
          <w:lang w:eastAsia="zh-CN"/>
        </w:rPr>
        <w:t>355.69万元</w:t>
      </w:r>
      <w:r>
        <w:rPr>
          <w:rFonts w:hint="eastAsia" w:ascii="仿宋" w:hAnsi="仿宋" w:eastAsia="仿宋" w:cs="仿宋"/>
          <w:sz w:val="32"/>
          <w:szCs w:val="32"/>
        </w:rPr>
        <w:t>，占76.34%、 卫生健康支出</w:t>
      </w:r>
      <w:r>
        <w:rPr>
          <w:rFonts w:hint="eastAsia" w:ascii="仿宋" w:hAnsi="仿宋" w:cs="仿宋"/>
          <w:sz w:val="32"/>
          <w:szCs w:val="32"/>
          <w:lang w:eastAsia="zh-CN"/>
        </w:rPr>
        <w:t>24.54万元</w:t>
      </w:r>
      <w:r>
        <w:rPr>
          <w:rFonts w:hint="eastAsia" w:ascii="仿宋" w:hAnsi="仿宋" w:eastAsia="仿宋" w:cs="仿宋"/>
          <w:sz w:val="32"/>
          <w:szCs w:val="32"/>
        </w:rPr>
        <w:t>，占5.27%、 住房保障支出</w:t>
      </w:r>
      <w:r>
        <w:rPr>
          <w:rFonts w:hint="eastAsia" w:ascii="仿宋" w:hAnsi="仿宋" w:cs="仿宋"/>
          <w:sz w:val="32"/>
          <w:szCs w:val="32"/>
          <w:lang w:eastAsia="zh-CN"/>
        </w:rPr>
        <w:t>30.34万元</w:t>
      </w:r>
      <w:r>
        <w:rPr>
          <w:rFonts w:hint="eastAsia" w:ascii="仿宋" w:hAnsi="仿宋" w:eastAsia="仿宋" w:cs="仿宋"/>
          <w:sz w:val="32"/>
          <w:szCs w:val="32"/>
        </w:rPr>
        <w:t>，占6.51%、 社会保障和就业支出</w:t>
      </w:r>
      <w:r>
        <w:rPr>
          <w:rFonts w:hint="eastAsia" w:ascii="仿宋" w:hAnsi="仿宋" w:cs="仿宋"/>
          <w:sz w:val="32"/>
          <w:szCs w:val="32"/>
          <w:lang w:eastAsia="zh-CN"/>
        </w:rPr>
        <w:t>55.36万元</w:t>
      </w:r>
      <w:r>
        <w:rPr>
          <w:rFonts w:hint="eastAsia" w:ascii="仿宋" w:hAnsi="仿宋" w:eastAsia="仿宋" w:cs="仿宋"/>
          <w:sz w:val="32"/>
          <w:szCs w:val="32"/>
        </w:rPr>
        <w:t>，占11.88%。</w:t>
      </w:r>
    </w:p>
    <w:p w14:paraId="6A96AAB1">
      <w:pPr>
        <w:pStyle w:val="3"/>
        <w:pageBreakBefore w:val="0"/>
        <w:kinsoku/>
        <w:wordWrap/>
        <w:overflowPunct/>
        <w:topLinePunct w:val="0"/>
        <w:autoSpaceDE/>
        <w:autoSpaceDN/>
        <w:bidi w:val="0"/>
        <w:snapToGrid/>
        <w:spacing w:line="240" w:lineRule="auto"/>
        <w:textAlignment w:val="auto"/>
        <w:rPr>
          <w:rFonts w:hint="eastAsia" w:ascii="楷体" w:hAnsi="楷体" w:eastAsia="楷体" w:cs="楷体"/>
          <w:b/>
          <w:bCs/>
          <w:sz w:val="32"/>
          <w:szCs w:val="32"/>
        </w:rPr>
      </w:pPr>
      <w:bookmarkStart w:id="23" w:name="_Toc25394"/>
      <w:r>
        <w:rPr>
          <w:rFonts w:hint="eastAsia" w:ascii="楷体" w:hAnsi="楷体" w:eastAsia="楷体" w:cs="楷体"/>
          <w:b/>
          <w:bCs/>
          <w:sz w:val="32"/>
          <w:szCs w:val="32"/>
        </w:rPr>
        <w:t>（三）一般公共预算当年拨款具体使用情况</w:t>
      </w:r>
      <w:bookmarkEnd w:id="23"/>
    </w:p>
    <w:p w14:paraId="18E7DEC9">
      <w:pPr>
        <w:bidi w:val="0"/>
        <w:rPr>
          <w:rFonts w:hint="eastAsia" w:ascii="仿宋" w:hAnsi="仿宋" w:eastAsia="仿宋" w:cs="仿宋"/>
          <w:sz w:val="32"/>
          <w:szCs w:val="32"/>
        </w:rPr>
      </w:pPr>
      <w:r>
        <w:rPr>
          <w:rFonts w:hint="eastAsia" w:ascii="仿宋" w:hAnsi="仿宋" w:eastAsia="仿宋" w:cs="仿宋"/>
          <w:sz w:val="32"/>
          <w:szCs w:val="32"/>
        </w:rPr>
        <w:t>1.教育支出（类）进修及培训（款）干部教育（项）2026年预算数为</w:t>
      </w:r>
      <w:r>
        <w:rPr>
          <w:rFonts w:hint="eastAsia" w:ascii="仿宋" w:hAnsi="仿宋" w:cs="仿宋"/>
          <w:sz w:val="32"/>
          <w:szCs w:val="32"/>
          <w:lang w:eastAsia="zh-CN"/>
        </w:rPr>
        <w:t>355.69万元</w:t>
      </w:r>
      <w:r>
        <w:rPr>
          <w:rFonts w:hint="eastAsia" w:ascii="仿宋" w:hAnsi="仿宋" w:eastAsia="仿宋" w:cs="仿宋"/>
          <w:sz w:val="32"/>
          <w:szCs w:val="32"/>
        </w:rPr>
        <w:t>，主要用于：各级党校、行政学院、社会主义学院、国家会计学院的支出。包括机构运转、招聘师资、举办各类培训班的支出等。</w:t>
      </w:r>
      <w:r>
        <w:rPr>
          <w:rFonts w:hint="eastAsia" w:ascii="仿宋" w:hAnsi="仿宋" w:eastAsia="仿宋" w:cs="仿宋"/>
          <w:sz w:val="32"/>
          <w:szCs w:val="32"/>
        </w:rPr>
        <w:cr/>
      </w:r>
      <w:r>
        <w:rPr>
          <w:rFonts w:hint="eastAsia" w:ascii="仿宋" w:hAnsi="仿宋" w:eastAsia="仿宋" w:cs="仿宋"/>
          <w:sz w:val="32"/>
          <w:szCs w:val="32"/>
        </w:rPr>
        <w:t xml:space="preserve">    2.社会保障和就业支出（类）行政事业单位养老支出（款）事业单位离退休（项）2026年预算数为18</w:t>
      </w:r>
      <w:r>
        <w:rPr>
          <w:rFonts w:hint="eastAsia" w:ascii="仿宋" w:hAnsi="仿宋" w:cs="仿宋"/>
          <w:sz w:val="32"/>
          <w:szCs w:val="32"/>
          <w:lang w:val="en-US" w:eastAsia="zh-CN"/>
        </w:rPr>
        <w:t>.</w:t>
      </w:r>
      <w:r>
        <w:rPr>
          <w:rFonts w:hint="eastAsia" w:ascii="仿宋" w:hAnsi="仿宋" w:eastAsia="仿宋" w:cs="仿宋"/>
          <w:sz w:val="32"/>
          <w:szCs w:val="32"/>
        </w:rPr>
        <w:t>00</w:t>
      </w:r>
      <w:r>
        <w:rPr>
          <w:rFonts w:hint="eastAsia" w:ascii="仿宋" w:hAnsi="仿宋" w:cs="仿宋"/>
          <w:sz w:val="32"/>
          <w:szCs w:val="32"/>
          <w:lang w:val="en-US" w:eastAsia="zh-CN"/>
        </w:rPr>
        <w:t>万</w:t>
      </w:r>
      <w:r>
        <w:rPr>
          <w:rFonts w:hint="eastAsia" w:ascii="仿宋" w:hAnsi="仿宋" w:eastAsia="仿宋" w:cs="仿宋"/>
          <w:sz w:val="32"/>
          <w:szCs w:val="32"/>
        </w:rPr>
        <w:t>元，主要用于：事业单位开支的离退休经费。</w:t>
      </w:r>
      <w:r>
        <w:rPr>
          <w:rFonts w:hint="eastAsia" w:ascii="仿宋" w:hAnsi="仿宋" w:eastAsia="仿宋" w:cs="仿宋"/>
          <w:sz w:val="32"/>
          <w:szCs w:val="32"/>
        </w:rPr>
        <w:cr/>
      </w:r>
      <w:r>
        <w:rPr>
          <w:rFonts w:hint="eastAsia" w:ascii="仿宋" w:hAnsi="仿宋" w:eastAsia="仿宋" w:cs="仿宋"/>
          <w:sz w:val="32"/>
          <w:szCs w:val="32"/>
        </w:rPr>
        <w:t xml:space="preserve">    3.社会保障和就业支出（类）行政事业单位养老支出（款）机关事业单位基本养老保险缴费支出（项）2026年预算数为</w:t>
      </w:r>
      <w:r>
        <w:rPr>
          <w:rFonts w:hint="eastAsia" w:ascii="仿宋" w:hAnsi="仿宋" w:cs="仿宋"/>
          <w:sz w:val="32"/>
          <w:szCs w:val="32"/>
          <w:lang w:eastAsia="zh-CN"/>
        </w:rPr>
        <w:t>36.86万元</w:t>
      </w:r>
      <w:r>
        <w:rPr>
          <w:rFonts w:hint="eastAsia" w:ascii="仿宋" w:hAnsi="仿宋" w:eastAsia="仿宋" w:cs="仿宋"/>
          <w:sz w:val="32"/>
          <w:szCs w:val="32"/>
        </w:rPr>
        <w:t>，主要用于：机关事业单位实施养老保险制度由单位缴纳的基本养老保险费支出。</w:t>
      </w:r>
      <w:r>
        <w:rPr>
          <w:rFonts w:hint="eastAsia" w:ascii="仿宋" w:hAnsi="仿宋" w:eastAsia="仿宋" w:cs="仿宋"/>
          <w:sz w:val="32"/>
          <w:szCs w:val="32"/>
        </w:rPr>
        <w:cr/>
      </w:r>
      <w:r>
        <w:rPr>
          <w:rFonts w:hint="eastAsia" w:ascii="仿宋" w:hAnsi="仿宋" w:eastAsia="仿宋" w:cs="仿宋"/>
          <w:sz w:val="32"/>
          <w:szCs w:val="32"/>
        </w:rPr>
        <w:t xml:space="preserve">    4.社会保障和就业支出（类）其他社会保障和就业支出（款）其他社会保障和就业支出（项）2026年预算数为</w:t>
      </w:r>
      <w:r>
        <w:rPr>
          <w:rFonts w:hint="eastAsia" w:ascii="仿宋" w:hAnsi="仿宋" w:cs="仿宋"/>
          <w:sz w:val="32"/>
          <w:szCs w:val="32"/>
          <w:lang w:val="en-US" w:eastAsia="zh-CN"/>
        </w:rPr>
        <w:t>0.</w:t>
      </w:r>
      <w:r>
        <w:rPr>
          <w:rFonts w:hint="eastAsia" w:ascii="仿宋" w:hAnsi="仿宋" w:eastAsia="仿宋" w:cs="仿宋"/>
          <w:sz w:val="32"/>
          <w:szCs w:val="32"/>
        </w:rPr>
        <w:t>50</w:t>
      </w:r>
      <w:r>
        <w:rPr>
          <w:rFonts w:hint="eastAsia" w:ascii="仿宋" w:hAnsi="仿宋" w:cs="仿宋"/>
          <w:sz w:val="32"/>
          <w:szCs w:val="32"/>
          <w:lang w:val="en-US" w:eastAsia="zh-CN"/>
        </w:rPr>
        <w:t>万</w:t>
      </w:r>
      <w:r>
        <w:rPr>
          <w:rFonts w:hint="eastAsia" w:ascii="仿宋" w:hAnsi="仿宋" w:eastAsia="仿宋" w:cs="仿宋"/>
          <w:sz w:val="32"/>
          <w:szCs w:val="32"/>
        </w:rPr>
        <w:t>元，主要用于：除上述项以外其他用于社会保障和就业方面的支出。</w:t>
      </w:r>
      <w:r>
        <w:rPr>
          <w:rFonts w:hint="eastAsia" w:ascii="仿宋" w:hAnsi="仿宋" w:eastAsia="仿宋" w:cs="仿宋"/>
          <w:sz w:val="32"/>
          <w:szCs w:val="32"/>
        </w:rPr>
        <w:cr/>
      </w:r>
      <w:r>
        <w:rPr>
          <w:rFonts w:hint="eastAsia" w:ascii="仿宋" w:hAnsi="仿宋" w:eastAsia="仿宋" w:cs="仿宋"/>
          <w:sz w:val="32"/>
          <w:szCs w:val="32"/>
        </w:rPr>
        <w:t xml:space="preserve">    5.卫生健康支出（类）行政事业单位医疗（款）行政单位医疗（项）2026年预算数为</w:t>
      </w:r>
      <w:r>
        <w:rPr>
          <w:rFonts w:hint="eastAsia" w:ascii="仿宋" w:hAnsi="仿宋" w:cs="仿宋"/>
          <w:sz w:val="32"/>
          <w:szCs w:val="32"/>
          <w:lang w:eastAsia="zh-CN"/>
        </w:rPr>
        <w:t>3.75万元</w:t>
      </w:r>
      <w:r>
        <w:rPr>
          <w:rFonts w:hint="eastAsia" w:ascii="仿宋" w:hAnsi="仿宋" w:eastAsia="仿宋" w:cs="仿宋"/>
          <w:sz w:val="32"/>
          <w:szCs w:val="32"/>
        </w:rPr>
        <w:t>，主要用于：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 w:hAnsi="仿宋" w:eastAsia="仿宋" w:cs="仿宋"/>
          <w:sz w:val="32"/>
          <w:szCs w:val="32"/>
        </w:rPr>
        <w:cr/>
      </w:r>
      <w:r>
        <w:rPr>
          <w:rFonts w:hint="eastAsia" w:ascii="仿宋" w:hAnsi="仿宋" w:eastAsia="仿宋" w:cs="仿宋"/>
          <w:sz w:val="32"/>
          <w:szCs w:val="32"/>
        </w:rPr>
        <w:t xml:space="preserve">    6.卫生健康支出（类）行政事业单位医疗（款）事业单位医疗（项）2026年预算数为</w:t>
      </w:r>
      <w:r>
        <w:rPr>
          <w:rFonts w:hint="eastAsia" w:ascii="仿宋" w:hAnsi="仿宋" w:cs="仿宋"/>
          <w:sz w:val="32"/>
          <w:szCs w:val="32"/>
          <w:lang w:eastAsia="zh-CN"/>
        </w:rPr>
        <w:t>10.87万元</w:t>
      </w:r>
      <w:r>
        <w:rPr>
          <w:rFonts w:hint="eastAsia" w:ascii="仿宋" w:hAnsi="仿宋" w:eastAsia="仿宋" w:cs="仿宋"/>
          <w:sz w:val="32"/>
          <w:szCs w:val="32"/>
        </w:rPr>
        <w:t>，主要用于：财政部门安排的事业单位基本医疗保险缴费经费，未参加医疗保险的事业单位的公费医疗经费，按国家规定享受离休人员待遇的医疗经费。</w:t>
      </w:r>
      <w:r>
        <w:rPr>
          <w:rFonts w:hint="eastAsia" w:ascii="仿宋" w:hAnsi="仿宋" w:eastAsia="仿宋" w:cs="仿宋"/>
          <w:sz w:val="32"/>
          <w:szCs w:val="32"/>
        </w:rPr>
        <w:cr/>
      </w:r>
      <w:r>
        <w:rPr>
          <w:rFonts w:hint="eastAsia" w:ascii="仿宋" w:hAnsi="仿宋" w:eastAsia="仿宋" w:cs="仿宋"/>
          <w:sz w:val="32"/>
          <w:szCs w:val="32"/>
        </w:rPr>
        <w:t xml:space="preserve">    7.卫生健康支出（类）行政事业单位医疗（款）公务员医疗补助（项）2026年预算数为</w:t>
      </w:r>
      <w:r>
        <w:rPr>
          <w:rFonts w:hint="eastAsia" w:ascii="仿宋" w:hAnsi="仿宋" w:cs="仿宋"/>
          <w:sz w:val="32"/>
          <w:szCs w:val="32"/>
          <w:lang w:eastAsia="zh-CN"/>
        </w:rPr>
        <w:t>9.91万元</w:t>
      </w:r>
      <w:r>
        <w:rPr>
          <w:rFonts w:hint="eastAsia" w:ascii="仿宋" w:hAnsi="仿宋" w:eastAsia="仿宋" w:cs="仿宋"/>
          <w:sz w:val="32"/>
          <w:szCs w:val="32"/>
        </w:rPr>
        <w:t>，主要用于：财政部门安排的公务员医疗补助经费。</w:t>
      </w:r>
      <w:r>
        <w:rPr>
          <w:rFonts w:hint="eastAsia" w:ascii="仿宋" w:hAnsi="仿宋" w:eastAsia="仿宋" w:cs="仿宋"/>
          <w:sz w:val="32"/>
          <w:szCs w:val="32"/>
        </w:rPr>
        <w:cr/>
      </w:r>
      <w:r>
        <w:rPr>
          <w:rFonts w:hint="eastAsia" w:ascii="仿宋" w:hAnsi="仿宋" w:eastAsia="仿宋" w:cs="仿宋"/>
          <w:sz w:val="32"/>
          <w:szCs w:val="32"/>
        </w:rPr>
        <w:t xml:space="preserve">    8.住房保障支出（类）住房改革支出（款）住房公积金（项）2026年预算数为</w:t>
      </w:r>
      <w:r>
        <w:rPr>
          <w:rFonts w:hint="eastAsia" w:ascii="仿宋" w:hAnsi="仿宋" w:cs="仿宋"/>
          <w:sz w:val="32"/>
          <w:szCs w:val="32"/>
          <w:lang w:eastAsia="zh-CN"/>
        </w:rPr>
        <w:t>30.34万元</w:t>
      </w:r>
      <w:r>
        <w:rPr>
          <w:rFonts w:hint="eastAsia" w:ascii="仿宋" w:hAnsi="仿宋" w:eastAsia="仿宋" w:cs="仿宋"/>
          <w:sz w:val="32"/>
          <w:szCs w:val="32"/>
        </w:rPr>
        <w:t>，主要用于：行政事业单位按人力资源和社会保障部、财政部规定的基本工资和津贴补贴以及规定比例为职工缴纳的住房公积金。</w:t>
      </w:r>
    </w:p>
    <w:p w14:paraId="0B1E09A1">
      <w:pPr>
        <w:pStyle w:val="2"/>
        <w:pageBreakBefore w:val="0"/>
        <w:kinsoku/>
        <w:wordWrap/>
        <w:overflowPunct/>
        <w:topLinePunct w:val="0"/>
        <w:autoSpaceDE/>
        <w:autoSpaceDN/>
        <w:bidi w:val="0"/>
        <w:snapToGrid/>
        <w:spacing w:line="240" w:lineRule="auto"/>
        <w:textAlignment w:val="auto"/>
        <w:rPr>
          <w:rFonts w:hint="eastAsia"/>
        </w:rPr>
      </w:pPr>
      <w:bookmarkStart w:id="24" w:name="_Toc28184"/>
      <w:r>
        <w:rPr>
          <w:rFonts w:hint="eastAsia"/>
        </w:rPr>
        <w:t>四、一般公共预算基本支出情况说明</w:t>
      </w:r>
      <w:bookmarkEnd w:id="24"/>
    </w:p>
    <w:p w14:paraId="72ED7B4A">
      <w:pPr>
        <w:bidi w:val="0"/>
        <w:rPr>
          <w:rFonts w:hint="eastAsia" w:ascii="仿宋" w:hAnsi="仿宋" w:eastAsia="仿宋" w:cs="仿宋"/>
          <w:sz w:val="32"/>
          <w:szCs w:val="32"/>
        </w:rPr>
      </w:pPr>
      <w:r>
        <w:rPr>
          <w:rFonts w:hint="eastAsia" w:ascii="仿宋" w:hAnsi="仿宋" w:cs="仿宋"/>
          <w:sz w:val="32"/>
          <w:szCs w:val="32"/>
          <w:lang w:eastAsia="zh-CN"/>
        </w:rPr>
        <w:t>党校</w:t>
      </w:r>
      <w:r>
        <w:rPr>
          <w:rFonts w:ascii="仿宋" w:hAnsi="仿宋" w:eastAsia="仿宋" w:cs="仿宋"/>
          <w:sz w:val="32"/>
          <w:u w:color="auto"/>
        </w:rPr>
        <w:t>2026年一般公共预算基本支出</w:t>
      </w:r>
      <w:r>
        <w:rPr>
          <w:rFonts w:hint="eastAsia" w:ascii="仿宋" w:hAnsi="仿宋" w:cs="仿宋"/>
          <w:sz w:val="32"/>
          <w:u w:color="auto"/>
          <w:lang w:eastAsia="zh-CN"/>
        </w:rPr>
        <w:t>400.66万元</w:t>
      </w:r>
      <w:r>
        <w:rPr>
          <w:rFonts w:hint="eastAsia" w:ascii="仿宋" w:hAnsi="仿宋" w:eastAsia="仿宋" w:cs="仿宋"/>
          <w:sz w:val="32"/>
          <w:szCs w:val="32"/>
          <w:lang w:eastAsia="zh-CN"/>
        </w:rPr>
        <w:t>，</w:t>
      </w:r>
      <w:r>
        <w:rPr>
          <w:rFonts w:hint="eastAsia" w:ascii="仿宋" w:hAnsi="仿宋" w:eastAsia="仿宋" w:cs="仿宋"/>
          <w:sz w:val="32"/>
          <w:szCs w:val="32"/>
        </w:rPr>
        <w:t>其中：</w:t>
      </w:r>
    </w:p>
    <w:p w14:paraId="6B99B8CE">
      <w:pPr>
        <w:bidi w:val="0"/>
        <w:rPr>
          <w:rFonts w:hint="eastAsia" w:ascii="仿宋" w:hAnsi="仿宋" w:eastAsia="仿宋" w:cs="仿宋"/>
          <w:sz w:val="32"/>
          <w:szCs w:val="32"/>
        </w:rPr>
      </w:pPr>
      <w:r>
        <w:rPr>
          <w:rFonts w:hint="eastAsia" w:ascii="仿宋" w:hAnsi="仿宋" w:eastAsia="仿宋" w:cs="仿宋"/>
          <w:sz w:val="32"/>
          <w:szCs w:val="32"/>
        </w:rPr>
        <w:t xml:space="preserve">人员经费 </w:t>
      </w:r>
      <w:r>
        <w:rPr>
          <w:rFonts w:hint="eastAsia" w:ascii="仿宋" w:hAnsi="仿宋" w:cs="仿宋"/>
          <w:sz w:val="32"/>
          <w:u w:color="auto"/>
          <w:lang w:eastAsia="zh-CN"/>
        </w:rPr>
        <w:t>362.96万元</w:t>
      </w:r>
      <w:r>
        <w:rPr>
          <w:rFonts w:hint="eastAsia" w:ascii="仿宋" w:hAnsi="仿宋" w:eastAsia="仿宋" w:cs="仿宋"/>
          <w:sz w:val="32"/>
          <w:szCs w:val="32"/>
          <w:lang w:eastAsia="zh-CN"/>
        </w:rPr>
        <w:t>，</w:t>
      </w:r>
      <w:r>
        <w:rPr>
          <w:rFonts w:hint="eastAsia" w:ascii="仿宋" w:hAnsi="仿宋" w:eastAsia="仿宋" w:cs="仿宋"/>
          <w:sz w:val="32"/>
          <w:szCs w:val="32"/>
        </w:rPr>
        <w:t>主要包括：基</w:t>
      </w:r>
      <w:r>
        <w:rPr>
          <w:rFonts w:ascii="仿宋" w:hAnsi="仿宋" w:eastAsia="仿宋" w:cs="仿宋"/>
          <w:sz w:val="32"/>
          <w:u w:color="auto"/>
        </w:rPr>
        <w:t>本工资、津贴补贴、奖金、绩效工资、机关事业单位基本养老保险缴费、职工基本医疗保险缴费、公务员医疗补助缴费、其他社会保障缴费、住房公积金、医疗费、生活补助、其他对个人和家庭的补助。</w:t>
      </w:r>
    </w:p>
    <w:p w14:paraId="3F75BC09">
      <w:pPr>
        <w:bidi w:val="0"/>
        <w:rPr>
          <w:rFonts w:hint="eastAsia" w:ascii="仿宋" w:hAnsi="仿宋" w:eastAsia="仿宋" w:cs="仿宋"/>
          <w:sz w:val="32"/>
          <w:szCs w:val="32"/>
        </w:rPr>
      </w:pPr>
      <w:r>
        <w:rPr>
          <w:rFonts w:hint="eastAsia" w:ascii="仿宋" w:hAnsi="仿宋" w:eastAsia="仿宋" w:cs="仿宋"/>
          <w:sz w:val="32"/>
          <w:szCs w:val="32"/>
        </w:rPr>
        <w:t xml:space="preserve">公用经费 </w:t>
      </w:r>
      <w:r>
        <w:rPr>
          <w:rFonts w:hint="eastAsia" w:ascii="仿宋" w:hAnsi="仿宋" w:cs="仿宋"/>
          <w:sz w:val="32"/>
          <w:u w:color="auto"/>
          <w:lang w:eastAsia="zh-CN"/>
        </w:rPr>
        <w:t>37.69万元</w:t>
      </w:r>
      <w:r>
        <w:rPr>
          <w:rFonts w:hint="eastAsia" w:ascii="仿宋" w:hAnsi="仿宋" w:eastAsia="仿宋" w:cs="仿宋"/>
          <w:sz w:val="32"/>
          <w:szCs w:val="32"/>
          <w:lang w:eastAsia="zh-CN"/>
        </w:rPr>
        <w:t>，</w:t>
      </w:r>
      <w:r>
        <w:rPr>
          <w:rFonts w:hint="eastAsia" w:ascii="仿宋" w:hAnsi="仿宋" w:eastAsia="仿宋" w:cs="仿宋"/>
          <w:sz w:val="32"/>
          <w:szCs w:val="32"/>
        </w:rPr>
        <w:t>主要包括：办</w:t>
      </w:r>
      <w:r>
        <w:rPr>
          <w:rFonts w:ascii="仿宋" w:hAnsi="仿宋" w:eastAsia="仿宋" w:cs="仿宋"/>
          <w:sz w:val="32"/>
          <w:u w:color="auto"/>
        </w:rPr>
        <w:t>公费、水费、电费、邮电费、差旅费、维修（护）费、培训费、公务接待费、工会经费、公务用车运行维护费、其他商品和服务支出。</w:t>
      </w:r>
    </w:p>
    <w:p w14:paraId="66DC779F">
      <w:pPr>
        <w:pStyle w:val="2"/>
        <w:bidi w:val="0"/>
        <w:rPr>
          <w:rFonts w:hint="eastAsia"/>
        </w:rPr>
      </w:pPr>
      <w:bookmarkStart w:id="25" w:name="_Toc10377"/>
      <w:r>
        <w:rPr>
          <w:rFonts w:hint="eastAsia"/>
        </w:rPr>
        <w:t>五、“三公”经费财政拨款预算安排情况说明</w:t>
      </w:r>
      <w:bookmarkEnd w:id="25"/>
    </w:p>
    <w:p w14:paraId="754751A5">
      <w:pPr>
        <w:bidi w:val="0"/>
        <w:rPr>
          <w:rFonts w:hint="eastAsia" w:ascii="仿宋" w:hAnsi="仿宋" w:eastAsia="仿宋" w:cs="仿宋"/>
          <w:sz w:val="32"/>
          <w:szCs w:val="32"/>
        </w:rPr>
      </w:pPr>
      <w:r>
        <w:rPr>
          <w:rFonts w:hint="eastAsia" w:ascii="仿宋" w:hAnsi="仿宋" w:cs="仿宋"/>
          <w:sz w:val="32"/>
          <w:szCs w:val="32"/>
          <w:lang w:eastAsia="zh-CN"/>
        </w:rPr>
        <w:t>党校</w:t>
      </w:r>
      <w:r>
        <w:rPr>
          <w:rFonts w:hint="eastAsia" w:ascii="仿宋" w:hAnsi="仿宋" w:eastAsia="仿宋" w:cs="仿宋"/>
          <w:sz w:val="32"/>
          <w:szCs w:val="32"/>
        </w:rPr>
        <w:t>2026年“三公”经费财政拨款预算数5</w:t>
      </w:r>
      <w:r>
        <w:rPr>
          <w:rFonts w:hint="eastAsia" w:ascii="仿宋" w:hAnsi="仿宋" w:cs="仿宋"/>
          <w:sz w:val="32"/>
          <w:szCs w:val="32"/>
          <w:lang w:val="en-US" w:eastAsia="zh-CN"/>
        </w:rPr>
        <w:t>.</w:t>
      </w:r>
      <w:r>
        <w:rPr>
          <w:rFonts w:hint="eastAsia" w:ascii="仿宋" w:hAnsi="仿宋" w:eastAsia="仿宋" w:cs="仿宋"/>
          <w:sz w:val="32"/>
          <w:szCs w:val="32"/>
        </w:rPr>
        <w:t>30</w:t>
      </w:r>
      <w:r>
        <w:rPr>
          <w:rFonts w:hint="eastAsia" w:ascii="仿宋" w:hAnsi="仿宋" w:cs="仿宋"/>
          <w:sz w:val="32"/>
          <w:szCs w:val="32"/>
          <w:lang w:val="en-US" w:eastAsia="zh-CN"/>
        </w:rPr>
        <w:t>万</w:t>
      </w:r>
      <w:r>
        <w:rPr>
          <w:rFonts w:hint="eastAsia" w:ascii="仿宋" w:hAnsi="仿宋" w:eastAsia="仿宋" w:cs="仿宋"/>
          <w:sz w:val="32"/>
          <w:szCs w:val="32"/>
        </w:rPr>
        <w:t>元，其中公务接待费</w:t>
      </w:r>
      <w:r>
        <w:rPr>
          <w:rFonts w:hint="eastAsia" w:ascii="仿宋" w:hAnsi="仿宋" w:cs="仿宋"/>
          <w:sz w:val="32"/>
          <w:szCs w:val="32"/>
          <w:lang w:val="en-US" w:eastAsia="zh-CN"/>
        </w:rPr>
        <w:t>0.</w:t>
      </w:r>
      <w:r>
        <w:rPr>
          <w:rFonts w:hint="eastAsia" w:ascii="仿宋" w:hAnsi="仿宋" w:eastAsia="仿宋" w:cs="仿宋"/>
          <w:sz w:val="32"/>
          <w:szCs w:val="32"/>
        </w:rPr>
        <w:t>30</w:t>
      </w:r>
      <w:r>
        <w:rPr>
          <w:rFonts w:hint="eastAsia" w:ascii="仿宋" w:hAnsi="仿宋" w:cs="仿宋"/>
          <w:sz w:val="32"/>
          <w:szCs w:val="32"/>
          <w:lang w:val="en-US" w:eastAsia="zh-CN"/>
        </w:rPr>
        <w:t>万</w:t>
      </w:r>
      <w:r>
        <w:rPr>
          <w:rFonts w:hint="eastAsia" w:ascii="仿宋" w:hAnsi="仿宋" w:eastAsia="仿宋" w:cs="仿宋"/>
          <w:sz w:val="32"/>
          <w:szCs w:val="32"/>
        </w:rPr>
        <w:t>元，公务用车购置及运行维护费5</w:t>
      </w:r>
      <w:r>
        <w:rPr>
          <w:rFonts w:hint="eastAsia" w:ascii="仿宋" w:hAnsi="仿宋" w:cs="仿宋"/>
          <w:sz w:val="32"/>
          <w:szCs w:val="32"/>
          <w:lang w:val="en-US" w:eastAsia="zh-CN"/>
        </w:rPr>
        <w:t>.</w:t>
      </w:r>
      <w:r>
        <w:rPr>
          <w:rFonts w:hint="eastAsia" w:ascii="仿宋" w:hAnsi="仿宋" w:eastAsia="仿宋" w:cs="仿宋"/>
          <w:sz w:val="32"/>
          <w:szCs w:val="32"/>
        </w:rPr>
        <w:t>00</w:t>
      </w:r>
      <w:r>
        <w:rPr>
          <w:rFonts w:hint="eastAsia" w:ascii="仿宋" w:hAnsi="仿宋" w:cs="仿宋"/>
          <w:sz w:val="32"/>
          <w:szCs w:val="32"/>
          <w:lang w:val="en-US" w:eastAsia="zh-CN"/>
        </w:rPr>
        <w:t>万</w:t>
      </w:r>
      <w:r>
        <w:rPr>
          <w:rFonts w:hint="eastAsia" w:ascii="仿宋" w:hAnsi="仿宋" w:eastAsia="仿宋" w:cs="仿宋"/>
          <w:sz w:val="32"/>
          <w:szCs w:val="32"/>
        </w:rPr>
        <w:t>元。</w:t>
      </w:r>
    </w:p>
    <w:p w14:paraId="1132A266">
      <w:pPr>
        <w:bidi w:val="0"/>
        <w:rPr>
          <w:rFonts w:hint="eastAsia" w:ascii="Times New Roman" w:hAnsi="Times New Roman" w:eastAsia="黑体" w:cs="Times New Roman"/>
          <w:bCs/>
          <w:kern w:val="44"/>
          <w:sz w:val="32"/>
          <w:szCs w:val="44"/>
          <w:lang w:val="en-US" w:eastAsia="zh-CN" w:bidi="ar-SA"/>
        </w:rPr>
      </w:pPr>
      <w:r>
        <w:rPr>
          <w:rFonts w:hint="eastAsia" w:ascii="Times New Roman" w:hAnsi="Times New Roman" w:eastAsia="黑体" w:cs="Times New Roman"/>
          <w:bCs/>
          <w:kern w:val="44"/>
          <w:sz w:val="32"/>
          <w:szCs w:val="44"/>
          <w:lang w:val="en-US" w:eastAsia="zh-CN" w:bidi="ar-SA"/>
        </w:rPr>
        <w:t>(一)</w:t>
      </w:r>
      <w:r>
        <w:rPr>
          <w:rFonts w:hint="eastAsia" w:ascii="Times New Roman" w:hAnsi="Times New Roman" w:eastAsia="黑体" w:cs="Times New Roman"/>
          <w:b/>
          <w:bCs w:val="0"/>
          <w:kern w:val="44"/>
          <w:sz w:val="32"/>
          <w:szCs w:val="44"/>
          <w:lang w:val="en-US" w:eastAsia="zh-CN" w:bidi="ar-SA"/>
        </w:rPr>
        <w:t>公务接待费与2025年预算数减少166.67%。</w:t>
      </w:r>
      <w:r>
        <w:rPr>
          <w:rFonts w:hint="eastAsia" w:ascii="Times New Roman" w:hAnsi="Times New Roman" w:eastAsia="黑体" w:cs="Times New Roman"/>
          <w:bCs/>
          <w:kern w:val="44"/>
          <w:sz w:val="32"/>
          <w:szCs w:val="44"/>
          <w:lang w:val="en-US" w:eastAsia="zh-CN" w:bidi="ar-SA"/>
        </w:rPr>
        <w:t>主要原因是缩减三公经费</w:t>
      </w:r>
    </w:p>
    <w:p w14:paraId="42ECD4B6">
      <w:pPr>
        <w:bidi w:val="0"/>
        <w:rPr>
          <w:rFonts w:hint="default" w:ascii="仿宋" w:hAnsi="仿宋" w:eastAsia="仿宋" w:cs="仿宋"/>
          <w:sz w:val="32"/>
          <w:szCs w:val="32"/>
          <w:lang w:val="en-US" w:eastAsia="zh-CN"/>
        </w:rPr>
      </w:pPr>
      <w:r>
        <w:rPr>
          <w:rFonts w:hint="eastAsia" w:ascii="仿宋" w:hAnsi="仿宋" w:cs="仿宋"/>
          <w:sz w:val="32"/>
          <w:szCs w:val="32"/>
          <w:lang w:val="en-US" w:eastAsia="zh-CN"/>
        </w:rPr>
        <w:t>2026年公务接待费计划用于公务接待。</w:t>
      </w:r>
    </w:p>
    <w:p w14:paraId="7FDEDA11">
      <w:pPr>
        <w:bidi w:val="0"/>
        <w:rPr>
          <w:rFonts w:hint="eastAsia" w:ascii="Times New Roman" w:hAnsi="Times New Roman" w:eastAsia="黑体" w:cs="Times New Roman"/>
          <w:bCs/>
          <w:kern w:val="44"/>
          <w:sz w:val="32"/>
          <w:szCs w:val="44"/>
          <w:lang w:val="en-US" w:eastAsia="zh-CN" w:bidi="ar-SA"/>
        </w:rPr>
      </w:pPr>
      <w:r>
        <w:rPr>
          <w:rFonts w:hint="eastAsia" w:ascii="Times New Roman" w:hAnsi="Times New Roman" w:eastAsia="黑体" w:cs="Times New Roman"/>
          <w:bCs/>
          <w:kern w:val="44"/>
          <w:sz w:val="32"/>
          <w:szCs w:val="44"/>
          <w:lang w:val="en-US" w:eastAsia="zh-CN" w:bidi="ar-SA"/>
        </w:rPr>
        <w:t>(二)</w:t>
      </w:r>
      <w:r>
        <w:rPr>
          <w:rFonts w:hint="eastAsia" w:ascii="Times New Roman" w:hAnsi="Times New Roman" w:eastAsia="黑体" w:cs="Times New Roman"/>
          <w:b/>
          <w:bCs w:val="0"/>
          <w:kern w:val="44"/>
          <w:sz w:val="32"/>
          <w:szCs w:val="44"/>
          <w:lang w:val="en-US" w:eastAsia="zh-CN" w:bidi="ar-SA"/>
        </w:rPr>
        <w:t>公务用车购置及运行维护费与2025年预算数持平。</w:t>
      </w:r>
    </w:p>
    <w:p w14:paraId="2151F2A9">
      <w:pPr>
        <w:bidi w:val="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单位现有公务用车</w:t>
      </w:r>
      <w:r>
        <w:rPr>
          <w:rFonts w:hint="eastAsia" w:ascii="仿宋" w:hAnsi="仿宋" w:cs="仿宋"/>
          <w:color w:val="000000" w:themeColor="text1"/>
          <w:sz w:val="32"/>
          <w:szCs w:val="32"/>
          <w:lang w:val="en-US" w:eastAsia="zh-CN"/>
          <w14:textFill>
            <w14:solidFill>
              <w14:schemeClr w14:val="tx1"/>
            </w14:solidFill>
          </w14:textFill>
        </w:rPr>
        <w:t>1</w:t>
      </w:r>
      <w:r>
        <w:rPr>
          <w:rFonts w:ascii="仿宋" w:hAnsi="仿宋" w:eastAsia="仿宋" w:cs="仿宋"/>
          <w:color w:val="000000"/>
          <w:sz w:val="32"/>
          <w:u w:color="auto"/>
        </w:rPr>
        <w:t>辆，其中：轿车0辆、旅行车（含商务车）0辆、越野车</w:t>
      </w:r>
      <w:r>
        <w:rPr>
          <w:rFonts w:hint="eastAsia" w:ascii="仿宋" w:hAnsi="仿宋" w:cs="仿宋"/>
          <w:color w:val="000000"/>
          <w:sz w:val="32"/>
          <w:u w:color="auto"/>
          <w:lang w:val="en-US" w:eastAsia="zh-CN"/>
        </w:rPr>
        <w:t>1</w:t>
      </w:r>
      <w:r>
        <w:rPr>
          <w:rFonts w:ascii="仿宋" w:hAnsi="仿宋" w:eastAsia="仿宋" w:cs="仿宋"/>
          <w:color w:val="000000"/>
          <w:sz w:val="32"/>
          <w:u w:color="auto"/>
        </w:rPr>
        <w:t>辆、大型客、货车0辆。</w:t>
      </w:r>
    </w:p>
    <w:p w14:paraId="1BF48EB2">
      <w:pPr>
        <w:bidi w:val="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2026</w:t>
      </w:r>
      <w:r>
        <w:rPr>
          <w:rFonts w:ascii="仿宋" w:hAnsi="仿宋" w:eastAsia="仿宋" w:cs="仿宋"/>
          <w:color w:val="000000"/>
          <w:sz w:val="32"/>
          <w:u w:color="auto"/>
        </w:rPr>
        <w:t>年安排公务用车购置费0</w:t>
      </w:r>
      <w:r>
        <w:rPr>
          <w:rFonts w:hint="eastAsia" w:ascii="仿宋" w:hAnsi="仿宋" w:cs="仿宋"/>
          <w:color w:val="000000"/>
          <w:sz w:val="32"/>
          <w:u w:color="auto"/>
          <w:lang w:val="en-US" w:eastAsia="zh-CN"/>
        </w:rPr>
        <w:t>万</w:t>
      </w:r>
      <w:r>
        <w:rPr>
          <w:rFonts w:hint="eastAsia" w:ascii="仿宋" w:hAnsi="仿宋" w:eastAsia="仿宋" w:cs="仿宋"/>
          <w:color w:val="000000" w:themeColor="text1"/>
          <w:sz w:val="32"/>
          <w:szCs w:val="32"/>
          <w:lang w:eastAsia="zh-CN"/>
          <w14:textFill>
            <w14:solidFill>
              <w14:schemeClr w14:val="tx1"/>
            </w14:solidFill>
          </w14:textFill>
        </w:rPr>
        <w:t>元，</w:t>
      </w:r>
      <w:r>
        <w:rPr>
          <w:rFonts w:hint="eastAsia" w:ascii="仿宋" w:hAnsi="仿宋" w:eastAsia="仿宋" w:cs="仿宋"/>
          <w:color w:val="000000" w:themeColor="text1"/>
          <w:sz w:val="32"/>
          <w:szCs w:val="32"/>
          <w14:textFill>
            <w14:solidFill>
              <w14:schemeClr w14:val="tx1"/>
            </w14:solidFill>
          </w14:textFill>
        </w:rPr>
        <w:t>拟购置公务用车0</w:t>
      </w:r>
      <w:r>
        <w:rPr>
          <w:rFonts w:ascii="仿宋" w:hAnsi="仿宋" w:eastAsia="仿宋" w:cs="仿宋"/>
          <w:color w:val="000000"/>
          <w:sz w:val="32"/>
          <w:u w:color="auto"/>
        </w:rPr>
        <w:t>辆，其中：轿车0辆、旅行车（含商务车）0辆、越野车0辆、大型客、货车0辆。</w:t>
      </w:r>
    </w:p>
    <w:p w14:paraId="05DA07A5">
      <w:pPr>
        <w:bidi w:val="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2026</w:t>
      </w:r>
      <w:r>
        <w:rPr>
          <w:rFonts w:ascii="仿宋" w:hAnsi="仿宋" w:eastAsia="仿宋" w:cs="仿宋"/>
          <w:color w:val="000000"/>
          <w:sz w:val="32"/>
          <w:u w:color="auto"/>
        </w:rPr>
        <w:t>年安排公务用车运行维护费5</w:t>
      </w:r>
      <w:r>
        <w:rPr>
          <w:rFonts w:hint="eastAsia" w:ascii="仿宋" w:hAnsi="仿宋" w:cs="仿宋"/>
          <w:color w:val="000000"/>
          <w:sz w:val="32"/>
          <w:u w:color="auto"/>
          <w:lang w:val="en-US" w:eastAsia="zh-CN"/>
        </w:rPr>
        <w:t>.</w:t>
      </w:r>
      <w:r>
        <w:rPr>
          <w:rFonts w:ascii="仿宋" w:hAnsi="仿宋" w:eastAsia="仿宋" w:cs="仿宋"/>
          <w:color w:val="000000"/>
          <w:sz w:val="32"/>
          <w:u w:color="auto"/>
        </w:rPr>
        <w:t>00</w:t>
      </w:r>
      <w:r>
        <w:rPr>
          <w:rFonts w:hint="eastAsia" w:ascii="仿宋" w:hAnsi="仿宋" w:cs="仿宋"/>
          <w:color w:val="000000"/>
          <w:sz w:val="32"/>
          <w:u w:color="auto"/>
          <w:lang w:val="en-US" w:eastAsia="zh-CN"/>
        </w:rPr>
        <w:t>万</w:t>
      </w:r>
      <w:r>
        <w:rPr>
          <w:rFonts w:hint="eastAsia" w:ascii="仿宋" w:hAnsi="仿宋" w:eastAsia="仿宋" w:cs="仿宋"/>
          <w:color w:val="000000" w:themeColor="text1"/>
          <w:sz w:val="32"/>
          <w:szCs w:val="32"/>
          <w:lang w:eastAsia="zh-CN"/>
          <w14:textFill>
            <w14:solidFill>
              <w14:schemeClr w14:val="tx1"/>
            </w14:solidFill>
          </w14:textFill>
        </w:rPr>
        <w:t>元，</w:t>
      </w:r>
      <w:r>
        <w:rPr>
          <w:rFonts w:hint="eastAsia" w:ascii="仿宋" w:hAnsi="仿宋" w:eastAsia="仿宋" w:cs="仿宋"/>
          <w:color w:val="000000" w:themeColor="text1"/>
          <w:sz w:val="32"/>
          <w:szCs w:val="32"/>
          <w14:textFill>
            <w14:solidFill>
              <w14:schemeClr w14:val="tx1"/>
            </w14:solidFill>
          </w14:textFill>
        </w:rPr>
        <w:t>用于0</w:t>
      </w:r>
      <w:r>
        <w:rPr>
          <w:rFonts w:ascii="仿宋" w:hAnsi="仿宋" w:eastAsia="仿宋" w:cs="仿宋"/>
          <w:color w:val="000000"/>
          <w:sz w:val="32"/>
          <w:u w:color="auto"/>
        </w:rPr>
        <w:t>辆公务用车燃油、维修、过路过桥费、保险等方面支出。</w:t>
      </w:r>
    </w:p>
    <w:p w14:paraId="4A8412EB">
      <w:pPr>
        <w:pStyle w:val="2"/>
        <w:bidi w:val="0"/>
        <w:rPr>
          <w:rFonts w:hint="eastAsia"/>
        </w:rPr>
      </w:pPr>
      <w:bookmarkStart w:id="26" w:name="_Toc9917"/>
      <w:r>
        <w:rPr>
          <w:rFonts w:hint="eastAsia"/>
        </w:rPr>
        <w:t>六、政府性基金预算支出情况说明</w:t>
      </w:r>
      <w:bookmarkEnd w:id="26"/>
    </w:p>
    <w:p w14:paraId="7335A8AB">
      <w:pPr>
        <w:bidi w:val="0"/>
        <w:rPr>
          <w:rFonts w:hint="eastAsia" w:ascii="仿宋" w:hAnsi="仿宋" w:eastAsia="仿宋" w:cs="仿宋"/>
          <w:sz w:val="32"/>
          <w:szCs w:val="32"/>
        </w:rPr>
      </w:pPr>
      <w:r>
        <w:rPr>
          <w:rFonts w:hint="eastAsia" w:ascii="仿宋" w:hAnsi="仿宋" w:cs="仿宋"/>
          <w:sz w:val="32"/>
          <w:szCs w:val="32"/>
          <w:lang w:eastAsia="zh-CN"/>
        </w:rPr>
        <w:t>党校</w:t>
      </w:r>
      <w:r>
        <w:rPr>
          <w:rFonts w:hint="eastAsia" w:ascii="仿宋" w:hAnsi="仿宋" w:eastAsia="仿宋" w:cs="仿宋"/>
          <w:sz w:val="32"/>
          <w:szCs w:val="32"/>
        </w:rPr>
        <w:t>2026年没有使用政府性基金预算拨款安排的支出。</w:t>
      </w:r>
    </w:p>
    <w:p w14:paraId="755AFDE6">
      <w:pPr>
        <w:pStyle w:val="2"/>
        <w:bidi w:val="0"/>
        <w:rPr>
          <w:rFonts w:hint="eastAsia"/>
        </w:rPr>
      </w:pPr>
      <w:bookmarkStart w:id="27" w:name="_Toc9914"/>
      <w:r>
        <w:rPr>
          <w:rFonts w:hint="eastAsia"/>
        </w:rPr>
        <w:t>七、国有资本经营预算情况说明</w:t>
      </w:r>
      <w:bookmarkEnd w:id="27"/>
    </w:p>
    <w:p w14:paraId="75032210">
      <w:pPr>
        <w:bidi w:val="0"/>
        <w:rPr>
          <w:rFonts w:hint="eastAsia" w:ascii="仿宋" w:hAnsi="仿宋" w:eastAsia="仿宋" w:cs="仿宋"/>
          <w:sz w:val="32"/>
          <w:szCs w:val="32"/>
        </w:rPr>
      </w:pPr>
      <w:r>
        <w:rPr>
          <w:rFonts w:hint="eastAsia" w:ascii="仿宋" w:hAnsi="仿宋" w:cs="仿宋"/>
          <w:sz w:val="32"/>
          <w:szCs w:val="32"/>
          <w:lang w:eastAsia="zh-CN"/>
        </w:rPr>
        <w:t>党校</w:t>
      </w:r>
      <w:r>
        <w:rPr>
          <w:rFonts w:hint="eastAsia" w:ascii="仿宋" w:hAnsi="仿宋" w:eastAsia="仿宋" w:cs="仿宋"/>
          <w:sz w:val="32"/>
          <w:szCs w:val="32"/>
        </w:rPr>
        <w:t>2026年没有使用国有资本经营预算拨款安排的支出。</w:t>
      </w:r>
    </w:p>
    <w:p w14:paraId="18CBBBF4">
      <w:pPr>
        <w:pStyle w:val="2"/>
        <w:bidi w:val="0"/>
        <w:rPr>
          <w:rFonts w:hint="eastAsia"/>
        </w:rPr>
      </w:pPr>
      <w:bookmarkStart w:id="28" w:name="_Toc28004"/>
      <w:r>
        <w:rPr>
          <w:rFonts w:hint="eastAsia"/>
        </w:rPr>
        <w:t>八、其他重要事项的情况说明</w:t>
      </w:r>
      <w:bookmarkEnd w:id="28"/>
    </w:p>
    <w:p w14:paraId="3E9B3DDC">
      <w:pPr>
        <w:pStyle w:val="3"/>
        <w:bidi w:val="0"/>
        <w:rPr>
          <w:rFonts w:hint="eastAsia" w:ascii="楷体" w:hAnsi="楷体" w:eastAsia="楷体" w:cs="楷体"/>
          <w:b/>
          <w:bCs/>
          <w:sz w:val="32"/>
          <w:szCs w:val="32"/>
        </w:rPr>
      </w:pPr>
      <w:bookmarkStart w:id="29" w:name="_Toc25143"/>
      <w:r>
        <w:rPr>
          <w:rFonts w:hint="eastAsia" w:ascii="楷体" w:hAnsi="楷体" w:eastAsia="楷体" w:cs="楷体"/>
          <w:b/>
          <w:bCs/>
          <w:sz w:val="32"/>
          <w:szCs w:val="32"/>
        </w:rPr>
        <w:t>（一）机关运行经费情况</w:t>
      </w:r>
      <w:bookmarkEnd w:id="29"/>
    </w:p>
    <w:p w14:paraId="21660EF4">
      <w:pPr>
        <w:bidi w:val="0"/>
        <w:rPr>
          <w:rFonts w:hint="eastAsia" w:ascii="仿宋" w:hAnsi="仿宋" w:eastAsia="仿宋" w:cs="仿宋"/>
          <w:sz w:val="32"/>
          <w:szCs w:val="32"/>
        </w:rPr>
      </w:pPr>
      <w:r>
        <w:rPr>
          <w:rFonts w:hint="eastAsia" w:ascii="仿宋" w:hAnsi="仿宋" w:cs="仿宋"/>
          <w:sz w:val="32"/>
          <w:szCs w:val="32"/>
          <w:lang w:eastAsia="zh-CN"/>
        </w:rPr>
        <w:t>党校</w:t>
      </w:r>
      <w:r>
        <w:rPr>
          <w:rFonts w:hint="eastAsia" w:ascii="仿宋" w:hAnsi="仿宋" w:eastAsia="仿宋" w:cs="仿宋"/>
          <w:sz w:val="32"/>
          <w:szCs w:val="32"/>
        </w:rPr>
        <w:t>为事业单位，按规定未使用机关运行的相关科目。</w:t>
      </w:r>
    </w:p>
    <w:p w14:paraId="4C28879F">
      <w:pPr>
        <w:pStyle w:val="3"/>
        <w:bidi w:val="0"/>
        <w:rPr>
          <w:rFonts w:hint="eastAsia" w:ascii="楷体" w:hAnsi="楷体" w:eastAsia="楷体" w:cs="楷体"/>
          <w:b/>
          <w:bCs/>
          <w:sz w:val="32"/>
          <w:szCs w:val="32"/>
        </w:rPr>
      </w:pPr>
      <w:bookmarkStart w:id="30" w:name="_Toc4920"/>
      <w:r>
        <w:rPr>
          <w:rFonts w:hint="eastAsia" w:ascii="楷体" w:hAnsi="楷体" w:eastAsia="楷体" w:cs="楷体"/>
          <w:b/>
          <w:bCs/>
          <w:sz w:val="32"/>
          <w:szCs w:val="32"/>
        </w:rPr>
        <w:t>（二）政府采购情况</w:t>
      </w:r>
      <w:bookmarkEnd w:id="30"/>
    </w:p>
    <w:p w14:paraId="66E912DB">
      <w:pPr>
        <w:bidi w:val="0"/>
        <w:rPr>
          <w:rFonts w:hint="eastAsia" w:ascii="仿宋" w:hAnsi="仿宋" w:eastAsia="仿宋" w:cs="仿宋"/>
          <w:sz w:val="32"/>
          <w:szCs w:val="32"/>
        </w:rPr>
      </w:pPr>
      <w:r>
        <w:rPr>
          <w:rFonts w:hint="eastAsia" w:ascii="仿宋" w:hAnsi="仿宋" w:eastAsia="仿宋" w:cs="仿宋"/>
          <w:sz w:val="32"/>
          <w:szCs w:val="32"/>
        </w:rPr>
        <w:t>2026年无政府采购项目，未安排政府采购预算。</w:t>
      </w:r>
    </w:p>
    <w:p w14:paraId="49F770E0">
      <w:pPr>
        <w:pStyle w:val="3"/>
        <w:bidi w:val="0"/>
        <w:rPr>
          <w:rFonts w:hint="eastAsia" w:ascii="楷体" w:hAnsi="楷体" w:eastAsia="楷体" w:cs="楷体"/>
          <w:b/>
          <w:bCs/>
          <w:sz w:val="32"/>
          <w:szCs w:val="32"/>
        </w:rPr>
      </w:pPr>
      <w:bookmarkStart w:id="31" w:name="_Toc20466"/>
      <w:r>
        <w:rPr>
          <w:rFonts w:hint="eastAsia" w:ascii="楷体" w:hAnsi="楷体" w:eastAsia="楷体" w:cs="楷体"/>
          <w:b/>
          <w:bCs/>
          <w:sz w:val="32"/>
          <w:szCs w:val="32"/>
        </w:rPr>
        <w:t>（</w:t>
      </w:r>
      <w:r>
        <w:rPr>
          <w:rFonts w:hint="eastAsia" w:ascii="楷体" w:hAnsi="楷体" w:eastAsia="楷体" w:cs="楷体"/>
          <w:b/>
          <w:bCs/>
          <w:sz w:val="32"/>
          <w:szCs w:val="32"/>
          <w:lang w:val="en-US" w:eastAsia="zh-CN"/>
        </w:rPr>
        <w:t>三</w:t>
      </w:r>
      <w:r>
        <w:rPr>
          <w:rFonts w:hint="eastAsia" w:ascii="楷体" w:hAnsi="楷体" w:eastAsia="楷体" w:cs="楷体"/>
          <w:b/>
          <w:bCs/>
          <w:sz w:val="32"/>
          <w:szCs w:val="32"/>
        </w:rPr>
        <w:t>）国有资产占有使用情况</w:t>
      </w:r>
      <w:bookmarkEnd w:id="31"/>
    </w:p>
    <w:p w14:paraId="38F14A14">
      <w:pPr>
        <w:bidi w:val="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截至</w:t>
      </w:r>
      <w:r>
        <w:rPr>
          <w:rFonts w:ascii="仿宋" w:hAnsi="仿宋" w:eastAsia="仿宋" w:cs="仿宋"/>
          <w:color w:val="000000"/>
          <w:sz w:val="32"/>
          <w:u w:color="auto"/>
        </w:rPr>
        <w:t>2025年底，</w:t>
      </w:r>
      <w:r>
        <w:rPr>
          <w:rFonts w:hint="eastAsia" w:ascii="仿宋" w:hAnsi="仿宋" w:cs="仿宋"/>
          <w:color w:val="000000"/>
          <w:sz w:val="32"/>
          <w:u w:color="auto"/>
          <w:lang w:eastAsia="zh-CN"/>
        </w:rPr>
        <w:t>党校</w:t>
      </w:r>
      <w:r>
        <w:rPr>
          <w:rFonts w:ascii="仿宋" w:hAnsi="仿宋" w:eastAsia="仿宋" w:cs="仿宋"/>
          <w:color w:val="000000"/>
          <w:sz w:val="32"/>
          <w:u w:color="auto"/>
        </w:rPr>
        <w:t>所属各预算单位共有车辆</w:t>
      </w:r>
      <w:r>
        <w:rPr>
          <w:rFonts w:hint="eastAsia" w:ascii="仿宋" w:hAnsi="仿宋" w:cs="仿宋"/>
          <w:color w:val="000000"/>
          <w:sz w:val="32"/>
          <w:u w:color="auto"/>
          <w:lang w:val="en-US" w:eastAsia="zh-CN"/>
        </w:rPr>
        <w:t>1</w:t>
      </w:r>
      <w:r>
        <w:rPr>
          <w:rFonts w:ascii="仿宋" w:hAnsi="仿宋" w:eastAsia="仿宋" w:cs="仿宋"/>
          <w:color w:val="000000"/>
          <w:sz w:val="32"/>
          <w:u w:color="auto"/>
        </w:rPr>
        <w:t>辆，其中省部级领导干部用车0辆、定向保障用车0辆、执法执勤用车0辆。单位价值200</w:t>
      </w:r>
      <w:r>
        <w:rPr>
          <w:rFonts w:hint="eastAsia" w:ascii="仿宋" w:hAnsi="仿宋" w:cs="仿宋"/>
          <w:color w:val="000000"/>
          <w:sz w:val="32"/>
          <w:u w:color="auto"/>
          <w:lang w:val="en-US" w:eastAsia="zh-CN"/>
        </w:rPr>
        <w:t>万</w:t>
      </w:r>
      <w:r>
        <w:rPr>
          <w:rFonts w:hint="eastAsia" w:ascii="仿宋" w:hAnsi="仿宋" w:eastAsia="仿宋" w:cs="仿宋"/>
          <w:color w:val="000000" w:themeColor="text1"/>
          <w:sz w:val="32"/>
          <w:szCs w:val="32"/>
          <w:lang w:eastAsia="zh-CN"/>
          <w14:textFill>
            <w14:solidFill>
              <w14:schemeClr w14:val="tx1"/>
            </w14:solidFill>
          </w14:textFill>
        </w:rPr>
        <w:t>元以</w:t>
      </w:r>
      <w:r>
        <w:rPr>
          <w:rFonts w:hint="eastAsia" w:ascii="仿宋" w:hAnsi="仿宋" w:eastAsia="仿宋" w:cs="仿宋"/>
          <w:color w:val="000000" w:themeColor="text1"/>
          <w:sz w:val="32"/>
          <w:szCs w:val="32"/>
          <w14:textFill>
            <w14:solidFill>
              <w14:schemeClr w14:val="tx1"/>
            </w14:solidFill>
          </w14:textFill>
        </w:rPr>
        <w:t>上大型设备0</w:t>
      </w:r>
      <w:r>
        <w:rPr>
          <w:rFonts w:ascii="仿宋" w:hAnsi="仿宋" w:eastAsia="仿宋" w:cs="仿宋"/>
          <w:color w:val="000000"/>
          <w:sz w:val="32"/>
          <w:u w:color="auto"/>
        </w:rPr>
        <w:t>台（套）。</w:t>
      </w:r>
    </w:p>
    <w:p w14:paraId="7BC5EBF0">
      <w:pPr>
        <w:bidi w:val="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2026年单位预算未安排购置车辆及单位价值200</w:t>
      </w:r>
      <w:r>
        <w:rPr>
          <w:rFonts w:hint="eastAsia" w:ascii="仿宋" w:hAnsi="仿宋" w:cs="仿宋"/>
          <w:color w:val="000000" w:themeColor="text1"/>
          <w:sz w:val="32"/>
          <w:szCs w:val="32"/>
          <w:lang w:val="en-US" w:eastAsia="zh-CN"/>
          <w14:textFill>
            <w14:solidFill>
              <w14:schemeClr w14:val="tx1"/>
            </w14:solidFill>
          </w14:textFill>
        </w:rPr>
        <w:t>万</w:t>
      </w:r>
      <w:r>
        <w:rPr>
          <w:rFonts w:hint="eastAsia" w:ascii="仿宋" w:hAnsi="仿宋" w:eastAsia="仿宋" w:cs="仿宋"/>
          <w:color w:val="000000" w:themeColor="text1"/>
          <w:sz w:val="32"/>
          <w:szCs w:val="32"/>
          <w14:textFill>
            <w14:solidFill>
              <w14:schemeClr w14:val="tx1"/>
            </w14:solidFill>
          </w14:textFill>
        </w:rPr>
        <w:t>元以上大型设备。</w:t>
      </w:r>
    </w:p>
    <w:p w14:paraId="596F3201">
      <w:pPr>
        <w:pStyle w:val="3"/>
        <w:bidi w:val="0"/>
        <w:rPr>
          <w:rFonts w:hint="eastAsia" w:ascii="楷体" w:hAnsi="楷体" w:eastAsia="楷体" w:cs="楷体"/>
          <w:b/>
          <w:bCs/>
          <w:sz w:val="32"/>
          <w:szCs w:val="32"/>
          <w:lang w:val="en-US" w:eastAsia="zh-CN"/>
        </w:rPr>
      </w:pPr>
      <w:bookmarkStart w:id="32" w:name="_Toc13588"/>
      <w:r>
        <w:rPr>
          <w:rFonts w:hint="eastAsia" w:ascii="楷体" w:hAnsi="楷体" w:eastAsia="楷体" w:cs="楷体"/>
          <w:b/>
          <w:bCs/>
          <w:sz w:val="32"/>
          <w:szCs w:val="32"/>
          <w:lang w:val="en-US" w:eastAsia="zh-CN"/>
        </w:rPr>
        <w:t>（四）</w:t>
      </w:r>
      <w:bookmarkEnd w:id="32"/>
      <w:r>
        <w:rPr>
          <w:rFonts w:hint="eastAsia" w:ascii="楷体" w:hAnsi="楷体" w:eastAsia="楷体" w:cs="楷体"/>
          <w:b/>
          <w:bCs/>
          <w:sz w:val="32"/>
          <w:szCs w:val="32"/>
          <w:lang w:val="en-US" w:eastAsia="zh-CN"/>
        </w:rPr>
        <w:t>预算绩效情况</w:t>
      </w:r>
    </w:p>
    <w:p w14:paraId="1B9BE98D">
      <w:pPr>
        <w:bidi w:val="0"/>
        <w:rPr>
          <w:rFonts w:hint="eastAsia" w:ascii="仿宋" w:hAnsi="仿宋" w:eastAsia="仿宋" w:cs="仿宋"/>
          <w:sz w:val="32"/>
          <w:szCs w:val="32"/>
        </w:rPr>
      </w:pPr>
      <w:r>
        <w:rPr>
          <w:rFonts w:hint="eastAsia" w:ascii="仿宋" w:hAnsi="仿宋" w:eastAsia="仿宋" w:cs="仿宋"/>
          <w:sz w:val="32"/>
          <w:szCs w:val="32"/>
        </w:rPr>
        <w:t>2026</w:t>
      </w:r>
      <w:r>
        <w:rPr>
          <w:rFonts w:ascii="仿宋" w:hAnsi="仿宋" w:eastAsia="仿宋" w:cs="仿宋"/>
          <w:sz w:val="32"/>
          <w:u w:color="auto"/>
        </w:rPr>
        <w:t>年</w:t>
      </w:r>
      <w:r>
        <w:rPr>
          <w:rFonts w:hint="eastAsia" w:ascii="仿宋" w:hAnsi="仿宋" w:cs="仿宋"/>
          <w:sz w:val="32"/>
          <w:u w:color="auto"/>
          <w:lang w:eastAsia="zh-CN"/>
        </w:rPr>
        <w:t>党校</w:t>
      </w:r>
      <w:r>
        <w:rPr>
          <w:rFonts w:ascii="仿宋" w:hAnsi="仿宋" w:eastAsia="仿宋" w:cs="仿宋"/>
          <w:sz w:val="32"/>
          <w:u w:color="auto"/>
        </w:rPr>
        <w:t>开展绩效目标管理的项目33个，涉及预算</w:t>
      </w:r>
      <w:r>
        <w:rPr>
          <w:rFonts w:hint="eastAsia" w:ascii="仿宋" w:hAnsi="仿宋" w:cs="仿宋"/>
          <w:sz w:val="32"/>
          <w:u w:color="auto"/>
          <w:lang w:eastAsia="zh-CN"/>
        </w:rPr>
        <w:t>465.95万元</w:t>
      </w:r>
      <w:r>
        <w:rPr>
          <w:rFonts w:hint="eastAsia" w:ascii="仿宋" w:hAnsi="仿宋" w:eastAsia="仿宋" w:cs="仿宋"/>
          <w:sz w:val="32"/>
          <w:szCs w:val="32"/>
          <w:lang w:eastAsia="zh-CN"/>
        </w:rPr>
        <w:t>。</w:t>
      </w:r>
      <w:r>
        <w:rPr>
          <w:rFonts w:hint="eastAsia" w:ascii="仿宋" w:hAnsi="仿宋" w:eastAsia="仿宋" w:cs="仿宋"/>
          <w:sz w:val="32"/>
          <w:szCs w:val="32"/>
        </w:rPr>
        <w:t>其中：人</w:t>
      </w:r>
      <w:r>
        <w:rPr>
          <w:rFonts w:ascii="仿宋" w:hAnsi="仿宋" w:eastAsia="仿宋" w:cs="仿宋"/>
          <w:sz w:val="32"/>
          <w:u w:color="auto"/>
        </w:rPr>
        <w:t>员类项目18个，涉及预算</w:t>
      </w:r>
      <w:r>
        <w:rPr>
          <w:rFonts w:hint="eastAsia" w:ascii="仿宋" w:hAnsi="仿宋" w:cs="仿宋"/>
          <w:sz w:val="32"/>
          <w:u w:color="auto"/>
          <w:lang w:eastAsia="zh-CN"/>
        </w:rPr>
        <w:t>362.96万元</w:t>
      </w:r>
      <w:r>
        <w:rPr>
          <w:rFonts w:ascii="仿宋" w:hAnsi="仿宋" w:eastAsia="仿宋" w:cs="仿宋"/>
          <w:sz w:val="32"/>
          <w:u w:color="auto"/>
        </w:rPr>
        <w:t>；运转类项目6个，涉及预算</w:t>
      </w:r>
      <w:r>
        <w:rPr>
          <w:rFonts w:hint="eastAsia" w:ascii="仿宋" w:hAnsi="仿宋" w:cs="仿宋"/>
          <w:sz w:val="32"/>
          <w:u w:color="auto"/>
          <w:lang w:eastAsia="zh-CN"/>
        </w:rPr>
        <w:t>37.69万元</w:t>
      </w:r>
      <w:r>
        <w:rPr>
          <w:rFonts w:ascii="仿宋" w:hAnsi="仿宋" w:eastAsia="仿宋" w:cs="仿宋"/>
          <w:sz w:val="32"/>
          <w:u w:color="auto"/>
        </w:rPr>
        <w:t>；特定目标类项目9个，涉及预算</w:t>
      </w:r>
      <w:r>
        <w:rPr>
          <w:rFonts w:hint="eastAsia" w:ascii="仿宋" w:hAnsi="仿宋" w:cs="仿宋"/>
          <w:sz w:val="32"/>
          <w:u w:color="auto"/>
          <w:lang w:eastAsia="zh-CN"/>
        </w:rPr>
        <w:t>65.29万元</w:t>
      </w:r>
      <w:r>
        <w:rPr>
          <w:rFonts w:ascii="仿宋" w:hAnsi="仿宋" w:eastAsia="仿宋" w:cs="仿宋"/>
          <w:sz w:val="32"/>
          <w:u w:color="auto"/>
        </w:rPr>
        <w:t>。</w:t>
      </w:r>
    </w:p>
    <w:p w14:paraId="3450AC93">
      <w:pPr>
        <w:pStyle w:val="13"/>
        <w:pageBreakBefore w:val="0"/>
        <w:widowControl/>
        <w:kinsoku/>
        <w:wordWrap/>
        <w:overflowPunct/>
        <w:topLinePunct w:val="0"/>
        <w:autoSpaceDE/>
        <w:autoSpaceDN/>
        <w:bidi w:val="0"/>
        <w:snapToGrid/>
        <w:spacing w:before="0" w:beforeAutospacing="0" w:after="0" w:afterAutospacing="0" w:line="240" w:lineRule="auto"/>
        <w:ind w:left="0" w:leftChars="0" w:firstLine="0" w:firstLineChars="0"/>
        <w:jc w:val="both"/>
        <w:textAlignment w:val="auto"/>
        <w:rPr>
          <w:rFonts w:hint="eastAsia" w:ascii="思源黑体 CN Normal" w:hAnsi="思源黑体 CN Normal" w:eastAsia="思源黑体 CN Normal" w:cs="思源黑体 CN Normal"/>
          <w:sz w:val="52"/>
          <w:szCs w:val="52"/>
          <w:lang w:bidi="ar"/>
        </w:rPr>
      </w:pPr>
    </w:p>
    <w:p w14:paraId="0644FDDC">
      <w:pPr>
        <w:pStyle w:val="13"/>
        <w:pageBreakBefore w:val="0"/>
        <w:widowControl/>
        <w:kinsoku/>
        <w:wordWrap/>
        <w:overflowPunct/>
        <w:topLinePunct w:val="0"/>
        <w:autoSpaceDE/>
        <w:autoSpaceDN/>
        <w:bidi w:val="0"/>
        <w:snapToGrid/>
        <w:spacing w:before="0" w:beforeAutospacing="0" w:after="0" w:afterAutospacing="0" w:line="240" w:lineRule="auto"/>
        <w:ind w:left="0" w:leftChars="0" w:firstLine="0" w:firstLineChars="0"/>
        <w:jc w:val="both"/>
        <w:textAlignment w:val="auto"/>
        <w:rPr>
          <w:rFonts w:hint="eastAsia" w:ascii="思源黑体 CN Normal" w:hAnsi="思源黑体 CN Normal" w:eastAsia="思源黑体 CN Normal" w:cs="思源黑体 CN Normal"/>
          <w:sz w:val="52"/>
          <w:szCs w:val="52"/>
          <w:lang w:bidi="ar"/>
        </w:rPr>
      </w:pPr>
    </w:p>
    <w:p w14:paraId="67692640">
      <w:pPr>
        <w:pStyle w:val="13"/>
        <w:pageBreakBefore w:val="0"/>
        <w:widowControl/>
        <w:kinsoku/>
        <w:wordWrap/>
        <w:overflowPunct/>
        <w:topLinePunct w:val="0"/>
        <w:autoSpaceDE/>
        <w:autoSpaceDN/>
        <w:bidi w:val="0"/>
        <w:snapToGrid/>
        <w:spacing w:before="0" w:beforeAutospacing="0" w:after="0" w:afterAutospacing="0" w:line="240" w:lineRule="auto"/>
        <w:jc w:val="center"/>
        <w:textAlignment w:val="auto"/>
        <w:rPr>
          <w:rFonts w:hint="eastAsia" w:ascii="思源黑体 CN Normal" w:hAnsi="思源黑体 CN Normal" w:eastAsia="思源黑体 CN Normal" w:cs="思源黑体 CN Normal"/>
          <w:sz w:val="52"/>
          <w:szCs w:val="52"/>
          <w:lang w:bidi="ar"/>
        </w:rPr>
      </w:pPr>
    </w:p>
    <w:p w14:paraId="47CDDB6F">
      <w:pPr>
        <w:pStyle w:val="13"/>
        <w:pageBreakBefore w:val="0"/>
        <w:widowControl/>
        <w:kinsoku/>
        <w:wordWrap/>
        <w:overflowPunct/>
        <w:topLinePunct w:val="0"/>
        <w:autoSpaceDE/>
        <w:autoSpaceDN/>
        <w:bidi w:val="0"/>
        <w:snapToGrid/>
        <w:spacing w:before="0" w:beforeAutospacing="0" w:after="0" w:afterAutospacing="0" w:line="240" w:lineRule="auto"/>
        <w:jc w:val="center"/>
        <w:textAlignment w:val="auto"/>
        <w:rPr>
          <w:rFonts w:hint="eastAsia" w:ascii="思源黑体 CN Normal" w:hAnsi="思源黑体 CN Normal" w:eastAsia="思源黑体 CN Normal" w:cs="思源黑体 CN Normal"/>
          <w:sz w:val="52"/>
          <w:szCs w:val="52"/>
          <w:lang w:bidi="ar"/>
        </w:rPr>
      </w:pPr>
    </w:p>
    <w:p w14:paraId="74288894">
      <w:pPr>
        <w:pStyle w:val="13"/>
        <w:pageBreakBefore w:val="0"/>
        <w:widowControl/>
        <w:kinsoku/>
        <w:wordWrap/>
        <w:overflowPunct/>
        <w:topLinePunct w:val="0"/>
        <w:autoSpaceDE/>
        <w:autoSpaceDN/>
        <w:bidi w:val="0"/>
        <w:snapToGrid/>
        <w:spacing w:before="0" w:beforeAutospacing="0" w:after="0" w:afterAutospacing="0" w:line="240" w:lineRule="auto"/>
        <w:ind w:left="0" w:leftChars="0" w:firstLine="0" w:firstLineChars="0"/>
        <w:jc w:val="both"/>
        <w:textAlignment w:val="auto"/>
        <w:rPr>
          <w:rFonts w:hint="eastAsia" w:ascii="思源黑体 CN Normal" w:hAnsi="思源黑体 CN Normal" w:eastAsia="思源黑体 CN Normal" w:cs="思源黑体 CN Normal"/>
          <w:sz w:val="52"/>
          <w:szCs w:val="52"/>
          <w:lang w:bidi="ar"/>
        </w:rPr>
      </w:pPr>
    </w:p>
    <w:p w14:paraId="06ADB69A">
      <w:pPr>
        <w:pageBreakBefore w:val="0"/>
        <w:kinsoku/>
        <w:wordWrap/>
        <w:overflowPunct/>
        <w:topLinePunct w:val="0"/>
        <w:autoSpaceDE/>
        <w:autoSpaceDN/>
        <w:bidi w:val="0"/>
        <w:snapToGrid/>
        <w:spacing w:line="240" w:lineRule="auto"/>
        <w:ind w:left="0" w:leftChars="0" w:firstLine="0" w:firstLineChars="0"/>
        <w:jc w:val="center"/>
        <w:textAlignment w:val="auto"/>
        <w:outlineLvl w:val="0"/>
        <w:rPr>
          <w:rFonts w:hint="eastAsia" w:ascii="思源黑体 CN Normal" w:hAnsi="思源黑体 CN Normal" w:eastAsia="思源黑体 CN Normal" w:cs="思源黑体 CN Normal"/>
          <w:kern w:val="0"/>
          <w:sz w:val="52"/>
          <w:szCs w:val="52"/>
          <w:lang w:bidi="ar"/>
        </w:rPr>
      </w:pPr>
      <w:bookmarkStart w:id="33" w:name="_Toc32586"/>
      <w:r>
        <w:rPr>
          <w:rFonts w:hint="eastAsia" w:ascii="黑体" w:hAnsi="黑体" w:eastAsia="黑体" w:cs="黑体"/>
          <w:kern w:val="0"/>
          <w:sz w:val="52"/>
          <w:szCs w:val="52"/>
          <w:lang w:bidi="ar"/>
        </w:rPr>
        <w:t>第四部分  名词解释</w:t>
      </w:r>
      <w:bookmarkEnd w:id="33"/>
    </w:p>
    <w:p w14:paraId="2D2B857E">
      <w:pPr>
        <w:pageBreakBefore w:val="0"/>
        <w:kinsoku/>
        <w:wordWrap/>
        <w:overflowPunct/>
        <w:topLinePunct w:val="0"/>
        <w:autoSpaceDE/>
        <w:autoSpaceDN/>
        <w:bidi w:val="0"/>
        <w:snapToGrid/>
        <w:spacing w:line="240" w:lineRule="auto"/>
        <w:ind w:firstLine="560" w:firstLineChars="200"/>
        <w:textAlignment w:val="auto"/>
        <w:rPr>
          <w:rFonts w:hint="eastAsia" w:ascii="思源黑体 CN Normal" w:hAnsi="思源黑体 CN Normal" w:eastAsia="思源黑体 CN Normal" w:cs="思源黑体 CN Normal"/>
        </w:rPr>
        <w:sectPr>
          <w:footerReference r:id="rId11" w:type="default"/>
          <w:pgSz w:w="11906" w:h="16838"/>
          <w:pgMar w:top="1440" w:right="1800" w:bottom="1440" w:left="1800" w:header="720" w:footer="720" w:gutter="0"/>
          <w:pgNumType w:fmt="decimal"/>
          <w:cols w:space="720" w:num="1"/>
          <w:docGrid w:type="lines" w:linePitch="312" w:charSpace="0"/>
        </w:sectPr>
      </w:pPr>
    </w:p>
    <w:p w14:paraId="3D9D04C9">
      <w:pPr>
        <w:pStyle w:val="29"/>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1.一般公共预算拨款收入：指省级财政当年拨付的资金。 </w:t>
      </w:r>
    </w:p>
    <w:p w14:paraId="04822B71">
      <w:pPr>
        <w:pStyle w:val="29"/>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sz w:val="32"/>
          <w:szCs w:val="32"/>
        </w:rPr>
      </w:pPr>
      <w:r>
        <w:rPr>
          <w:rFonts w:hint="eastAsia" w:ascii="仿宋" w:hAnsi="仿宋" w:eastAsia="仿宋" w:cs="仿宋"/>
          <w:sz w:val="32"/>
          <w:szCs w:val="32"/>
        </w:rPr>
        <w:t>2.教育支出（类）进修及培训（款）干部教育（项）：反映各级党校、行政学院、社会主义学院、国家会计学院的支出。包括机构运转、招聘师资、举办各类培训班的支出等。</w:t>
      </w:r>
      <w:r>
        <w:rPr>
          <w:rFonts w:hint="eastAsia" w:ascii="仿宋" w:hAnsi="仿宋" w:eastAsia="仿宋" w:cs="仿宋"/>
          <w:sz w:val="32"/>
          <w:szCs w:val="32"/>
        </w:rPr>
        <w:cr/>
      </w:r>
      <w:r>
        <w:rPr>
          <w:rFonts w:hint="eastAsia" w:ascii="仿宋" w:hAnsi="仿宋" w:eastAsia="仿宋" w:cs="仿宋"/>
          <w:sz w:val="32"/>
          <w:szCs w:val="32"/>
        </w:rPr>
        <w:t xml:space="preserve">    3.社会保障和就业支出（类）行政事业单位养老支出（款）事业单位离退休（项）：反映事业单位开支的离退休经费。</w:t>
      </w:r>
      <w:r>
        <w:rPr>
          <w:rFonts w:hint="eastAsia" w:ascii="仿宋" w:hAnsi="仿宋" w:eastAsia="仿宋" w:cs="仿宋"/>
          <w:sz w:val="32"/>
          <w:szCs w:val="32"/>
        </w:rPr>
        <w:cr/>
      </w:r>
      <w:r>
        <w:rPr>
          <w:rFonts w:hint="eastAsia" w:ascii="仿宋" w:hAnsi="仿宋" w:eastAsia="仿宋" w:cs="仿宋"/>
          <w:sz w:val="32"/>
          <w:szCs w:val="32"/>
        </w:rPr>
        <w:t xml:space="preserve">    4.社会保障和就业支出（类）行政事业单位养老支出（款）机关事业单位基本养老保险缴费支出（项）：反映机关事业单位实施养老保险制度由单位缴纳的基本养老保险费支出。</w:t>
      </w:r>
      <w:r>
        <w:rPr>
          <w:rFonts w:hint="eastAsia" w:ascii="仿宋" w:hAnsi="仿宋" w:eastAsia="仿宋" w:cs="仿宋"/>
          <w:sz w:val="32"/>
          <w:szCs w:val="32"/>
        </w:rPr>
        <w:cr/>
      </w:r>
      <w:r>
        <w:rPr>
          <w:rFonts w:hint="eastAsia" w:ascii="仿宋" w:hAnsi="仿宋" w:eastAsia="仿宋" w:cs="仿宋"/>
          <w:sz w:val="32"/>
          <w:szCs w:val="32"/>
        </w:rPr>
        <w:t xml:space="preserve">    5.社会保障和就业支出（类）其他社会保障和就业支出（款）其他社会保障和就业支出（项）：反映除上述项以外其他用于社会保障和就业方面的支出。</w:t>
      </w:r>
      <w:r>
        <w:rPr>
          <w:rFonts w:hint="eastAsia" w:ascii="仿宋" w:hAnsi="仿宋" w:eastAsia="仿宋" w:cs="仿宋"/>
          <w:sz w:val="32"/>
          <w:szCs w:val="32"/>
        </w:rPr>
        <w:cr/>
      </w:r>
      <w:r>
        <w:rPr>
          <w:rFonts w:hint="eastAsia" w:ascii="仿宋" w:hAnsi="仿宋" w:eastAsia="仿宋" w:cs="仿宋"/>
          <w:sz w:val="32"/>
          <w:szCs w:val="32"/>
        </w:rPr>
        <w:t xml:space="preserve">    6.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 w:hAnsi="仿宋" w:eastAsia="仿宋" w:cs="仿宋"/>
          <w:sz w:val="32"/>
          <w:szCs w:val="32"/>
        </w:rPr>
        <w:cr/>
      </w:r>
      <w:r>
        <w:rPr>
          <w:rFonts w:hint="eastAsia" w:ascii="仿宋" w:hAnsi="仿宋" w:eastAsia="仿宋" w:cs="仿宋"/>
          <w:sz w:val="32"/>
          <w:szCs w:val="32"/>
        </w:rPr>
        <w:t xml:space="preserve">    7.卫生健康支出（类）行政事业单位医疗（款）事业单位医疗（项）：反映财政部门安排的事业单位基本医疗保险缴费经费，未参加医疗保险的事业单位的公费医疗经费，按国家规定享受离休人员待遇的医疗经费。</w:t>
      </w:r>
      <w:r>
        <w:rPr>
          <w:rFonts w:hint="eastAsia" w:ascii="仿宋" w:hAnsi="仿宋" w:eastAsia="仿宋" w:cs="仿宋"/>
          <w:sz w:val="32"/>
          <w:szCs w:val="32"/>
        </w:rPr>
        <w:cr/>
      </w:r>
      <w:r>
        <w:rPr>
          <w:rFonts w:hint="eastAsia" w:ascii="仿宋" w:hAnsi="仿宋" w:eastAsia="仿宋" w:cs="仿宋"/>
          <w:sz w:val="32"/>
          <w:szCs w:val="32"/>
        </w:rPr>
        <w:t xml:space="preserve">    8.卫生健康支出（类）行政事业单位医疗（款）公务员医疗补助（项）：反映财政部门安排的公务员医疗补助经费。</w:t>
      </w:r>
      <w:r>
        <w:rPr>
          <w:rFonts w:hint="eastAsia" w:ascii="仿宋" w:hAnsi="仿宋" w:eastAsia="仿宋" w:cs="仿宋"/>
          <w:sz w:val="32"/>
          <w:szCs w:val="32"/>
        </w:rPr>
        <w:cr/>
      </w:r>
      <w:r>
        <w:rPr>
          <w:rFonts w:hint="eastAsia" w:ascii="仿宋" w:hAnsi="仿宋" w:eastAsia="仿宋" w:cs="仿宋"/>
          <w:sz w:val="32"/>
          <w:szCs w:val="32"/>
        </w:rPr>
        <w:t xml:space="preserve">    9.住房保障支出（类）住房改革支出（款）住房公积金（项）：</w:t>
      </w:r>
      <w:r>
        <w:rPr>
          <w:rFonts w:ascii="仿宋" w:hAnsi="仿宋" w:eastAsia="仿宋" w:cs="仿宋"/>
          <w:sz w:val="32"/>
          <w:u w:color="auto"/>
        </w:rPr>
        <w:t xml:space="preserve"> </w:t>
      </w:r>
    </w:p>
    <w:p w14:paraId="532768CE">
      <w:pPr>
        <w:pStyle w:val="29"/>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sz w:val="32"/>
          <w:szCs w:val="32"/>
        </w:rPr>
      </w:pPr>
      <w:r>
        <w:rPr>
          <w:rFonts w:hint="eastAsia" w:ascii="仿宋" w:hAnsi="仿宋" w:eastAsia="仿宋" w:cs="仿宋"/>
          <w:sz w:val="32"/>
          <w:szCs w:val="32"/>
        </w:rPr>
        <w:t>10.基本支出：指为保证机构正常运转，完成日常工作任务而发生的人员支出和公用支出。</w:t>
      </w:r>
      <w:r>
        <w:rPr>
          <w:rFonts w:hint="eastAsia" w:ascii="仿宋" w:hAnsi="仿宋" w:eastAsia="仿宋" w:cs="仿宋"/>
          <w:sz w:val="32"/>
          <w:szCs w:val="32"/>
        </w:rPr>
        <w:cr/>
      </w:r>
      <w:r>
        <w:rPr>
          <w:rFonts w:hint="eastAsia" w:ascii="仿宋" w:hAnsi="仿宋" w:eastAsia="仿宋" w:cs="仿宋"/>
          <w:sz w:val="32"/>
          <w:szCs w:val="32"/>
        </w:rPr>
        <w:t>11.项目支出：指在基本支出之外为完成特定行政任务和事业发展目标所发生的支出。</w:t>
      </w:r>
      <w:r>
        <w:rPr>
          <w:rFonts w:hint="eastAsia" w:ascii="仿宋" w:hAnsi="仿宋" w:eastAsia="仿宋" w:cs="仿宋"/>
          <w:sz w:val="32"/>
          <w:szCs w:val="32"/>
        </w:rPr>
        <w:cr/>
      </w:r>
      <w:r>
        <w:rPr>
          <w:rFonts w:hint="eastAsia" w:ascii="仿宋" w:hAnsi="仿宋" w:eastAsia="仿宋" w:cs="仿宋"/>
          <w:sz w:val="32"/>
          <w:szCs w:val="32"/>
        </w:rPr>
        <w:t xml:space="preserve">    12.“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hint="eastAsia" w:ascii="仿宋" w:hAnsi="仿宋" w:eastAsia="仿宋" w:cs="仿宋"/>
          <w:sz w:val="32"/>
          <w:szCs w:val="32"/>
        </w:rPr>
        <w:cr/>
      </w:r>
      <w:r>
        <w:rPr>
          <w:rFonts w:hint="eastAsia" w:ascii="仿宋" w:hAnsi="仿宋" w:eastAsia="仿宋" w:cs="仿宋"/>
          <w:sz w:val="32"/>
          <w:szCs w:val="32"/>
        </w:rPr>
        <w:t xml:space="preserve">    13.机关运行经费：为保障行政单位（包含参照公务员法管理的事业单位）运行用于购买货物和服务的各项资金。包括办公及印刷费、邮电费、差旅费、会议费一般设备购置费等费用开支。</w:t>
      </w:r>
      <w:r>
        <w:rPr>
          <w:rFonts w:hint="eastAsia" w:ascii="仿宋" w:hAnsi="仿宋" w:eastAsia="仿宋" w:cs="仿宋"/>
          <w:sz w:val="32"/>
          <w:szCs w:val="32"/>
        </w:rPr>
        <w:cr/>
      </w:r>
      <w:r>
        <w:rPr>
          <w:rFonts w:hint="eastAsia" w:ascii="仿宋" w:hAnsi="仿宋" w:eastAsia="仿宋" w:cs="仿宋"/>
          <w:sz w:val="32"/>
          <w:szCs w:val="32"/>
        </w:rPr>
        <w:t xml:space="preserve">    </w:t>
      </w:r>
    </w:p>
    <w:sectPr>
      <w:footerReference r:id="rId12" w:type="default"/>
      <w:footerReference r:id="rId13" w:type="even"/>
      <w:pgSz w:w="11906" w:h="16838"/>
      <w:pgMar w:top="2098" w:right="1474" w:bottom="1985" w:left="1588" w:header="851" w:footer="992" w:gutter="0"/>
      <w:pgNumType w:fmt="decimal"/>
      <w:cols w:space="720"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CF94F55-F1D4-418C-9F46-2EAAEA1F992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embedRegular r:id="rId2" w:fontKey="{7A95A055-2738-4F69-A8BA-985FD25B40EF}"/>
  </w:font>
  <w:font w:name="仿宋_GB2312">
    <w:altName w:val="仿宋"/>
    <w:panose1 w:val="00000000000000000000"/>
    <w:charset w:val="86"/>
    <w:family w:val="modern"/>
    <w:pitch w:val="default"/>
    <w:sig w:usb0="00000000" w:usb1="00000000" w:usb2="00000010" w:usb3="00000000" w:csb0="00040000" w:csb1="00000000"/>
    <w:embedRegular r:id="rId3" w:fontKey="{2785E412-4307-49ED-A4F4-2EAD18282775}"/>
  </w:font>
  <w:font w:name="MiSans">
    <w:altName w:val="宋体"/>
    <w:panose1 w:val="00000500000000000000"/>
    <w:charset w:val="86"/>
    <w:family w:val="auto"/>
    <w:pitch w:val="default"/>
    <w:sig w:usb0="00000000" w:usb1="00000000"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4" w:fontKey="{191A3082-EA2F-4D18-8AE1-5450EB28F1BB}"/>
  </w:font>
  <w:font w:name="思源黑体 CN Normal">
    <w:altName w:val="黑体"/>
    <w:panose1 w:val="020B0400000000000000"/>
    <w:charset w:val="86"/>
    <w:family w:val="auto"/>
    <w:pitch w:val="default"/>
    <w:sig w:usb0="00000000" w:usb1="00000000" w:usb2="00000016" w:usb3="00000000" w:csb0="60060107" w:csb1="00000000"/>
    <w:embedRegular r:id="rId5" w:fontKey="{0C5FD35F-88F8-4C03-B00B-449276CD3D99}"/>
  </w:font>
  <w:font w:name="MiSans Normal">
    <w:panose1 w:val="00000500000000000000"/>
    <w:charset w:val="86"/>
    <w:family w:val="auto"/>
    <w:pitch w:val="default"/>
    <w:sig w:usb0="00000001" w:usb1="0A0F1810" w:usb2="00000016" w:usb3="00000000" w:csb0="00040001" w:csb1="00000000"/>
    <w:embedRegular r:id="rId6" w:fontKey="{13D88E16-C319-46D3-93D4-B05D6A96B02E}"/>
  </w:font>
  <w:font w:name="方正小标宋简体">
    <w:panose1 w:val="02000000000000000000"/>
    <w:charset w:val="86"/>
    <w:family w:val="auto"/>
    <w:pitch w:val="default"/>
    <w:sig w:usb0="00000001" w:usb1="08000000" w:usb2="00000000" w:usb3="00000000" w:csb0="00040000" w:csb1="00000000"/>
    <w:embedRegular r:id="rId7" w:fontKey="{B172D397-7805-4D75-ABB7-712DEE6665F3}"/>
  </w:font>
  <w:font w:name="WPSEMBED1">
    <w:panose1 w:val="00000500000000000000"/>
    <w:charset w:val="86"/>
    <w:family w:val="auto"/>
    <w:pitch w:val="default"/>
    <w:sig w:usb0="00000001" w:usb1="0A0F1810" w:usb2="00000016" w:usb3="00000000" w:csb0="00040001" w:csb1="00000000"/>
  </w:font>
  <w:font w:name="WPSEMBED2">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E4093">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E3FFA1">
                          <w:pPr>
                            <w:pStyle w:val="8"/>
                            <w:ind w:left="0" w:leftChars="0" w:firstLine="0" w:firstLineChars="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5E3FFA1">
                    <w:pPr>
                      <w:pStyle w:val="8"/>
                      <w:ind w:left="0" w:leftChars="0" w:firstLine="0" w:firstLineChars="0"/>
                    </w:pP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A57A85">
                          <w:pPr>
                            <w:pStyle w:val="8"/>
                            <w:ind w:left="0" w:leftChars="0" w:firstLine="0" w:firstLineChars="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7A57A85">
                    <w:pPr>
                      <w:pStyle w:val="8"/>
                      <w:ind w:left="0" w:leftChars="0" w:firstLine="0" w:firstLineChars="0"/>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25D0B">
    <w:pPr>
      <w:pStyle w:val="8"/>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A16567">
                          <w:pPr>
                            <w:pStyle w:val="8"/>
                            <w:ind w:left="0" w:leftChars="0" w:firstLine="0" w:firstLineChars="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0A16567">
                    <w:pPr>
                      <w:pStyle w:val="8"/>
                      <w:ind w:left="0" w:leftChars="0" w:firstLine="0" w:firstLineChars="0"/>
                    </w:pP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9A79D0">
                          <w:pPr>
                            <w:pStyle w:val="8"/>
                            <w:ind w:left="0" w:leftChars="0" w:firstLine="0" w:firstLineChars="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59A79D0">
                    <w:pPr>
                      <w:pStyle w:val="8"/>
                      <w:ind w:left="0" w:leftChars="0" w:firstLine="0" w:firstLineChars="0"/>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B2E15">
    <w:pPr>
      <w:pStyle w:val="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5EFDC4">
                          <w:pPr>
                            <w:pStyle w:val="8"/>
                          </w:pPr>
                          <w:r>
                            <w:t xml:space="preserve">— </w:t>
                          </w:r>
                          <w:r>
                            <w:fldChar w:fldCharType="begin"/>
                          </w:r>
                          <w:r>
                            <w:instrText xml:space="preserve"> PAGE  \* MERGEFORMAT </w:instrText>
                          </w:r>
                          <w:r>
                            <w:fldChar w:fldCharType="separate"/>
                          </w:r>
                          <w:r>
                            <w:t>- 1 -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115EFDC4">
                    <w:pPr>
                      <w:pStyle w:val="8"/>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CF7AD9">
                          <w:pPr>
                            <w:pStyle w:val="8"/>
                            <w:ind w:left="0" w:leftChars="0" w:firstLine="0" w:firstLineChars="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CCF7AD9">
                    <w:pPr>
                      <w:pStyle w:val="8"/>
                      <w:ind w:left="0" w:leftChars="0" w:firstLine="0" w:firstLineChars="0"/>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0433D">
    <w:pPr>
      <w:pStyle w:val="8"/>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AD4125">
                          <w:pPr>
                            <w:pStyle w:val="8"/>
                          </w:pPr>
                          <w:r>
                            <w:t xml:space="preserve">— </w:t>
                          </w:r>
                          <w:r>
                            <w:fldChar w:fldCharType="begin"/>
                          </w:r>
                          <w:r>
                            <w:instrText xml:space="preserve"> PAGE  \* MERGEFORMAT </w:instrText>
                          </w:r>
                          <w:r>
                            <w:fldChar w:fldCharType="separate"/>
                          </w:r>
                          <w:r>
                            <w:t>- 2 -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9AD4125">
                    <w:pPr>
                      <w:pStyle w:val="8"/>
                    </w:pPr>
                    <w:r>
                      <w:t xml:space="preserve">— </w:t>
                    </w:r>
                    <w:r>
                      <w:fldChar w:fldCharType="begin"/>
                    </w:r>
                    <w:r>
                      <w:instrText xml:space="preserve"> PAGE  \* MERGEFORMAT </w:instrText>
                    </w:r>
                    <w:r>
                      <w:fldChar w:fldCharType="separate"/>
                    </w:r>
                    <w:r>
                      <w:t>- 2 -</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45135" cy="230505"/>
              <wp:effectExtent l="0" t="0" r="0" b="0"/>
              <wp:wrapNone/>
              <wp:docPr id="378465335" name="文本框 1026"/>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wps:spPr>
                    <wps:txbx>
                      <w:txbxContent>
                        <w:p w14:paraId="548B77BB">
                          <w:pPr>
                            <w:pStyle w:val="8"/>
                            <w:ind w:left="0" w:leftChars="0" w:firstLine="0" w:firstLineChars="0"/>
                            <w:rPr>
                              <w:rFonts w:ascii="宋体" w:hAnsi="宋体" w:cs="宋体"/>
                              <w:sz w:val="28"/>
                              <w:szCs w:val="28"/>
                            </w:rPr>
                          </w:pPr>
                        </w:p>
                      </w:txbxContent>
                    </wps:txbx>
                    <wps:bodyPr rot="0" vert="horz" wrap="none" lIns="0" tIns="0" rIns="0" bIns="0" anchor="t" anchorCtr="0" upright="1">
                      <a:spAutoFit/>
                    </wps:bodyPr>
                  </wps:wsp>
                </a:graphicData>
              </a:graphic>
            </wp:anchor>
          </w:drawing>
        </mc:Choice>
        <mc:Fallback>
          <w:pict>
            <v:shape id="文本框 1026" o:spid="_x0000_s1026" o:spt="202" type="#_x0000_t202" style="position:absolute;left:0pt;margin-top:0pt;height:18.15pt;width:35.05pt;mso-position-horizontal:center;mso-position-horizontal-relative:margin;mso-wrap-style:none;z-index:251659264;mso-width-relative:page;mso-height-relative:page;" filled="f" stroked="f" coordsize="21600,21600" o:gfxdata="UEsDBAoAAAAAAIdO4kAAAAAAAAAAAAAAAAAEAAAAZHJzL1BLAwQUAAAACACHTuJAm84hJ9EAAAAD&#10;AQAADwAAAGRycy9kb3ducmV2LnhtbE2PwU7DMBBE70j8g7VI3KgdKrVViNNDJS7cKAiJ2zbexhH2&#10;OrLdNPl7DBe4rDSa0czbZj97JyaKaQisoVopEMRdMAP3Gt7fnh92IFJGNugCk4aFEuzb25sGaxOu&#10;/ErTMfeilHCqUYPNeaylTJ0lj2kVRuLinUP0mIuMvTQRr6XcO/mo1EZ6HLgsWBzpYKn7Ol68hu38&#10;EWhMdKDP89RFOyw797JofX9XqScQmeb8F4Yf/IIObWE6hQubJJyG8kj+vcXbqgrEScN6swbZNvI/&#10;e/sNUEsDBBQAAAAIAIdO4kAf7+QYEgIAAA0EAAAOAAAAZHJzL2Uyb0RvYy54bWytU8uO0zAU3SPx&#10;D5b3NOmTUdR0NExVhDQ8pIEPcB2nsUh8rWu3SfkA+ANWbNjzXf0Orp2mDMNmFmyiG9v33HOOj5fX&#10;XVOzg0KnweR8PEo5U0ZCoc0u558+bl5ccea8MIWowaicH5Xj16vnz5atzdQEKqgLhYxAjMtam/PK&#10;e5sliZOVaoQbgVWGNkvARnj6xV1SoGgJvamTSZoukhawsAhSOUer636TnxHxKYBQllqqNch9o4zv&#10;UVHVwpMkV2nr+CqyLUsl/fuydMqzOuek1McvDaF6G77JaimyHQpbaXmmIJ5C4ZGmRmhDQy9Qa+EF&#10;26P+B6rREsFB6UcSmqQXEh0hFeP0kTf3lbAqaiGrnb2Y7v4frHx3+IBMFzmfvryaLebT6ZwzIxq6&#10;+NP3b6cfv04/v7JxOlkEp1rrMmq4t9Tiu1fQUX6iamfvQH52zMBtJcxO3SBCWylRENNx6EwetPY4&#10;LoBs27dQ0Cix9xCBuhKbYCMZwwidbul4uSXVeSZpcTabjwNLSVuTaTpP53GCyIZmi86/VtCwUOQc&#10;KQQRXBzunA9kRDYcCbMMbHRdxyDU5q8FOhhWIvnAt2fuu213NmMLxZFkIPS5oldFRQX4hbOWMpVz&#10;Q0+Is/qNISNC/IYCh2I7FMJIasy556wvb30f071FvasId7D6hsza6CgkuNpzOLOklER950SHGD78&#10;j6f+vOLV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vOISfRAAAAAwEAAA8AAAAAAAAAAQAgAAAA&#10;IgAAAGRycy9kb3ducmV2LnhtbFBLAQIUABQAAAAIAIdO4kAf7+QYEgIAAA0EAAAOAAAAAAAAAAEA&#10;IAAAACABAABkcnMvZTJvRG9jLnhtbFBLBQYAAAAABgAGAFkBAACkBQAAAAA=&#10;">
              <v:fill on="f" focussize="0,0"/>
              <v:stroke on="f"/>
              <v:imagedata o:title=""/>
              <o:lock v:ext="edit" aspectratio="f"/>
              <v:textbox inset="0mm,0mm,0mm,0mm" style="mso-fit-shape-to-text:t;">
                <w:txbxContent>
                  <w:p w14:paraId="548B77BB">
                    <w:pPr>
                      <w:pStyle w:val="8"/>
                      <w:ind w:left="0" w:leftChars="0" w:firstLine="0" w:firstLineChars="0"/>
                      <w:rPr>
                        <w:rFonts w:ascii="宋体" w:hAnsi="宋体" w:cs="宋体"/>
                        <w:sz w:val="28"/>
                        <w:szCs w:val="28"/>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58BB5">
    <w:pPr>
      <w:pStyle w:val="8"/>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4E41B1">
                          <w:pPr>
                            <w:pStyle w:val="8"/>
                          </w:pPr>
                          <w:r>
                            <w:t xml:space="preserve">— </w:t>
                          </w:r>
                          <w:r>
                            <w:fldChar w:fldCharType="begin"/>
                          </w:r>
                          <w:r>
                            <w:instrText xml:space="preserve"> PAGE  \* MERGEFORMAT </w:instrText>
                          </w:r>
                          <w:r>
                            <w:fldChar w:fldCharType="separate"/>
                          </w:r>
                          <w:r>
                            <w:t>- 3 -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2E4E41B1">
                    <w:pPr>
                      <w:pStyle w:val="8"/>
                    </w:pPr>
                    <w:r>
                      <w:t xml:space="preserve">— </w:t>
                    </w:r>
                    <w:r>
                      <w:fldChar w:fldCharType="begin"/>
                    </w:r>
                    <w:r>
                      <w:instrText xml:space="preserve"> PAGE  \* MERGEFORMAT </w:instrText>
                    </w:r>
                    <w:r>
                      <w:fldChar w:fldCharType="separate"/>
                    </w:r>
                    <w:r>
                      <w:t>- 3 -</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DC08B">
    <w:pPr>
      <w:pStyle w:val="8"/>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200AD5">
                          <w:pPr>
                            <w:pStyle w:val="8"/>
                          </w:pPr>
                          <w:r>
                            <w:t xml:space="preserve">— </w:t>
                          </w:r>
                          <w:r>
                            <w:fldChar w:fldCharType="begin"/>
                          </w:r>
                          <w:r>
                            <w:instrText xml:space="preserve"> PAGE  \* MERGEFORMAT </w:instrText>
                          </w:r>
                          <w:r>
                            <w:fldChar w:fldCharType="separate"/>
                          </w:r>
                          <w:r>
                            <w:t>- 4 -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7200AD5">
                    <w:pPr>
                      <w:pStyle w:val="8"/>
                    </w:pPr>
                    <w:r>
                      <w:t xml:space="preserve">— </w:t>
                    </w:r>
                    <w:r>
                      <w:fldChar w:fldCharType="begin"/>
                    </w:r>
                    <w:r>
                      <w:instrText xml:space="preserve"> PAGE  \* MERGEFORMAT </w:instrText>
                    </w:r>
                    <w:r>
                      <w:fldChar w:fldCharType="separate"/>
                    </w:r>
                    <w:r>
                      <w:t>- 4 -</w:t>
                    </w:r>
                    <w:r>
                      <w:fldChar w:fldCharType="end"/>
                    </w:r>
                    <w: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43D0C">
    <w:pPr>
      <w:pStyle w:val="8"/>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12BDAF">
                          <w:pPr>
                            <w:pStyle w:val="8"/>
                          </w:pPr>
                          <w:r>
                            <w:t xml:space="preserve">— </w:t>
                          </w:r>
                          <w:r>
                            <w:fldChar w:fldCharType="begin"/>
                          </w:r>
                          <w:r>
                            <w:instrText xml:space="preserve"> PAGE  \* MERGEFORMAT </w:instrText>
                          </w:r>
                          <w:r>
                            <w:fldChar w:fldCharType="separate"/>
                          </w:r>
                          <w:r>
                            <w:t>- 6 -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7712BDAF">
                    <w:pPr>
                      <w:pStyle w:val="8"/>
                    </w:pPr>
                    <w:r>
                      <w:t xml:space="preserve">— </w:t>
                    </w:r>
                    <w:r>
                      <w:fldChar w:fldCharType="begin"/>
                    </w:r>
                    <w:r>
                      <w:instrText xml:space="preserve"> PAGE  \* MERGEFORMAT </w:instrText>
                    </w:r>
                    <w:r>
                      <w:fldChar w:fldCharType="separate"/>
                    </w:r>
                    <w:r>
                      <w:t>- 6 -</w:t>
                    </w:r>
                    <w:r>
                      <w:fldChar w:fldCharType="end"/>
                    </w:r>
                    <w: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F53B1">
    <w:pPr>
      <w:pStyle w:val="8"/>
      <w:tabs>
        <w:tab w:val="left" w:pos="5319"/>
        <w:tab w:val="clear" w:pos="4153"/>
      </w:tabs>
      <w:ind w:right="360" w:firstLine="360"/>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026CA3">
                          <w:pPr>
                            <w:pStyle w:val="8"/>
                          </w:pPr>
                          <w:r>
                            <w:t xml:space="preserve">— </w:t>
                          </w:r>
                          <w:r>
                            <w:fldChar w:fldCharType="begin"/>
                          </w:r>
                          <w:r>
                            <w:instrText xml:space="preserve"> PAGE  \* MERGEFORMAT </w:instrText>
                          </w:r>
                          <w:r>
                            <w:fldChar w:fldCharType="separate"/>
                          </w:r>
                          <w:r>
                            <w:t>- 10 -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4D026CA3">
                    <w:pPr>
                      <w:pStyle w:val="8"/>
                    </w:pPr>
                    <w:r>
                      <w:t xml:space="preserve">— </w:t>
                    </w:r>
                    <w:r>
                      <w:fldChar w:fldCharType="begin"/>
                    </w:r>
                    <w:r>
                      <w:instrText xml:space="preserve"> PAGE  \* MERGEFORMAT </w:instrText>
                    </w:r>
                    <w:r>
                      <w:fldChar w:fldCharType="separate"/>
                    </w:r>
                    <w:r>
                      <w:t>- 10 -</w:t>
                    </w:r>
                    <w:r>
                      <w:fldChar w:fldCharType="end"/>
                    </w:r>
                    <w:r>
                      <w:t xml:space="preserve"> —</w:t>
                    </w: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AE9F24">
                          <w:pPr>
                            <w:pStyle w:val="8"/>
                            <w:rPr>
                              <w:rStyle w:val="18"/>
                              <w:rFonts w:ascii="宋体" w:hAnsi="宋体"/>
                              <w:sz w:val="30"/>
                              <w:szCs w:val="30"/>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0AE9F24">
                    <w:pPr>
                      <w:pStyle w:val="8"/>
                      <w:rPr>
                        <w:rStyle w:val="18"/>
                        <w:rFonts w:ascii="宋体" w:hAnsi="宋体"/>
                        <w:sz w:val="30"/>
                        <w:szCs w:val="30"/>
                      </w:rPr>
                    </w:pP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B3612">
    <w:pPr>
      <w:pStyle w:val="8"/>
      <w:framePr w:wrap="around" w:vAnchor="text" w:hAnchor="margin" w:xAlign="outside" w:y="1"/>
      <w:rPr>
        <w:rStyle w:val="18"/>
      </w:rPr>
    </w:pPr>
    <w:r>
      <w:fldChar w:fldCharType="begin"/>
    </w:r>
    <w:r>
      <w:rPr>
        <w:rStyle w:val="18"/>
      </w:rPr>
      <w:instrText xml:space="preserve">PAGE  </w:instrText>
    </w:r>
    <w:r>
      <w:fldChar w:fldCharType="separate"/>
    </w:r>
    <w:r>
      <w:rPr>
        <w:rStyle w:val="18"/>
      </w:rPr>
      <w:t>- 8 -</w:t>
    </w:r>
    <w:r>
      <w:fldChar w:fldCharType="end"/>
    </w:r>
  </w:p>
  <w:p w14:paraId="5FA4C99D">
    <w:pPr>
      <w:pStyle w:val="8"/>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F47CE9"/>
    <w:multiLevelType w:val="singleLevel"/>
    <w:tmpl w:val="ABF47CE9"/>
    <w:lvl w:ilvl="0" w:tentative="0">
      <w:start w:val="12"/>
      <w:numFmt w:val="chineseCounting"/>
      <w:suff w:val="nothing"/>
      <w:lvlText w:val="%1、"/>
      <w:lvlJc w:val="left"/>
      <w:rPr>
        <w:rFonts w:hint="eastAsia"/>
      </w:rPr>
    </w:lvl>
  </w:abstractNum>
  <w:abstractNum w:abstractNumId="1">
    <w:nsid w:val="0083389A"/>
    <w:multiLevelType w:val="singleLevel"/>
    <w:tmpl w:val="0083389A"/>
    <w:lvl w:ilvl="0" w:tentative="0">
      <w:start w:val="1"/>
      <w:numFmt w:val="chineseCounting"/>
      <w:suff w:val="nothing"/>
      <w:lvlText w:val="%1、"/>
      <w:lvlJc w:val="left"/>
      <w:rPr>
        <w:rFonts w:hint="eastAsia"/>
      </w:rPr>
    </w:lvl>
  </w:abstractNum>
  <w:abstractNum w:abstractNumId="2">
    <w:nsid w:val="00C403CC"/>
    <w:multiLevelType w:val="singleLevel"/>
    <w:tmpl w:val="00C403CC"/>
    <w:lvl w:ilvl="0" w:tentative="0">
      <w:start w:val="1"/>
      <w:numFmt w:val="chineseCounting"/>
      <w:suff w:val="nothing"/>
      <w:lvlText w:val="%1、"/>
      <w:lvlJc w:val="left"/>
      <w:rPr>
        <w:rFonts w:hint="eastAsia"/>
      </w:rPr>
    </w:lvl>
  </w:abstractNum>
  <w:abstractNum w:abstractNumId="3">
    <w:nsid w:val="12073AA9"/>
    <w:multiLevelType w:val="multilevel"/>
    <w:tmpl w:val="12073AA9"/>
    <w:lvl w:ilvl="0" w:tentative="0">
      <w:start w:val="1"/>
      <w:numFmt w:val="chineseCountingThousand"/>
      <w:pStyle w:val="23"/>
      <w:lvlText w:val="(%1)"/>
      <w:lvlJc w:val="left"/>
      <w:pPr>
        <w:ind w:left="420" w:hanging="420"/>
      </w:pPr>
      <w:rPr>
        <w:rFonts w:hint="eastAsia" w:ascii="楷体_GB2312" w:eastAsia="楷体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DD1E4D8"/>
    <w:multiLevelType w:val="singleLevel"/>
    <w:tmpl w:val="7DD1E4D8"/>
    <w:lvl w:ilvl="0" w:tentative="0">
      <w:start w:val="1"/>
      <w:numFmt w:val="chineseCounting"/>
      <w:suff w:val="nothing"/>
      <w:lvlText w:val="（%1）"/>
      <w:lvlJc w:val="left"/>
      <w:rPr>
        <w:rFonts w:hint="eastAsia"/>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wY2U5NTEyYmI3OTdhMDllNmUyMWU1NTVmN2NhODIifQ=="/>
  </w:docVars>
  <w:rsids>
    <w:rsidRoot w:val="00172A27"/>
    <w:rsid w:val="00014642"/>
    <w:rsid w:val="000528D8"/>
    <w:rsid w:val="00133082"/>
    <w:rsid w:val="001552E2"/>
    <w:rsid w:val="00172A27"/>
    <w:rsid w:val="00172DE3"/>
    <w:rsid w:val="00174C28"/>
    <w:rsid w:val="001A6F36"/>
    <w:rsid w:val="00212C52"/>
    <w:rsid w:val="0026385D"/>
    <w:rsid w:val="00297A3B"/>
    <w:rsid w:val="002F4C3B"/>
    <w:rsid w:val="003116C1"/>
    <w:rsid w:val="00343CE4"/>
    <w:rsid w:val="003F786C"/>
    <w:rsid w:val="00416FAA"/>
    <w:rsid w:val="00420DF1"/>
    <w:rsid w:val="00433161"/>
    <w:rsid w:val="00457CD3"/>
    <w:rsid w:val="004705EA"/>
    <w:rsid w:val="00483C60"/>
    <w:rsid w:val="004B556E"/>
    <w:rsid w:val="004C36F6"/>
    <w:rsid w:val="00500802"/>
    <w:rsid w:val="005709BC"/>
    <w:rsid w:val="00586E88"/>
    <w:rsid w:val="005909C1"/>
    <w:rsid w:val="005A0FD7"/>
    <w:rsid w:val="005B0BD4"/>
    <w:rsid w:val="00610421"/>
    <w:rsid w:val="0061209E"/>
    <w:rsid w:val="0061442C"/>
    <w:rsid w:val="006B3660"/>
    <w:rsid w:val="006C24EB"/>
    <w:rsid w:val="006C6D32"/>
    <w:rsid w:val="006C7698"/>
    <w:rsid w:val="006D219A"/>
    <w:rsid w:val="006F00D0"/>
    <w:rsid w:val="00714B20"/>
    <w:rsid w:val="00782D5E"/>
    <w:rsid w:val="007847ED"/>
    <w:rsid w:val="008146DE"/>
    <w:rsid w:val="00852012"/>
    <w:rsid w:val="00854A39"/>
    <w:rsid w:val="0086644E"/>
    <w:rsid w:val="00870BE1"/>
    <w:rsid w:val="008B6725"/>
    <w:rsid w:val="008D39C4"/>
    <w:rsid w:val="008E23B3"/>
    <w:rsid w:val="00942BDD"/>
    <w:rsid w:val="00966BFE"/>
    <w:rsid w:val="009A46A7"/>
    <w:rsid w:val="009C1A10"/>
    <w:rsid w:val="009D2792"/>
    <w:rsid w:val="00A049DC"/>
    <w:rsid w:val="00A24C54"/>
    <w:rsid w:val="00A345E7"/>
    <w:rsid w:val="00A93A8C"/>
    <w:rsid w:val="00A97333"/>
    <w:rsid w:val="00AE6C1C"/>
    <w:rsid w:val="00B72A48"/>
    <w:rsid w:val="00BB23EC"/>
    <w:rsid w:val="00BE1E81"/>
    <w:rsid w:val="00C36ACB"/>
    <w:rsid w:val="00C839DF"/>
    <w:rsid w:val="00CA7EEA"/>
    <w:rsid w:val="00D01FF4"/>
    <w:rsid w:val="00D267D8"/>
    <w:rsid w:val="00D312AB"/>
    <w:rsid w:val="00D56ED9"/>
    <w:rsid w:val="00D7323F"/>
    <w:rsid w:val="00D94C60"/>
    <w:rsid w:val="00DC49D5"/>
    <w:rsid w:val="00DD798D"/>
    <w:rsid w:val="00DF53AD"/>
    <w:rsid w:val="00DF67FA"/>
    <w:rsid w:val="00E541DC"/>
    <w:rsid w:val="00E84DC8"/>
    <w:rsid w:val="00E91A71"/>
    <w:rsid w:val="00E94767"/>
    <w:rsid w:val="00EA169A"/>
    <w:rsid w:val="00EA591F"/>
    <w:rsid w:val="00EB3B93"/>
    <w:rsid w:val="00EC3723"/>
    <w:rsid w:val="00EC7F24"/>
    <w:rsid w:val="00ED1A6B"/>
    <w:rsid w:val="00EE167C"/>
    <w:rsid w:val="00F30E9F"/>
    <w:rsid w:val="00F319E7"/>
    <w:rsid w:val="00F35EF7"/>
    <w:rsid w:val="00F62FF2"/>
    <w:rsid w:val="00F7468E"/>
    <w:rsid w:val="00F779FC"/>
    <w:rsid w:val="00FB134C"/>
    <w:rsid w:val="00FB1D5D"/>
    <w:rsid w:val="00FB37A9"/>
    <w:rsid w:val="00FD2D43"/>
    <w:rsid w:val="02FC7879"/>
    <w:rsid w:val="03800D34"/>
    <w:rsid w:val="04801CC7"/>
    <w:rsid w:val="053F19E9"/>
    <w:rsid w:val="05BA4000"/>
    <w:rsid w:val="084B6C7C"/>
    <w:rsid w:val="08AF1388"/>
    <w:rsid w:val="099805FA"/>
    <w:rsid w:val="09BE0A46"/>
    <w:rsid w:val="0A6E1FD8"/>
    <w:rsid w:val="0BB5168B"/>
    <w:rsid w:val="0DA970D9"/>
    <w:rsid w:val="0DBE7117"/>
    <w:rsid w:val="0E2A646C"/>
    <w:rsid w:val="0EF71B19"/>
    <w:rsid w:val="0F3A51E3"/>
    <w:rsid w:val="0F451DFB"/>
    <w:rsid w:val="106959E5"/>
    <w:rsid w:val="10CB06DF"/>
    <w:rsid w:val="118F7689"/>
    <w:rsid w:val="12241424"/>
    <w:rsid w:val="124D2289"/>
    <w:rsid w:val="15734ECB"/>
    <w:rsid w:val="15E038B4"/>
    <w:rsid w:val="1691410E"/>
    <w:rsid w:val="16F77107"/>
    <w:rsid w:val="170B3EB5"/>
    <w:rsid w:val="193F21E0"/>
    <w:rsid w:val="1A2638B8"/>
    <w:rsid w:val="1A6237F9"/>
    <w:rsid w:val="1BFD74A4"/>
    <w:rsid w:val="1CCB2355"/>
    <w:rsid w:val="1D784489"/>
    <w:rsid w:val="1D7B2CAD"/>
    <w:rsid w:val="1E5A55F2"/>
    <w:rsid w:val="20065393"/>
    <w:rsid w:val="20895C0A"/>
    <w:rsid w:val="20BD5B52"/>
    <w:rsid w:val="210466A8"/>
    <w:rsid w:val="22051636"/>
    <w:rsid w:val="22693DEC"/>
    <w:rsid w:val="227635D6"/>
    <w:rsid w:val="24A930C4"/>
    <w:rsid w:val="25E71091"/>
    <w:rsid w:val="278639FD"/>
    <w:rsid w:val="289844F7"/>
    <w:rsid w:val="2B430715"/>
    <w:rsid w:val="2B921269"/>
    <w:rsid w:val="2C5858A6"/>
    <w:rsid w:val="2CF61F2F"/>
    <w:rsid w:val="2D1C121E"/>
    <w:rsid w:val="318D33AD"/>
    <w:rsid w:val="319840F2"/>
    <w:rsid w:val="325D2F28"/>
    <w:rsid w:val="3302677B"/>
    <w:rsid w:val="34C05684"/>
    <w:rsid w:val="353C245D"/>
    <w:rsid w:val="359B1779"/>
    <w:rsid w:val="367945A8"/>
    <w:rsid w:val="36CC4960"/>
    <w:rsid w:val="36E52680"/>
    <w:rsid w:val="38C84008"/>
    <w:rsid w:val="39470146"/>
    <w:rsid w:val="39B6420E"/>
    <w:rsid w:val="39DA2863"/>
    <w:rsid w:val="3A3C4CAD"/>
    <w:rsid w:val="3C624382"/>
    <w:rsid w:val="3CD35415"/>
    <w:rsid w:val="3CE32852"/>
    <w:rsid w:val="3D2D18AB"/>
    <w:rsid w:val="3E611D98"/>
    <w:rsid w:val="3F157E7D"/>
    <w:rsid w:val="405F558C"/>
    <w:rsid w:val="40D50BAE"/>
    <w:rsid w:val="41E576AF"/>
    <w:rsid w:val="44905A69"/>
    <w:rsid w:val="462B4D6F"/>
    <w:rsid w:val="477051E5"/>
    <w:rsid w:val="47FC2970"/>
    <w:rsid w:val="48D32C81"/>
    <w:rsid w:val="49973BDF"/>
    <w:rsid w:val="4A1B668D"/>
    <w:rsid w:val="4B5F07FC"/>
    <w:rsid w:val="4BED124E"/>
    <w:rsid w:val="4C1E7B16"/>
    <w:rsid w:val="4D625C76"/>
    <w:rsid w:val="4D9549A9"/>
    <w:rsid w:val="4EEF63AF"/>
    <w:rsid w:val="4FD36385"/>
    <w:rsid w:val="50B94F44"/>
    <w:rsid w:val="51365082"/>
    <w:rsid w:val="519C7BF9"/>
    <w:rsid w:val="53F87A3F"/>
    <w:rsid w:val="553D437F"/>
    <w:rsid w:val="56DF169C"/>
    <w:rsid w:val="573C6AFC"/>
    <w:rsid w:val="581C1A7F"/>
    <w:rsid w:val="58F8450A"/>
    <w:rsid w:val="593C3F2A"/>
    <w:rsid w:val="5A82628C"/>
    <w:rsid w:val="5B3B02A2"/>
    <w:rsid w:val="5B8D7246"/>
    <w:rsid w:val="5DA151B1"/>
    <w:rsid w:val="5E5E2B95"/>
    <w:rsid w:val="5E710EF0"/>
    <w:rsid w:val="5EFE7519"/>
    <w:rsid w:val="5F740243"/>
    <w:rsid w:val="6005151A"/>
    <w:rsid w:val="607551E3"/>
    <w:rsid w:val="60A54AAB"/>
    <w:rsid w:val="60AB7EDC"/>
    <w:rsid w:val="613979DB"/>
    <w:rsid w:val="63BC67CE"/>
    <w:rsid w:val="64EF2799"/>
    <w:rsid w:val="64F57F1C"/>
    <w:rsid w:val="65145E42"/>
    <w:rsid w:val="65B80DDC"/>
    <w:rsid w:val="668837D0"/>
    <w:rsid w:val="6692787F"/>
    <w:rsid w:val="681738C3"/>
    <w:rsid w:val="69526C17"/>
    <w:rsid w:val="69DD2649"/>
    <w:rsid w:val="6C4A4CC6"/>
    <w:rsid w:val="6C797AED"/>
    <w:rsid w:val="6F493D81"/>
    <w:rsid w:val="6FA80A38"/>
    <w:rsid w:val="71C25A58"/>
    <w:rsid w:val="71D16780"/>
    <w:rsid w:val="71DE7E1D"/>
    <w:rsid w:val="7232489D"/>
    <w:rsid w:val="72B6685C"/>
    <w:rsid w:val="733B24E7"/>
    <w:rsid w:val="74BA7E2A"/>
    <w:rsid w:val="76B72D24"/>
    <w:rsid w:val="774E37A6"/>
    <w:rsid w:val="79732A8F"/>
    <w:rsid w:val="7AD64138"/>
    <w:rsid w:val="7B0D52CF"/>
    <w:rsid w:val="7BBC2F7D"/>
    <w:rsid w:val="7BC80C71"/>
    <w:rsid w:val="7C901FB3"/>
    <w:rsid w:val="7C9A7CF6"/>
    <w:rsid w:val="7E6710C4"/>
    <w:rsid w:val="7E8E7570"/>
    <w:rsid w:val="7ECD724F"/>
    <w:rsid w:val="7ED27BDE"/>
    <w:rsid w:val="7F6A25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bidi w:val="0"/>
      <w:spacing w:line="240" w:lineRule="atLeast"/>
      <w:ind w:firstLine="1440" w:firstLineChars="200"/>
      <w:jc w:val="both"/>
    </w:pPr>
    <w:rPr>
      <w:rFonts w:ascii="Times New Roman" w:hAnsi="Times New Roman" w:eastAsia="仿宋" w:cs="Times New Roman"/>
      <w:kern w:val="2"/>
      <w:sz w:val="28"/>
      <w:szCs w:val="32"/>
      <w:lang w:val="en-US" w:eastAsia="zh-CN" w:bidi="ar-SA"/>
    </w:rPr>
  </w:style>
  <w:style w:type="paragraph" w:styleId="2">
    <w:name w:val="heading 1"/>
    <w:basedOn w:val="1"/>
    <w:next w:val="1"/>
    <w:link w:val="25"/>
    <w:autoRedefine/>
    <w:qFormat/>
    <w:uiPriority w:val="0"/>
    <w:pPr>
      <w:keepNext/>
      <w:keepLines/>
      <w:ind w:firstLine="1440" w:firstLineChars="200"/>
      <w:jc w:val="left"/>
      <w:outlineLvl w:val="0"/>
    </w:pPr>
    <w:rPr>
      <w:rFonts w:eastAsia="黑体"/>
      <w:bCs/>
      <w:kern w:val="44"/>
      <w:sz w:val="32"/>
      <w:szCs w:val="44"/>
    </w:rPr>
  </w:style>
  <w:style w:type="paragraph" w:styleId="3">
    <w:name w:val="heading 2"/>
    <w:basedOn w:val="1"/>
    <w:next w:val="1"/>
    <w:unhideWhenUsed/>
    <w:qFormat/>
    <w:uiPriority w:val="0"/>
    <w:pPr>
      <w:keepNext/>
      <w:keepLines/>
      <w:spacing w:beforeLines="0" w:beforeAutospacing="0" w:afterLines="0" w:afterAutospacing="0" w:line="240" w:lineRule="auto"/>
      <w:ind w:firstLine="1440" w:firstLineChars="200"/>
      <w:jc w:val="left"/>
      <w:outlineLvl w:val="1"/>
    </w:pPr>
    <w:rPr>
      <w:rFonts w:ascii="Arial" w:hAnsi="Arial" w:eastAsia="黑体"/>
    </w:rPr>
  </w:style>
  <w:style w:type="character" w:default="1" w:styleId="16">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autoRedefine/>
    <w:qFormat/>
    <w:uiPriority w:val="0"/>
    <w:pPr>
      <w:jc w:val="left"/>
    </w:pPr>
  </w:style>
  <w:style w:type="paragraph" w:styleId="5">
    <w:name w:val="Body Text"/>
    <w:basedOn w:val="1"/>
    <w:autoRedefine/>
    <w:qFormat/>
    <w:uiPriority w:val="0"/>
    <w:pPr>
      <w:spacing w:before="93" w:beforeLines="30"/>
    </w:pPr>
    <w:rPr>
      <w:rFonts w:ascii="仿宋_GB2312"/>
      <w:sz w:val="30"/>
    </w:rPr>
  </w:style>
  <w:style w:type="paragraph" w:styleId="6">
    <w:name w:val="toc 3"/>
    <w:basedOn w:val="1"/>
    <w:next w:val="1"/>
    <w:autoRedefine/>
    <w:qFormat/>
    <w:uiPriority w:val="39"/>
    <w:pPr>
      <w:ind w:left="840" w:leftChars="400"/>
    </w:pPr>
  </w:style>
  <w:style w:type="paragraph" w:styleId="7">
    <w:name w:val="Balloon Text"/>
    <w:basedOn w:val="1"/>
    <w:autoRedefine/>
    <w:semiHidden/>
    <w:qFormat/>
    <w:uiPriority w:val="0"/>
    <w:rPr>
      <w:sz w:val="18"/>
      <w:szCs w:val="18"/>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qFormat/>
    <w:uiPriority w:val="39"/>
  </w:style>
  <w:style w:type="paragraph" w:styleId="11">
    <w:name w:val="toc 2"/>
    <w:basedOn w:val="1"/>
    <w:next w:val="1"/>
    <w:autoRedefine/>
    <w:qFormat/>
    <w:uiPriority w:val="39"/>
    <w:pPr>
      <w:ind w:left="420" w:leftChars="200"/>
    </w:pPr>
    <w:rPr>
      <w:rFonts w:eastAsia="MiSans"/>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autoRedefine/>
    <w:qFormat/>
    <w:uiPriority w:val="0"/>
    <w:pPr>
      <w:spacing w:before="100" w:beforeAutospacing="1" w:after="100" w:afterAutospacing="1"/>
      <w:jc w:val="left"/>
    </w:pPr>
    <w:rPr>
      <w:kern w:val="0"/>
      <w:sz w:val="24"/>
    </w:rPr>
  </w:style>
  <w:style w:type="paragraph" w:styleId="14">
    <w:name w:val="Title"/>
    <w:basedOn w:val="1"/>
    <w:next w:val="1"/>
    <w:link w:val="24"/>
    <w:autoRedefine/>
    <w:qFormat/>
    <w:uiPriority w:val="0"/>
    <w:pPr>
      <w:spacing w:before="240" w:after="60"/>
      <w:jc w:val="center"/>
      <w:outlineLvl w:val="0"/>
    </w:pPr>
    <w:rPr>
      <w:rFonts w:ascii="等线 Light" w:hAnsi="等线 Light" w:eastAsia="宋体"/>
      <w:b/>
      <w:bCs/>
    </w:rPr>
  </w:style>
  <w:style w:type="character" w:styleId="17">
    <w:name w:val="Strong"/>
    <w:basedOn w:val="16"/>
    <w:autoRedefine/>
    <w:qFormat/>
    <w:uiPriority w:val="0"/>
    <w:rPr>
      <w:rFonts w:ascii="Times New Roman" w:hAnsi="Times New Roman" w:eastAsia="MiSans"/>
      <w:sz w:val="44"/>
    </w:rPr>
  </w:style>
  <w:style w:type="character" w:styleId="18">
    <w:name w:val="page number"/>
    <w:autoRedefine/>
    <w:qFormat/>
    <w:uiPriority w:val="0"/>
  </w:style>
  <w:style w:type="character" w:styleId="19">
    <w:name w:val="Emphasis"/>
    <w:autoRedefine/>
    <w:qFormat/>
    <w:uiPriority w:val="0"/>
    <w:rPr>
      <w:i/>
      <w:iCs/>
    </w:rPr>
  </w:style>
  <w:style w:type="character" w:styleId="20">
    <w:name w:val="Hyperlink"/>
    <w:autoRedefine/>
    <w:unhideWhenUsed/>
    <w:qFormat/>
    <w:uiPriority w:val="99"/>
    <w:rPr>
      <w:color w:val="467886"/>
      <w:u w:val="single"/>
    </w:rPr>
  </w:style>
  <w:style w:type="paragraph" w:customStyle="1" w:styleId="21">
    <w:name w:val="Char Char Char Char Char Char Char Char Char Char Char Char"/>
    <w:basedOn w:val="1"/>
    <w:autoRedefine/>
    <w:semiHidden/>
    <w:qFormat/>
    <w:uiPriority w:val="0"/>
    <w:rPr>
      <w:szCs w:val="21"/>
    </w:rPr>
  </w:style>
  <w:style w:type="paragraph" w:customStyle="1" w:styleId="22">
    <w:name w:val="Char Char1 Char Char Char Char Char Char Char Char"/>
    <w:basedOn w:val="1"/>
    <w:next w:val="1"/>
    <w:autoRedefine/>
    <w:qFormat/>
    <w:uiPriority w:val="0"/>
    <w:pPr>
      <w:spacing w:line="240" w:lineRule="atLeast"/>
      <w:ind w:left="420" w:firstLine="420"/>
      <w:jc w:val="left"/>
    </w:pPr>
    <w:rPr>
      <w:rFonts w:eastAsia="宋体"/>
      <w:kern w:val="0"/>
      <w:sz w:val="21"/>
      <w:szCs w:val="21"/>
    </w:rPr>
  </w:style>
  <w:style w:type="paragraph" w:customStyle="1" w:styleId="23">
    <w:name w:val="〖B02〗二级标题"/>
    <w:basedOn w:val="1"/>
    <w:next w:val="1"/>
    <w:autoRedefine/>
    <w:qFormat/>
    <w:uiPriority w:val="0"/>
    <w:pPr>
      <w:numPr>
        <w:ilvl w:val="0"/>
        <w:numId w:val="1"/>
      </w:numPr>
      <w:topLinePunct/>
      <w:spacing w:line="600" w:lineRule="exact"/>
      <w:outlineLvl w:val="1"/>
    </w:pPr>
    <w:rPr>
      <w:rFonts w:ascii="楷体_GB2312" w:eastAsia="楷体_GB2312"/>
    </w:rPr>
  </w:style>
  <w:style w:type="character" w:customStyle="1" w:styleId="24">
    <w:name w:val="标题 字符"/>
    <w:link w:val="14"/>
    <w:autoRedefine/>
    <w:qFormat/>
    <w:uiPriority w:val="0"/>
    <w:rPr>
      <w:rFonts w:ascii="等线 Light" w:hAnsi="等线 Light" w:cs="Times New Roman"/>
      <w:b/>
      <w:bCs/>
      <w:kern w:val="2"/>
      <w:sz w:val="32"/>
      <w:szCs w:val="32"/>
    </w:rPr>
  </w:style>
  <w:style w:type="character" w:customStyle="1" w:styleId="25">
    <w:name w:val="标题 1 字符"/>
    <w:link w:val="2"/>
    <w:autoRedefine/>
    <w:qFormat/>
    <w:uiPriority w:val="0"/>
    <w:rPr>
      <w:rFonts w:ascii="Times New Roman" w:hAnsi="Times New Roman" w:eastAsia="黑体" w:cs="Times New Roman"/>
      <w:bCs/>
      <w:kern w:val="44"/>
      <w:sz w:val="32"/>
      <w:szCs w:val="44"/>
      <w:lang w:val="en-US" w:eastAsia="zh-CN" w:bidi="ar-SA"/>
    </w:rPr>
  </w:style>
  <w:style w:type="paragraph" w:customStyle="1" w:styleId="26">
    <w:name w:val="TOC Heading"/>
    <w:basedOn w:val="2"/>
    <w:next w:val="1"/>
    <w:autoRedefine/>
    <w:unhideWhenUsed/>
    <w:qFormat/>
    <w:uiPriority w:val="39"/>
    <w:pPr>
      <w:widowControl/>
      <w:spacing w:before="240" w:after="0" w:line="259" w:lineRule="auto"/>
      <w:jc w:val="left"/>
      <w:outlineLvl w:val="9"/>
    </w:pPr>
    <w:rPr>
      <w:rFonts w:ascii="等线 Light" w:hAnsi="等线 Light" w:eastAsia="等线 Light"/>
      <w:bCs w:val="0"/>
      <w:color w:val="0F4761"/>
      <w:kern w:val="0"/>
      <w:sz w:val="32"/>
      <w:szCs w:val="32"/>
    </w:rPr>
  </w:style>
  <w:style w:type="paragraph" w:customStyle="1" w:styleId="27">
    <w:name w:val="总"/>
    <w:basedOn w:val="1"/>
    <w:autoRedefine/>
    <w:qFormat/>
    <w:uiPriority w:val="0"/>
    <w:pPr>
      <w:adjustRightInd w:val="0"/>
      <w:spacing w:beforeLines="0" w:beforeAutospacing="1"/>
      <w:ind w:firstLine="0" w:firstLineChars="0"/>
      <w:jc w:val="center"/>
    </w:pPr>
    <w:rPr>
      <w:rFonts w:hint="eastAsia" w:ascii="思源黑体 CN Normal" w:hAnsi="思源黑体 CN Normal" w:eastAsia="MiSans" w:cs="思源黑体 CN Normal"/>
      <w:sz w:val="52"/>
      <w:szCs w:val="72"/>
    </w:rPr>
  </w:style>
  <w:style w:type="paragraph" w:customStyle="1" w:styleId="28">
    <w:name w:val="表格"/>
    <w:basedOn w:val="1"/>
    <w:autoRedefine/>
    <w:qFormat/>
    <w:uiPriority w:val="0"/>
    <w:pPr>
      <w:ind w:firstLine="0" w:firstLineChars="0"/>
      <w:jc w:val="center"/>
    </w:pPr>
    <w:rPr>
      <w:rFonts w:hint="eastAsia"/>
      <w:sz w:val="30"/>
    </w:rPr>
  </w:style>
  <w:style w:type="paragraph" w:customStyle="1" w:styleId="29">
    <w:name w:val="调整"/>
    <w:basedOn w:val="1"/>
    <w:autoRedefine/>
    <w:qFormat/>
    <w:uiPriority w:val="0"/>
    <w:pPr>
      <w:spacing w:line="240" w:lineRule="auto"/>
      <w:ind w:firstLine="560"/>
    </w:pPr>
    <w:rPr>
      <w:rFonts w:hint="eastAsia" w:ascii="思源黑体 CN Normal" w:hAnsi="思源黑体 CN Normal" w:cs="思源黑体 CN Normal"/>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B24AF6-C995-40E6-BF6A-EEA15CE44985}">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16</Pages>
  <Words>3859</Words>
  <Characters>4217</Characters>
  <Lines>36</Lines>
  <Paragraphs>10</Paragraphs>
  <TotalTime>30</TotalTime>
  <ScaleCrop>false</ScaleCrop>
  <LinksUpToDate>false</LinksUpToDate>
  <CharactersWithSpaces>4318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2024-03-14T05:49:00Z</dcterms:created>
  <dc:creator>赵树子</dc:creator>
  <cp:lastModifiedBy>卡蒂科克</cp:lastModifiedBy>
  <cp:lastPrinted>2024-02-19T07:48:00Z</cp:lastPrinted>
  <dcterms:modified xsi:type="dcterms:W3CDTF">2026-02-06T07:17:03Z</dcterms:modified>
  <dc:title>四川省财政厅2011年部门预算编制说明</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0083F6BF0A3141448F6560F1ED844134_13</vt:lpwstr>
  </property>
  <property fmtid="{D5CDD505-2E9C-101B-9397-08002B2CF9AE}" pid="4" name="KSOTemplateDocerSaveRecord">
    <vt:lpwstr>eyJoZGlkIjoiNGU3MjZkYTI4ODNlODcxYjlmOGE1OTdhNjFjYTNkYmMiLCJ1c2VySWQiOiI0NjMwOTU5OTQifQ==</vt:lpwstr>
  </property>
</Properties>
</file>