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1E9A4">
      <w:pPr>
        <w:pStyle w:val="3"/>
        <w:widowControl/>
        <w:adjustRightInd w:val="0"/>
        <w:snapToGrid w:val="0"/>
        <w:spacing w:beforeAutospacing="0" w:afterAutospacing="0" w:line="560" w:lineRule="exact"/>
        <w:ind w:firstLine="640" w:firstLineChars="200"/>
        <w:rPr>
          <w:rFonts w:hint="default" w:ascii="仿宋" w:hAnsi="仿宋" w:eastAsia="仿宋" w:cs="微软雅黑"/>
          <w:b w:val="0"/>
          <w:color w:val="555555"/>
          <w:kern w:val="2"/>
          <w:sz w:val="32"/>
          <w:szCs w:val="32"/>
        </w:rPr>
      </w:pPr>
      <w:bookmarkStart w:id="3" w:name="_GoBack"/>
      <w:bookmarkEnd w:id="3"/>
      <w:r>
        <w:rPr>
          <w:rFonts w:ascii="仿宋" w:hAnsi="仿宋" w:eastAsia="仿宋" w:cs="微软雅黑"/>
          <w:b w:val="0"/>
          <w:color w:val="555555"/>
          <w:kern w:val="2"/>
          <w:sz w:val="32"/>
          <w:szCs w:val="32"/>
        </w:rPr>
        <w:t>附件1</w:t>
      </w:r>
      <w:r>
        <w:rPr>
          <w:rFonts w:hint="default" w:ascii="仿宋" w:hAnsi="仿宋" w:eastAsia="仿宋" w:cs="微软雅黑"/>
          <w:b w:val="0"/>
          <w:color w:val="555555"/>
          <w:kern w:val="2"/>
          <w:sz w:val="32"/>
          <w:szCs w:val="32"/>
        </w:rPr>
        <w:t>:</w:t>
      </w:r>
    </w:p>
    <w:p w14:paraId="6B5551BD">
      <w:pPr>
        <w:pStyle w:val="3"/>
        <w:widowControl/>
        <w:adjustRightInd w:val="0"/>
        <w:snapToGrid w:val="0"/>
        <w:spacing w:beforeAutospacing="0" w:afterAutospacing="0" w:line="560" w:lineRule="exact"/>
        <w:ind w:firstLine="880" w:firstLineChars="200"/>
        <w:jc w:val="center"/>
        <w:rPr>
          <w:rFonts w:hint="default" w:ascii="Arial Unicode MS" w:eastAsia="Arial Unicode MS"/>
          <w:b w:val="0"/>
          <w:color w:val="404040"/>
          <w:sz w:val="44"/>
          <w:szCs w:val="44"/>
        </w:rPr>
      </w:pPr>
      <w:r>
        <w:rPr>
          <w:rFonts w:ascii="Arial Unicode MS" w:hAnsi="Arial Unicode MS" w:eastAsia="Arial Unicode MS" w:cs="Arial Unicode MS"/>
          <w:b w:val="0"/>
          <w:color w:val="404040"/>
          <w:sz w:val="44"/>
          <w:szCs w:val="44"/>
        </w:rPr>
        <w:t>西昌市</w:t>
      </w:r>
      <w:r>
        <w:rPr>
          <w:rFonts w:hint="eastAsia" w:ascii="Arial Unicode MS" w:hAnsi="Arial Unicode MS" w:eastAsia="Arial Unicode MS" w:cs="Arial Unicode MS"/>
          <w:b w:val="0"/>
          <w:color w:val="404040"/>
          <w:sz w:val="44"/>
          <w:szCs w:val="44"/>
          <w:lang w:val="en-US" w:eastAsia="zh-CN"/>
        </w:rPr>
        <w:t>委党校</w:t>
      </w:r>
      <w:r>
        <w:rPr>
          <w:rFonts w:ascii="Arial Unicode MS" w:eastAsia="Arial Unicode MS"/>
          <w:b w:val="0"/>
          <w:color w:val="404040"/>
          <w:sz w:val="44"/>
          <w:szCs w:val="44"/>
        </w:rPr>
        <w:t>2026</w:t>
      </w:r>
      <w:r>
        <w:rPr>
          <w:rFonts w:ascii="Arial Unicode MS" w:hAnsi="Arial Unicode MS" w:eastAsia="Arial Unicode MS" w:cs="Arial Unicode MS"/>
          <w:b w:val="0"/>
          <w:color w:val="404040"/>
          <w:sz w:val="44"/>
          <w:szCs w:val="44"/>
        </w:rPr>
        <w:t>年部门预算编制说明</w:t>
      </w:r>
    </w:p>
    <w:p w14:paraId="7D030B7D">
      <w:pPr>
        <w:widowControl/>
        <w:adjustRightInd w:val="0"/>
        <w:snapToGrid w:val="0"/>
        <w:spacing w:line="560" w:lineRule="exact"/>
        <w:ind w:firstLine="540" w:firstLineChars="200"/>
        <w:jc w:val="left"/>
        <w:rPr>
          <w:rFonts w:ascii="微软雅黑" w:hAnsi="微软雅黑" w:eastAsia="微软雅黑" w:cs="微软雅黑"/>
          <w:b/>
          <w:color w:val="555555"/>
          <w:kern w:val="0"/>
          <w:sz w:val="27"/>
          <w:szCs w:val="27"/>
          <w:lang w:bidi="ar"/>
        </w:rPr>
      </w:pPr>
    </w:p>
    <w:p w14:paraId="30D7C0E4">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一、基本职能及主要工作</w:t>
      </w:r>
    </w:p>
    <w:p w14:paraId="43F8D19D">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楷体_GB2312" w:hAnsi="楷体_GB2312" w:eastAsia="楷体_GB2312" w:cs="楷体_GB2312"/>
          <w:color w:val="555555"/>
          <w:sz w:val="32"/>
          <w:szCs w:val="32"/>
        </w:rPr>
        <w:t>（一）</w:t>
      </w:r>
      <w:bookmarkStart w:id="0" w:name="OLE_LINK20"/>
      <w:r>
        <w:rPr>
          <w:rFonts w:hint="eastAsia" w:ascii="楷体_GB2312" w:hAnsi="楷体_GB2312" w:eastAsia="楷体_GB2312" w:cs="楷体_GB2312"/>
          <w:color w:val="555555"/>
          <w:sz w:val="32"/>
          <w:szCs w:val="32"/>
        </w:rPr>
        <w:t>西昌市</w:t>
      </w:r>
      <w:r>
        <w:rPr>
          <w:rFonts w:hint="eastAsia" w:ascii="楷体_GB2312" w:hAnsi="楷体_GB2312" w:eastAsia="楷体_GB2312" w:cs="楷体_GB2312"/>
          <w:color w:val="555555"/>
          <w:sz w:val="32"/>
          <w:szCs w:val="32"/>
          <w:lang w:val="en-US" w:eastAsia="zh-CN"/>
        </w:rPr>
        <w:t>委党校</w:t>
      </w:r>
      <w:bookmarkEnd w:id="0"/>
      <w:r>
        <w:rPr>
          <w:rFonts w:hint="eastAsia" w:ascii="楷体_GB2312" w:hAnsi="楷体_GB2312" w:eastAsia="楷体_GB2312" w:cs="楷体_GB2312"/>
          <w:color w:val="555555"/>
          <w:sz w:val="32"/>
          <w:szCs w:val="32"/>
        </w:rPr>
        <w:t>职能简介</w:t>
      </w:r>
      <w:r>
        <w:rPr>
          <w:rFonts w:hint="eastAsia" w:ascii="楷体" w:hAnsi="楷体" w:eastAsia="楷体" w:cs="楷体"/>
          <w:color w:val="555555"/>
          <w:sz w:val="32"/>
          <w:szCs w:val="32"/>
        </w:rPr>
        <w:t>。</w:t>
      </w:r>
    </w:p>
    <w:p w14:paraId="429407C6">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 w:hAnsi="仿宋" w:eastAsia="仿宋" w:cs="微软雅黑"/>
          <w:color w:val="555555"/>
          <w:sz w:val="32"/>
          <w:szCs w:val="32"/>
          <w:lang w:bidi="ar"/>
        </w:rPr>
        <w:t>西昌市委党校是市委领导下的干部理论培训职能部门</w:t>
      </w:r>
      <w:r>
        <w:rPr>
          <w:rFonts w:hint="eastAsia" w:ascii="仿宋" w:hAnsi="仿宋" w:eastAsia="仿宋" w:cs="微软雅黑"/>
          <w:color w:val="555555"/>
          <w:sz w:val="32"/>
          <w:szCs w:val="32"/>
          <w:lang w:val="en-US" w:eastAsia="zh-CN" w:bidi="ar"/>
        </w:rPr>
        <w:t>,</w:t>
      </w:r>
      <w:r>
        <w:rPr>
          <w:rFonts w:hint="eastAsia" w:ascii="仿宋" w:hAnsi="仿宋" w:eastAsia="仿宋" w:cs="微软雅黑"/>
          <w:color w:val="555555"/>
          <w:sz w:val="32"/>
          <w:szCs w:val="32"/>
          <w:lang w:bidi="ar"/>
        </w:rPr>
        <w:t>主管全市的干部培训和教育的工作，主要职能职责包括：根据市委、市政府全市工作的总体部署，完成市委下达的各项干部培训工作任务。</w:t>
      </w:r>
    </w:p>
    <w:p w14:paraId="6C808988">
      <w:pPr>
        <w:pStyle w:val="8"/>
        <w:widowControl/>
        <w:adjustRightInd w:val="0"/>
        <w:snapToGrid w:val="0"/>
        <w:spacing w:before="130" w:beforeAutospacing="0" w:afterAutospacing="0" w:line="560" w:lineRule="exact"/>
        <w:rPr>
          <w:rFonts w:ascii="楷体_GB2312" w:hAnsi="楷体_GB2312" w:eastAsia="楷体_GB2312" w:cs="楷体_GB2312"/>
          <w:color w:val="555555"/>
          <w:kern w:val="2"/>
          <w:sz w:val="32"/>
          <w:szCs w:val="32"/>
        </w:rPr>
      </w:pPr>
      <w:r>
        <w:rPr>
          <w:rFonts w:hint="default" w:ascii="楷体_GB2312" w:hAnsi="楷体_GB2312" w:eastAsia="楷体_GB2312" w:cs="楷体_GB2312"/>
          <w:color w:val="555555"/>
          <w:kern w:val="2"/>
          <w:sz w:val="32"/>
          <w:szCs w:val="32"/>
        </w:rPr>
        <w:t xml:space="preserve">    </w:t>
      </w:r>
      <w:r>
        <w:rPr>
          <w:rFonts w:hint="eastAsia" w:ascii="楷体_GB2312" w:hAnsi="楷体_GB2312" w:eastAsia="楷体_GB2312" w:cs="楷体_GB2312"/>
          <w:color w:val="555555"/>
          <w:kern w:val="2"/>
          <w:sz w:val="32"/>
          <w:szCs w:val="32"/>
        </w:rPr>
        <w:t>（二）</w:t>
      </w:r>
      <w:r>
        <w:rPr>
          <w:rFonts w:hint="eastAsia" w:ascii="楷体_GB2312" w:hAnsi="楷体_GB2312" w:eastAsia="楷体_GB2312" w:cs="楷体_GB2312"/>
          <w:color w:val="555555"/>
          <w:sz w:val="32"/>
          <w:szCs w:val="32"/>
        </w:rPr>
        <w:t>西昌市</w:t>
      </w:r>
      <w:r>
        <w:rPr>
          <w:rFonts w:hint="eastAsia" w:ascii="楷体_GB2312" w:hAnsi="楷体_GB2312" w:eastAsia="楷体_GB2312" w:cs="楷体_GB2312"/>
          <w:color w:val="555555"/>
          <w:sz w:val="32"/>
          <w:szCs w:val="32"/>
          <w:lang w:val="en-US" w:eastAsia="zh-CN"/>
        </w:rPr>
        <w:t>委党校</w:t>
      </w:r>
      <w:r>
        <w:rPr>
          <w:rFonts w:ascii="楷体_GB2312" w:hAnsi="楷体_GB2312" w:eastAsia="楷体_GB2312" w:cs="楷体_GB2312"/>
          <w:color w:val="555555"/>
          <w:kern w:val="2"/>
          <w:sz w:val="32"/>
          <w:szCs w:val="32"/>
        </w:rPr>
        <w:t>202</w:t>
      </w:r>
      <w:r>
        <w:rPr>
          <w:rFonts w:hint="eastAsia" w:ascii="楷体_GB2312" w:hAnsi="楷体_GB2312" w:eastAsia="楷体_GB2312" w:cs="楷体_GB2312"/>
          <w:color w:val="555555"/>
          <w:kern w:val="2"/>
          <w:sz w:val="32"/>
          <w:szCs w:val="32"/>
        </w:rPr>
        <w:t>6年重点工作。</w:t>
      </w:r>
    </w:p>
    <w:p w14:paraId="42C844EA">
      <w:pPr>
        <w:widowControl/>
        <w:adjustRightInd w:val="0"/>
        <w:snapToGrid w:val="0"/>
        <w:spacing w:line="560" w:lineRule="exact"/>
        <w:ind w:firstLine="640" w:firstLineChars="200"/>
        <w:jc w:val="left"/>
        <w:rPr>
          <w:rFonts w:hint="default"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一是精准实施基本培训。严格落实《条例》关于基本培训的要求，科学规划并高质量完成校内主体班次培训任务。优化班次结构和学制，突出按需培训，增强培训的时代性、针对性、有效性。确保顺利完成基本培训班次14期及以上，完成对外培训2000人次以上。积极争取省直机关党校在办班办学上的支持，探索合作办班、异地培训等模式。</w:t>
      </w:r>
    </w:p>
    <w:p w14:paraId="3B690946">
      <w:pPr>
        <w:widowControl/>
        <w:adjustRightInd w:val="0"/>
        <w:snapToGrid w:val="0"/>
        <w:spacing w:line="560" w:lineRule="exact"/>
        <w:ind w:firstLine="640" w:firstLineChars="200"/>
        <w:jc w:val="left"/>
        <w:rPr>
          <w:rFonts w:hint="default"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二是继续优化完善课程体系。完成以深入学习习近平新时代中国特色社会主义思想为主题主线的教学课程体系构建，形成并应用规范化课程体系清单。重点开发一批体现马克思主义中国化时代化最新成果、契合地方发展需求的课程。全年新开发6门专题课程。</w:t>
      </w:r>
    </w:p>
    <w:p w14:paraId="1DE6098A">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三是持续提升科研水平和影响力。围绕中心重点难点工作，引导教师开展前瞻性、针对性、储备性研究，全年申报20项科研课题及以上。优化决策咨询报告撰写、审核、报送流程，争取更多成果获得领导批示或被相关部门采纳应用。力争全年报送高质量决策咨询报告8篇，获肯定性批示实现数量上的增加。</w:t>
      </w:r>
    </w:p>
    <w:p w14:paraId="48BB0FF6">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四是加强师资队伍建设。制定年度师资培训计划，确保每位专职教师年内至少参加1次校外培训。鼓励教师参加教学竞赛。结合省直机关党校帮扶契机，加强对青年教师的培养，邀请省直机关党校骨干教师来校开展集体备课、示范教学，同时选派我校教师参加其集体备课和跟班研修，不断压担子、搭平台，促进青年教师快速成长。</w:t>
      </w:r>
    </w:p>
    <w:p w14:paraId="3E23C9A0">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五是推进州市党校基础设施共建项目。积极配合州委党校，按照项目工期计划，明确我校项目专班人员职责，加强与州委党校沟通协调，如期完成县级党校分类建设改革工作任务要求。</w:t>
      </w:r>
    </w:p>
    <w:p w14:paraId="106AED81">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二、部门预算单位构成</w:t>
      </w:r>
    </w:p>
    <w:p w14:paraId="0A07CDE7">
      <w:pPr>
        <w:pStyle w:val="8"/>
        <w:widowControl/>
        <w:adjustRightInd w:val="0"/>
        <w:snapToGrid w:val="0"/>
        <w:spacing w:beforeAutospacing="0" w:afterAutospacing="0" w:line="560" w:lineRule="exact"/>
        <w:rPr>
          <w:rFonts w:ascii="仿宋_GB2312" w:hAnsi="仿宋_GB2312" w:eastAsia="仿宋_GB2312" w:cs="仿宋_GB2312"/>
          <w:color w:val="555555"/>
          <w:sz w:val="32"/>
          <w:szCs w:val="32"/>
        </w:rPr>
      </w:pPr>
      <w:r>
        <w:rPr>
          <w:rFonts w:ascii="仿宋_GB2312" w:hAnsi="仿宋_GB2312" w:eastAsia="仿宋_GB2312" w:cs="仿宋_GB2312"/>
          <w:color w:val="555555"/>
          <w:sz w:val="32"/>
          <w:szCs w:val="32"/>
        </w:rPr>
        <w:t xml:space="preserve">     </w:t>
      </w:r>
      <w:r>
        <w:rPr>
          <w:rFonts w:hint="eastAsia" w:ascii="仿宋_GB2312" w:hAnsi="仿宋_GB2312" w:eastAsia="仿宋_GB2312" w:cs="仿宋_GB2312"/>
          <w:color w:val="555555"/>
          <w:sz w:val="32"/>
          <w:szCs w:val="32"/>
        </w:rPr>
        <w:t>西昌市</w:t>
      </w:r>
      <w:r>
        <w:rPr>
          <w:rFonts w:hint="eastAsia" w:ascii="仿宋" w:hAnsi="仿宋" w:eastAsia="仿宋" w:cs="微软雅黑"/>
          <w:color w:val="555555"/>
          <w:sz w:val="32"/>
          <w:szCs w:val="32"/>
          <w:lang w:bidi="ar"/>
        </w:rPr>
        <w:t>委党校</w:t>
      </w:r>
      <w:r>
        <w:rPr>
          <w:rFonts w:hint="eastAsia" w:ascii="仿宋_GB2312" w:hAnsi="仿宋_GB2312" w:eastAsia="仿宋_GB2312" w:cs="仿宋_GB2312"/>
          <w:color w:val="555555"/>
          <w:sz w:val="32"/>
          <w:szCs w:val="32"/>
        </w:rPr>
        <w:t>下属二级预算单位0个。其中行政单位0个；参照公务员法管理的事业单位0个；其他事业单位0个。</w:t>
      </w:r>
    </w:p>
    <w:p w14:paraId="2C3792E3">
      <w:pPr>
        <w:widowControl/>
        <w:adjustRightInd w:val="0"/>
        <w:snapToGrid w:val="0"/>
        <w:spacing w:line="560" w:lineRule="exact"/>
        <w:ind w:firstLine="640" w:firstLineChars="200"/>
        <w:jc w:val="left"/>
        <w:rPr>
          <w:rFonts w:ascii="黑体" w:hAnsi="黑体" w:eastAsia="黑体" w:cs="黑体"/>
          <w:color w:val="FF0000"/>
          <w:kern w:val="0"/>
          <w:sz w:val="32"/>
          <w:szCs w:val="32"/>
          <w:lang w:bidi="ar"/>
        </w:rPr>
      </w:pPr>
      <w:r>
        <w:rPr>
          <w:rFonts w:hint="eastAsia" w:ascii="黑体" w:hAnsi="黑体" w:eastAsia="黑体" w:cs="黑体"/>
          <w:color w:val="555555"/>
          <w:kern w:val="0"/>
          <w:sz w:val="32"/>
          <w:szCs w:val="32"/>
          <w:lang w:bidi="ar"/>
        </w:rPr>
        <w:t>三、收支预算情况说明</w:t>
      </w:r>
    </w:p>
    <w:p w14:paraId="6BCD05B6">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bidi="ar"/>
        </w:rPr>
        <w:t>按照综合预算的原则，</w:t>
      </w:r>
      <w:r>
        <w:rPr>
          <w:rFonts w:hint="eastAsia" w:ascii="仿宋_GB2312" w:hAnsi="仿宋_GB2312" w:eastAsia="仿宋_GB2312" w:cs="仿宋_GB2312"/>
          <w:color w:val="555555"/>
          <w:sz w:val="32"/>
          <w:szCs w:val="32"/>
        </w:rPr>
        <w:t>西昌市</w:t>
      </w:r>
      <w:r>
        <w:rPr>
          <w:rFonts w:hint="eastAsia" w:ascii="仿宋" w:hAnsi="仿宋" w:eastAsia="仿宋" w:cs="微软雅黑"/>
          <w:color w:val="555555"/>
          <w:sz w:val="32"/>
          <w:szCs w:val="32"/>
          <w:lang w:bidi="ar"/>
        </w:rPr>
        <w:t>委党校</w:t>
      </w:r>
      <w:r>
        <w:rPr>
          <w:rFonts w:hint="eastAsia" w:ascii="仿宋_GB2312" w:hAnsi="仿宋_GB2312" w:eastAsia="仿宋_GB2312" w:cs="仿宋_GB2312"/>
          <w:color w:val="555555"/>
          <w:kern w:val="0"/>
          <w:sz w:val="32"/>
          <w:szCs w:val="32"/>
          <w:lang w:bidi="ar"/>
        </w:rPr>
        <w:t>所有收入和支出均纳入部门预算管理。收入包括：一般公共预算拨款收入；支出包括：一般公共服务支出、教育支出、社会保障和就业支出，卫生健康支出，住房保障支出。</w:t>
      </w:r>
      <w:bookmarkStart w:id="1" w:name="OLE_LINK2"/>
      <w:r>
        <w:rPr>
          <w:rFonts w:hint="eastAsia" w:ascii="仿宋_GB2312" w:hAnsi="仿宋_GB2312" w:eastAsia="仿宋_GB2312" w:cs="仿宋_GB2312"/>
          <w:color w:val="555555"/>
          <w:kern w:val="0"/>
          <w:sz w:val="32"/>
          <w:szCs w:val="32"/>
          <w:lang w:val="en-US" w:eastAsia="zh-CN" w:bidi="ar"/>
        </w:rPr>
        <w:t>西昌市委党校</w:t>
      </w:r>
      <w:bookmarkEnd w:id="1"/>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年收支总预算</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万元,比202</w:t>
      </w:r>
      <w:r>
        <w:rPr>
          <w:rFonts w:hint="eastAsia" w:ascii="仿宋_GB2312" w:hAnsi="仿宋_GB2312" w:eastAsia="仿宋_GB2312" w:cs="仿宋_GB2312"/>
          <w:color w:val="555555"/>
          <w:kern w:val="0"/>
          <w:sz w:val="32"/>
          <w:szCs w:val="32"/>
          <w:lang w:val="en-US" w:eastAsia="zh-CN" w:bidi="ar"/>
        </w:rPr>
        <w:t>5</w:t>
      </w:r>
      <w:r>
        <w:rPr>
          <w:rFonts w:hint="eastAsia" w:ascii="仿宋_GB2312" w:hAnsi="仿宋_GB2312" w:eastAsia="仿宋_GB2312" w:cs="仿宋_GB2312"/>
          <w:color w:val="555555"/>
          <w:kern w:val="0"/>
          <w:sz w:val="32"/>
          <w:szCs w:val="32"/>
          <w:lang w:bidi="ar"/>
        </w:rPr>
        <w:t>年收支预算总数</w:t>
      </w:r>
      <w:r>
        <w:rPr>
          <w:rFonts w:hint="eastAsia" w:ascii="仿宋_GB2312" w:hAnsi="仿宋_GB2312" w:eastAsia="仿宋_GB2312" w:cs="仿宋_GB2312"/>
          <w:color w:val="555555"/>
          <w:kern w:val="0"/>
          <w:sz w:val="32"/>
          <w:szCs w:val="32"/>
          <w:lang w:val="en-US" w:eastAsia="zh-CN" w:bidi="ar"/>
        </w:rPr>
        <w:t>增加5781.19</w:t>
      </w:r>
      <w:r>
        <w:rPr>
          <w:rFonts w:hint="eastAsia" w:ascii="仿宋_GB2312" w:hAnsi="仿宋_GB2312" w:eastAsia="仿宋_GB2312" w:cs="仿宋_GB2312"/>
          <w:color w:val="555555"/>
          <w:kern w:val="0"/>
          <w:sz w:val="32"/>
          <w:szCs w:val="32"/>
          <w:lang w:bidi="ar"/>
        </w:rPr>
        <w:t>万元，主要原因是</w:t>
      </w:r>
      <w:bookmarkStart w:id="2" w:name="OLE_LINK4"/>
      <w:r>
        <w:rPr>
          <w:rFonts w:hint="eastAsia" w:ascii="仿宋_GB2312" w:hAnsi="仿宋_GB2312" w:eastAsia="仿宋_GB2312" w:cs="仿宋_GB2312"/>
          <w:color w:val="555555"/>
          <w:kern w:val="0"/>
          <w:sz w:val="32"/>
          <w:szCs w:val="32"/>
          <w:lang w:val="en-US" w:eastAsia="zh-CN" w:bidi="ar"/>
        </w:rPr>
        <w:t>我校将于2026年</w:t>
      </w:r>
      <w:r>
        <w:rPr>
          <w:rFonts w:hint="eastAsia" w:ascii="仿宋" w:hAnsi="仿宋" w:eastAsia="仿宋" w:cs="微软雅黑"/>
          <w:color w:val="555555"/>
          <w:kern w:val="0"/>
          <w:sz w:val="32"/>
          <w:szCs w:val="32"/>
          <w:lang w:val="en-US" w:eastAsia="zh-CN" w:bidi="ar"/>
        </w:rPr>
        <w:t>推进州市党校基础设施共建项目，积极配合州委党校，按照项目工期计划</w:t>
      </w:r>
      <w:r>
        <w:rPr>
          <w:rFonts w:hint="eastAsia" w:ascii="仿宋_GB2312" w:hAnsi="仿宋_GB2312" w:eastAsia="仿宋_GB2312" w:cs="仿宋_GB2312"/>
          <w:color w:val="555555"/>
          <w:kern w:val="0"/>
          <w:sz w:val="32"/>
          <w:szCs w:val="32"/>
          <w:lang w:bidi="ar"/>
        </w:rPr>
        <w:t>。</w:t>
      </w:r>
      <w:bookmarkEnd w:id="2"/>
    </w:p>
    <w:p w14:paraId="51BE65D0">
      <w:pPr>
        <w:widowControl/>
        <w:adjustRightInd w:val="0"/>
        <w:snapToGrid w:val="0"/>
        <w:spacing w:line="560" w:lineRule="exact"/>
        <w:ind w:firstLine="640" w:firstLineChars="200"/>
        <w:jc w:val="left"/>
        <w:rPr>
          <w:rFonts w:ascii="楷体_GB2312" w:hAnsi="楷体_GB2312" w:eastAsia="楷体_GB2312" w:cs="楷体_GB2312"/>
          <w:color w:val="555555"/>
          <w:sz w:val="32"/>
          <w:szCs w:val="32"/>
        </w:rPr>
      </w:pPr>
      <w:r>
        <w:rPr>
          <w:rFonts w:hint="eastAsia" w:ascii="楷体_GB2312" w:hAnsi="楷体_GB2312" w:eastAsia="楷体_GB2312" w:cs="楷体_GB2312"/>
          <w:color w:val="555555"/>
          <w:sz w:val="32"/>
          <w:szCs w:val="32"/>
        </w:rPr>
        <w:t>（一）收入预算情况。</w:t>
      </w:r>
    </w:p>
    <w:p w14:paraId="5A8FD618">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6年收入预算</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万元，其中：上年结转</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 %；</w:t>
      </w:r>
      <w:r>
        <w:rPr>
          <w:rFonts w:ascii="仿宋_GB2312" w:hAnsi="仿宋_GB2312" w:eastAsia="仿宋_GB2312" w:cs="仿宋_GB2312"/>
          <w:color w:val="555555"/>
          <w:kern w:val="0"/>
          <w:sz w:val="32"/>
          <w:szCs w:val="32"/>
          <w:lang w:bidi="ar"/>
        </w:rPr>
        <w:t>本年</w:t>
      </w:r>
      <w:r>
        <w:rPr>
          <w:rFonts w:hint="eastAsia" w:ascii="仿宋_GB2312" w:hAnsi="仿宋_GB2312" w:eastAsia="仿宋_GB2312" w:cs="仿宋_GB2312"/>
          <w:color w:val="555555"/>
          <w:kern w:val="0"/>
          <w:sz w:val="32"/>
          <w:szCs w:val="32"/>
          <w:lang w:bidi="ar"/>
        </w:rPr>
        <w:t>一般公共预算拨款收入</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100</w:t>
      </w:r>
      <w:r>
        <w:rPr>
          <w:rFonts w:hint="eastAsia" w:ascii="仿宋_GB2312" w:hAnsi="仿宋_GB2312" w:eastAsia="仿宋_GB2312" w:cs="仿宋_GB2312"/>
          <w:color w:val="555555"/>
          <w:kern w:val="0"/>
          <w:sz w:val="32"/>
          <w:szCs w:val="32"/>
          <w:lang w:bidi="ar"/>
        </w:rPr>
        <w:t>%；</w:t>
      </w:r>
      <w:r>
        <w:rPr>
          <w:rFonts w:ascii="仿宋_GB2312" w:hAnsi="仿宋_GB2312" w:eastAsia="仿宋_GB2312" w:cs="仿宋_GB2312"/>
          <w:color w:val="555555"/>
          <w:kern w:val="0"/>
          <w:sz w:val="32"/>
          <w:szCs w:val="32"/>
          <w:lang w:bidi="ar"/>
        </w:rPr>
        <w:t>政府性基金预算拨款收入</w:t>
      </w:r>
      <w:r>
        <w:rPr>
          <w:rFonts w:hint="eastAsia" w:ascii="仿宋_GB2312" w:hAnsi="仿宋_GB2312" w:eastAsia="仿宋_GB2312" w:cs="仿宋_GB2312"/>
          <w:color w:val="555555"/>
          <w:kern w:val="0"/>
          <w:sz w:val="32"/>
          <w:szCs w:val="32"/>
          <w:lang w:val="en-US" w:eastAsia="zh-CN" w:bidi="ar"/>
        </w:rPr>
        <w:t>0</w:t>
      </w:r>
      <w:r>
        <w:rPr>
          <w:rFonts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w:t>
      </w:r>
      <w:r>
        <w:rPr>
          <w:rFonts w:ascii="仿宋_GB2312" w:hAnsi="仿宋_GB2312" w:eastAsia="仿宋_GB2312" w:cs="仿宋_GB2312"/>
          <w:color w:val="555555"/>
          <w:kern w:val="0"/>
          <w:sz w:val="32"/>
          <w:szCs w:val="32"/>
          <w:lang w:bidi="ar"/>
        </w:rPr>
        <w:t>；</w:t>
      </w:r>
      <w:r>
        <w:rPr>
          <w:rFonts w:hint="eastAsia" w:ascii="仿宋_GB2312" w:hAnsi="仿宋_GB2312" w:eastAsia="仿宋_GB2312" w:cs="仿宋_GB2312"/>
          <w:color w:val="555555"/>
          <w:kern w:val="0"/>
          <w:sz w:val="32"/>
          <w:szCs w:val="32"/>
          <w:lang w:bidi="ar"/>
        </w:rPr>
        <w:t>事业收入</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%；其他收入</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w:t>
      </w:r>
    </w:p>
    <w:p w14:paraId="08218C51">
      <w:pPr>
        <w:widowControl/>
        <w:adjustRightInd w:val="0"/>
        <w:snapToGrid w:val="0"/>
        <w:spacing w:line="560" w:lineRule="exact"/>
        <w:ind w:firstLine="640" w:firstLineChars="200"/>
        <w:jc w:val="left"/>
        <w:rPr>
          <w:rFonts w:ascii="楷体_GB2312" w:hAnsi="楷体_GB2312" w:eastAsia="楷体_GB2312" w:cs="楷体_GB2312"/>
          <w:color w:val="555555"/>
          <w:sz w:val="32"/>
          <w:szCs w:val="32"/>
        </w:rPr>
      </w:pPr>
      <w:r>
        <w:rPr>
          <w:rFonts w:hint="eastAsia" w:ascii="楷体_GB2312" w:hAnsi="楷体_GB2312" w:eastAsia="楷体_GB2312" w:cs="楷体_GB2312"/>
          <w:color w:val="555555"/>
          <w:sz w:val="32"/>
          <w:szCs w:val="32"/>
        </w:rPr>
        <w:t>（二）支出预算情况。</w:t>
      </w:r>
    </w:p>
    <w:p w14:paraId="1ED768EC">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6年支出预算</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万元，其中：基本支出</w:t>
      </w:r>
      <w:r>
        <w:rPr>
          <w:rFonts w:hint="eastAsia" w:ascii="仿宋_GB2312" w:hAnsi="仿宋_GB2312" w:eastAsia="仿宋_GB2312" w:cs="仿宋_GB2312"/>
          <w:color w:val="555555"/>
          <w:kern w:val="0"/>
          <w:sz w:val="32"/>
          <w:szCs w:val="32"/>
          <w:lang w:val="en-US" w:eastAsia="zh-CN" w:bidi="ar"/>
        </w:rPr>
        <w:t>580.19</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4.9</w:t>
      </w:r>
      <w:r>
        <w:rPr>
          <w:rFonts w:hint="eastAsia" w:ascii="仿宋_GB2312" w:hAnsi="仿宋_GB2312" w:eastAsia="仿宋_GB2312" w:cs="仿宋_GB2312"/>
          <w:color w:val="555555"/>
          <w:kern w:val="0"/>
          <w:sz w:val="32"/>
          <w:szCs w:val="32"/>
          <w:lang w:bidi="ar"/>
        </w:rPr>
        <w:t>%；项目支出</w:t>
      </w:r>
      <w:r>
        <w:rPr>
          <w:rFonts w:hint="eastAsia" w:ascii="仿宋_GB2312" w:hAnsi="仿宋_GB2312" w:eastAsia="仿宋_GB2312" w:cs="仿宋_GB2312"/>
          <w:color w:val="555555"/>
          <w:kern w:val="0"/>
          <w:sz w:val="32"/>
          <w:szCs w:val="32"/>
          <w:lang w:val="en-US" w:eastAsia="zh-CN" w:bidi="ar"/>
        </w:rPr>
        <w:t>11241.84</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95.1</w:t>
      </w:r>
      <w:r>
        <w:rPr>
          <w:rFonts w:hint="eastAsia" w:ascii="仿宋_GB2312" w:hAnsi="仿宋_GB2312" w:eastAsia="仿宋_GB2312" w:cs="仿宋_GB2312"/>
          <w:color w:val="555555"/>
          <w:kern w:val="0"/>
          <w:sz w:val="32"/>
          <w:szCs w:val="32"/>
          <w:lang w:bidi="ar"/>
        </w:rPr>
        <w:t>%。</w:t>
      </w:r>
    </w:p>
    <w:p w14:paraId="67FD9CA5">
      <w:pPr>
        <w:widowControl/>
        <w:adjustRightInd w:val="0"/>
        <w:snapToGrid w:val="0"/>
        <w:spacing w:line="560" w:lineRule="exact"/>
        <w:ind w:firstLine="640" w:firstLineChars="200"/>
        <w:jc w:val="left"/>
        <w:rPr>
          <w:rFonts w:ascii="黑体" w:hAnsi="黑体" w:eastAsia="黑体" w:cs="黑体"/>
          <w:color w:val="555555"/>
          <w:sz w:val="32"/>
          <w:szCs w:val="32"/>
        </w:rPr>
      </w:pPr>
      <w:r>
        <w:rPr>
          <w:rFonts w:hint="eastAsia" w:ascii="黑体" w:hAnsi="黑体" w:eastAsia="黑体" w:cs="黑体"/>
          <w:color w:val="555555"/>
          <w:kern w:val="0"/>
          <w:sz w:val="32"/>
          <w:szCs w:val="32"/>
          <w:lang w:bidi="ar"/>
        </w:rPr>
        <w:t>四、财政拨款收支预算情况说明</w:t>
      </w:r>
    </w:p>
    <w:p w14:paraId="03D606D0">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6年财政拨款收支总预算</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万元,比</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5年财政拨款收支总预算增加</w:t>
      </w:r>
      <w:r>
        <w:rPr>
          <w:rFonts w:hint="eastAsia" w:ascii="仿宋_GB2312" w:hAnsi="仿宋_GB2312" w:eastAsia="仿宋_GB2312" w:cs="仿宋_GB2312"/>
          <w:color w:val="555555"/>
          <w:kern w:val="0"/>
          <w:sz w:val="32"/>
          <w:szCs w:val="32"/>
          <w:lang w:val="en-US" w:eastAsia="zh-CN" w:bidi="ar"/>
        </w:rPr>
        <w:t>5781.19</w:t>
      </w:r>
      <w:r>
        <w:rPr>
          <w:rFonts w:hint="eastAsia" w:ascii="仿宋_GB2312" w:hAnsi="仿宋_GB2312" w:eastAsia="仿宋_GB2312" w:cs="仿宋_GB2312"/>
          <w:color w:val="555555"/>
          <w:kern w:val="0"/>
          <w:sz w:val="32"/>
          <w:szCs w:val="32"/>
          <w:lang w:bidi="ar"/>
        </w:rPr>
        <w:t>万元，扣除上年结转资金、一次性安排等因素后，同口径增加</w:t>
      </w:r>
      <w:r>
        <w:rPr>
          <w:rFonts w:hint="eastAsia" w:ascii="仿宋_GB2312" w:hAnsi="仿宋_GB2312" w:eastAsia="仿宋_GB2312" w:cs="仿宋_GB2312"/>
          <w:color w:val="555555"/>
          <w:kern w:val="0"/>
          <w:sz w:val="32"/>
          <w:szCs w:val="32"/>
          <w:lang w:val="en-US" w:eastAsia="zh-CN" w:bidi="ar"/>
        </w:rPr>
        <w:t>5781.19</w:t>
      </w:r>
      <w:r>
        <w:rPr>
          <w:rFonts w:hint="eastAsia" w:ascii="仿宋_GB2312" w:hAnsi="仿宋_GB2312" w:eastAsia="仿宋_GB2312" w:cs="仿宋_GB2312"/>
          <w:color w:val="555555"/>
          <w:kern w:val="0"/>
          <w:sz w:val="32"/>
          <w:szCs w:val="32"/>
          <w:lang w:bidi="ar"/>
        </w:rPr>
        <w:t>万元，主要原因是</w:t>
      </w:r>
      <w:r>
        <w:rPr>
          <w:rFonts w:hint="eastAsia" w:ascii="仿宋_GB2312" w:hAnsi="仿宋_GB2312" w:eastAsia="仿宋_GB2312" w:cs="仿宋_GB2312"/>
          <w:color w:val="555555"/>
          <w:kern w:val="0"/>
          <w:sz w:val="32"/>
          <w:szCs w:val="32"/>
          <w:lang w:val="en-US" w:eastAsia="zh-CN" w:bidi="ar"/>
        </w:rPr>
        <w:t>我校将于2026年</w:t>
      </w:r>
      <w:r>
        <w:rPr>
          <w:rFonts w:hint="eastAsia" w:ascii="仿宋" w:hAnsi="仿宋" w:eastAsia="仿宋" w:cs="微软雅黑"/>
          <w:color w:val="555555"/>
          <w:kern w:val="0"/>
          <w:sz w:val="32"/>
          <w:szCs w:val="32"/>
          <w:lang w:val="en-US" w:eastAsia="zh-CN" w:bidi="ar"/>
        </w:rPr>
        <w:t>推进州市党校基础设施共建项目，积极配合州委党校，按照项目工期计划</w:t>
      </w:r>
      <w:r>
        <w:rPr>
          <w:rFonts w:hint="eastAsia" w:ascii="仿宋_GB2312" w:hAnsi="仿宋_GB2312" w:eastAsia="仿宋_GB2312" w:cs="仿宋_GB2312"/>
          <w:color w:val="555555"/>
          <w:kern w:val="0"/>
          <w:sz w:val="32"/>
          <w:szCs w:val="32"/>
          <w:lang w:bidi="ar"/>
        </w:rPr>
        <w:t>。</w:t>
      </w:r>
    </w:p>
    <w:p w14:paraId="42F67FC8">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收入包括：本年一般公共预算拨款收入</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w:t>
      </w:r>
      <w:r>
        <w:rPr>
          <w:rFonts w:ascii="仿宋_GB2312" w:hAnsi="仿宋_GB2312" w:eastAsia="仿宋_GB2312" w:cs="仿宋_GB2312"/>
          <w:color w:val="555555"/>
          <w:kern w:val="0"/>
          <w:sz w:val="32"/>
          <w:szCs w:val="32"/>
          <w:lang w:bidi="ar"/>
        </w:rPr>
        <w:t>。</w:t>
      </w:r>
    </w:p>
    <w:p w14:paraId="39FE2854">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支出包括：一般公共服务支出</w:t>
      </w:r>
      <w:r>
        <w:rPr>
          <w:rFonts w:hint="eastAsia" w:ascii="仿宋_GB2312" w:hAnsi="仿宋_GB2312" w:eastAsia="仿宋_GB2312" w:cs="仿宋_GB2312"/>
          <w:color w:val="555555"/>
          <w:kern w:val="0"/>
          <w:sz w:val="32"/>
          <w:szCs w:val="32"/>
          <w:lang w:val="en-US" w:eastAsia="zh-CN" w:bidi="ar"/>
        </w:rPr>
        <w:t>159.29万元</w:t>
      </w:r>
      <w:r>
        <w:rPr>
          <w:rFonts w:hint="eastAsia" w:ascii="仿宋_GB2312" w:hAnsi="仿宋_GB2312" w:eastAsia="仿宋_GB2312" w:cs="仿宋_GB2312"/>
          <w:color w:val="555555"/>
          <w:kern w:val="0"/>
          <w:sz w:val="32"/>
          <w:szCs w:val="32"/>
          <w:lang w:bidi="ar"/>
        </w:rPr>
        <w:t>、教育支出</w:t>
      </w:r>
      <w:r>
        <w:rPr>
          <w:rFonts w:hint="eastAsia" w:ascii="仿宋_GB2312" w:hAnsi="仿宋_GB2312" w:eastAsia="仿宋_GB2312" w:cs="仿宋_GB2312"/>
          <w:color w:val="555555"/>
          <w:kern w:val="0"/>
          <w:sz w:val="32"/>
          <w:szCs w:val="32"/>
          <w:lang w:val="en-US" w:eastAsia="zh-CN" w:bidi="ar"/>
        </w:rPr>
        <w:t>11488.94万元</w:t>
      </w:r>
      <w:r>
        <w:rPr>
          <w:rFonts w:hint="eastAsia" w:ascii="仿宋_GB2312" w:hAnsi="仿宋_GB2312" w:eastAsia="仿宋_GB2312" w:cs="仿宋_GB2312"/>
          <w:color w:val="555555"/>
          <w:kern w:val="0"/>
          <w:sz w:val="32"/>
          <w:szCs w:val="32"/>
          <w:lang w:bidi="ar"/>
        </w:rPr>
        <w:t>、社会保障和就业支出</w:t>
      </w:r>
      <w:r>
        <w:rPr>
          <w:rFonts w:hint="eastAsia" w:ascii="仿宋_GB2312" w:hAnsi="仿宋_GB2312" w:eastAsia="仿宋_GB2312" w:cs="仿宋_GB2312"/>
          <w:color w:val="555555"/>
          <w:kern w:val="0"/>
          <w:sz w:val="32"/>
          <w:szCs w:val="32"/>
          <w:lang w:val="en-US" w:eastAsia="zh-CN" w:bidi="ar"/>
        </w:rPr>
        <w:t>92.53</w:t>
      </w:r>
      <w:r>
        <w:rPr>
          <w:rFonts w:hint="eastAsia" w:ascii="仿宋_GB2312" w:hAnsi="仿宋_GB2312" w:eastAsia="仿宋_GB2312" w:cs="仿宋_GB2312"/>
          <w:color w:val="555555"/>
          <w:kern w:val="0"/>
          <w:sz w:val="32"/>
          <w:szCs w:val="32"/>
          <w:lang w:bidi="ar"/>
        </w:rPr>
        <w:t>万元，卫生健康支出</w:t>
      </w:r>
      <w:r>
        <w:rPr>
          <w:rFonts w:hint="eastAsia" w:ascii="仿宋_GB2312" w:hAnsi="仿宋_GB2312" w:eastAsia="仿宋_GB2312" w:cs="仿宋_GB2312"/>
          <w:color w:val="555555"/>
          <w:kern w:val="0"/>
          <w:sz w:val="32"/>
          <w:szCs w:val="32"/>
          <w:lang w:val="en-US" w:eastAsia="zh-CN" w:bidi="ar"/>
        </w:rPr>
        <w:t>39.2</w:t>
      </w:r>
      <w:r>
        <w:rPr>
          <w:rFonts w:hint="eastAsia" w:ascii="仿宋_GB2312" w:hAnsi="仿宋_GB2312" w:eastAsia="仿宋_GB2312" w:cs="仿宋_GB2312"/>
          <w:color w:val="555555"/>
          <w:kern w:val="0"/>
          <w:sz w:val="32"/>
          <w:szCs w:val="32"/>
          <w:lang w:bidi="ar"/>
        </w:rPr>
        <w:t>万元，住房保障支出</w:t>
      </w:r>
      <w:r>
        <w:rPr>
          <w:rFonts w:hint="eastAsia" w:ascii="仿宋_GB2312" w:hAnsi="仿宋_GB2312" w:eastAsia="仿宋_GB2312" w:cs="仿宋_GB2312"/>
          <w:color w:val="555555"/>
          <w:kern w:val="0"/>
          <w:sz w:val="32"/>
          <w:szCs w:val="32"/>
          <w:lang w:val="en-US" w:eastAsia="zh-CN" w:bidi="ar"/>
        </w:rPr>
        <w:t>42.07</w:t>
      </w:r>
      <w:r>
        <w:rPr>
          <w:rFonts w:hint="eastAsia" w:ascii="仿宋_GB2312" w:hAnsi="仿宋_GB2312" w:eastAsia="仿宋_GB2312" w:cs="仿宋_GB2312"/>
          <w:color w:val="555555"/>
          <w:kern w:val="0"/>
          <w:sz w:val="32"/>
          <w:szCs w:val="32"/>
          <w:lang w:bidi="ar"/>
        </w:rPr>
        <w:t>万元。</w:t>
      </w:r>
    </w:p>
    <w:p w14:paraId="1F03173D">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五、一般公共预算当年拨款情况说明</w:t>
      </w:r>
    </w:p>
    <w:p w14:paraId="2E306390">
      <w:pPr>
        <w:pStyle w:val="8"/>
        <w:widowControl/>
        <w:adjustRightInd w:val="0"/>
        <w:snapToGrid w:val="0"/>
        <w:spacing w:before="130" w:beforeAutospacing="0" w:afterAutospacing="0" w:line="560" w:lineRule="exact"/>
        <w:ind w:firstLine="640" w:firstLineChars="200"/>
        <w:rPr>
          <w:rFonts w:ascii="楷体_GB2312" w:hAnsi="楷体_GB2312" w:eastAsia="楷体_GB2312" w:cs="楷体_GB2312"/>
          <w:color w:val="555555"/>
          <w:kern w:val="2"/>
          <w:sz w:val="32"/>
          <w:szCs w:val="32"/>
        </w:rPr>
      </w:pPr>
      <w:r>
        <w:rPr>
          <w:rFonts w:hint="eastAsia" w:ascii="楷体_GB2312" w:hAnsi="楷体_GB2312" w:eastAsia="楷体_GB2312" w:cs="楷体_GB2312"/>
          <w:color w:val="555555"/>
          <w:kern w:val="2"/>
          <w:sz w:val="32"/>
          <w:szCs w:val="32"/>
        </w:rPr>
        <w:t>（一）一般公共预算当年拨款规模变化情况。</w:t>
      </w:r>
    </w:p>
    <w:p w14:paraId="2629E172">
      <w:pPr>
        <w:widowControl/>
        <w:adjustRightInd w:val="0"/>
        <w:snapToGrid w:val="0"/>
        <w:spacing w:line="560" w:lineRule="exact"/>
        <w:ind w:firstLine="64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6年一般公共预算当年拨款</w:t>
      </w:r>
      <w:r>
        <w:rPr>
          <w:rFonts w:hint="eastAsia" w:ascii="仿宋_GB2312" w:hAnsi="仿宋_GB2312" w:eastAsia="仿宋_GB2312" w:cs="仿宋_GB2312"/>
          <w:color w:val="555555"/>
          <w:kern w:val="0"/>
          <w:sz w:val="32"/>
          <w:szCs w:val="32"/>
          <w:lang w:val="en-US" w:eastAsia="zh-CN" w:bidi="ar"/>
        </w:rPr>
        <w:t>11822.03</w:t>
      </w:r>
    </w:p>
    <w:p w14:paraId="6F7AA833">
      <w:pPr>
        <w:widowControl/>
        <w:adjustRightInd w:val="0"/>
        <w:snapToGrid w:val="0"/>
        <w:spacing w:line="560" w:lineRule="exact"/>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bidi="ar"/>
        </w:rPr>
        <w:t>万元，比</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5年预算数增</w:t>
      </w:r>
      <w:r>
        <w:rPr>
          <w:rFonts w:hint="eastAsia" w:ascii="仿宋_GB2312" w:hAnsi="仿宋_GB2312" w:eastAsia="仿宋_GB2312" w:cs="仿宋_GB2312"/>
          <w:color w:val="555555"/>
          <w:kern w:val="0"/>
          <w:sz w:val="32"/>
          <w:szCs w:val="32"/>
          <w:lang w:val="en-US" w:eastAsia="zh-CN" w:bidi="ar"/>
        </w:rPr>
        <w:t>加5781.19</w:t>
      </w:r>
      <w:r>
        <w:rPr>
          <w:rFonts w:hint="eastAsia" w:ascii="仿宋_GB2312" w:hAnsi="仿宋_GB2312" w:eastAsia="仿宋_GB2312" w:cs="仿宋_GB2312"/>
          <w:color w:val="555555"/>
          <w:kern w:val="0"/>
          <w:sz w:val="32"/>
          <w:szCs w:val="32"/>
          <w:lang w:bidi="ar"/>
        </w:rPr>
        <w:t>万元，主要原因是</w:t>
      </w:r>
      <w:r>
        <w:rPr>
          <w:rFonts w:hint="eastAsia" w:ascii="仿宋_GB2312" w:hAnsi="仿宋_GB2312" w:eastAsia="仿宋_GB2312" w:cs="仿宋_GB2312"/>
          <w:color w:val="555555"/>
          <w:kern w:val="0"/>
          <w:sz w:val="32"/>
          <w:szCs w:val="32"/>
          <w:lang w:val="en-US" w:eastAsia="zh-CN" w:bidi="ar"/>
        </w:rPr>
        <w:t>我校将于2026年</w:t>
      </w:r>
      <w:r>
        <w:rPr>
          <w:rFonts w:hint="eastAsia" w:ascii="仿宋" w:hAnsi="仿宋" w:eastAsia="仿宋" w:cs="微软雅黑"/>
          <w:color w:val="555555"/>
          <w:kern w:val="0"/>
          <w:sz w:val="32"/>
          <w:szCs w:val="32"/>
          <w:lang w:val="en-US" w:eastAsia="zh-CN" w:bidi="ar"/>
        </w:rPr>
        <w:t>推进州市党校基础设施共建项目，积极配合州委党校，按照项目工期计划</w:t>
      </w:r>
      <w:r>
        <w:rPr>
          <w:rFonts w:hint="eastAsia" w:ascii="仿宋_GB2312" w:hAnsi="仿宋_GB2312" w:eastAsia="仿宋_GB2312" w:cs="仿宋_GB2312"/>
          <w:color w:val="555555"/>
          <w:kern w:val="0"/>
          <w:sz w:val="32"/>
          <w:szCs w:val="32"/>
          <w:lang w:bidi="ar"/>
        </w:rPr>
        <w:t>。</w:t>
      </w:r>
    </w:p>
    <w:p w14:paraId="29FDEB6C">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楷体_GB2312" w:hAnsi="楷体_GB2312" w:eastAsia="楷体_GB2312" w:cs="楷体_GB2312"/>
          <w:color w:val="555555"/>
          <w:sz w:val="32"/>
          <w:szCs w:val="32"/>
        </w:rPr>
        <w:t>（二）一般公共预算当年拨款结构情况。</w:t>
      </w:r>
    </w:p>
    <w:p w14:paraId="38D66B9F">
      <w:pPr>
        <w:widowControl/>
        <w:adjustRightInd w:val="0"/>
        <w:snapToGrid w:val="0"/>
        <w:spacing w:line="560" w:lineRule="exact"/>
        <w:jc w:val="left"/>
        <w:rPr>
          <w:rFonts w:hint="eastAsia" w:ascii="仿宋_GB2312" w:hAnsi="仿宋_GB2312" w:cs="仿宋_GB2312" w:eastAsiaTheme="minorEastAsia"/>
          <w:color w:val="555555"/>
          <w:sz w:val="32"/>
          <w:szCs w:val="32"/>
          <w:lang w:val="en-US" w:eastAsia="zh-CN"/>
        </w:rPr>
      </w:pPr>
      <w:r>
        <w:rPr>
          <w:rFonts w:ascii="仿宋_GB2312" w:hAnsi="仿宋_GB2312" w:eastAsia="仿宋_GB2312" w:cs="仿宋_GB2312"/>
          <w:color w:val="555555"/>
          <w:kern w:val="0"/>
          <w:sz w:val="32"/>
          <w:szCs w:val="32"/>
          <w:lang w:bidi="ar"/>
        </w:rPr>
        <w:t xml:space="preserve">    一般公共服务支出</w:t>
      </w:r>
      <w:r>
        <w:rPr>
          <w:rFonts w:hint="eastAsia" w:ascii="仿宋_GB2312" w:hAnsi="仿宋_GB2312" w:eastAsia="仿宋_GB2312" w:cs="仿宋_GB2312"/>
          <w:color w:val="555555"/>
          <w:kern w:val="0"/>
          <w:sz w:val="32"/>
          <w:szCs w:val="32"/>
          <w:lang w:val="en-US" w:eastAsia="zh-CN" w:bidi="ar"/>
        </w:rPr>
        <w:t>159.29</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1.35</w:t>
      </w:r>
      <w:r>
        <w:rPr>
          <w:rFonts w:hint="eastAsia" w:ascii="仿宋_GB2312" w:hAnsi="仿宋_GB2312" w:eastAsia="仿宋_GB2312" w:cs="仿宋_GB2312"/>
          <w:color w:val="555555"/>
          <w:kern w:val="0"/>
          <w:sz w:val="32"/>
          <w:szCs w:val="32"/>
          <w:lang w:bidi="ar"/>
        </w:rPr>
        <w:t>%；教育支出</w:t>
      </w:r>
      <w:r>
        <w:rPr>
          <w:rFonts w:hint="eastAsia" w:ascii="仿宋_GB2312" w:hAnsi="仿宋_GB2312" w:eastAsia="仿宋_GB2312" w:cs="仿宋_GB2312"/>
          <w:color w:val="555555"/>
          <w:kern w:val="0"/>
          <w:sz w:val="32"/>
          <w:szCs w:val="32"/>
          <w:lang w:val="en-US" w:eastAsia="zh-CN" w:bidi="ar"/>
        </w:rPr>
        <w:t>11488.94万元，</w:t>
      </w:r>
      <w:r>
        <w:rPr>
          <w:rFonts w:hint="eastAsia" w:ascii="仿宋_GB2312" w:hAnsi="仿宋_GB2312" w:eastAsia="仿宋_GB2312" w:cs="仿宋_GB2312"/>
          <w:color w:val="555555"/>
          <w:kern w:val="0"/>
          <w:sz w:val="32"/>
          <w:szCs w:val="32"/>
          <w:lang w:bidi="ar"/>
        </w:rPr>
        <w:t>占</w:t>
      </w:r>
      <w:r>
        <w:rPr>
          <w:rFonts w:hint="eastAsia" w:ascii="仿宋_GB2312" w:hAnsi="仿宋_GB2312" w:eastAsia="仿宋_GB2312" w:cs="仿宋_GB2312"/>
          <w:color w:val="555555"/>
          <w:kern w:val="0"/>
          <w:sz w:val="32"/>
          <w:szCs w:val="32"/>
          <w:lang w:val="en-US" w:eastAsia="zh-CN" w:bidi="ar"/>
        </w:rPr>
        <w:t>97.18</w:t>
      </w:r>
      <w:r>
        <w:rPr>
          <w:rFonts w:hint="eastAsia" w:ascii="仿宋_GB2312" w:hAnsi="仿宋_GB2312" w:eastAsia="仿宋_GB2312" w:cs="仿宋_GB2312"/>
          <w:color w:val="555555"/>
          <w:kern w:val="0"/>
          <w:sz w:val="32"/>
          <w:szCs w:val="32"/>
          <w:lang w:bidi="ar"/>
        </w:rPr>
        <w:t>%、社会保障和就业支出</w:t>
      </w:r>
      <w:r>
        <w:rPr>
          <w:rFonts w:hint="eastAsia" w:ascii="仿宋_GB2312" w:hAnsi="仿宋_GB2312" w:eastAsia="仿宋_GB2312" w:cs="仿宋_GB2312"/>
          <w:color w:val="555555"/>
          <w:kern w:val="0"/>
          <w:sz w:val="32"/>
          <w:szCs w:val="32"/>
          <w:lang w:val="en-US" w:eastAsia="zh-CN" w:bidi="ar"/>
        </w:rPr>
        <w:t>92.53</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0.78</w:t>
      </w:r>
      <w:r>
        <w:rPr>
          <w:rFonts w:hint="eastAsia" w:ascii="仿宋_GB2312" w:hAnsi="仿宋_GB2312" w:eastAsia="仿宋_GB2312" w:cs="仿宋_GB2312"/>
          <w:color w:val="555555"/>
          <w:kern w:val="0"/>
          <w:sz w:val="32"/>
          <w:szCs w:val="32"/>
          <w:lang w:bidi="ar"/>
        </w:rPr>
        <w:t>%</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bidi="ar"/>
        </w:rPr>
        <w:t>卫生健康支出</w:t>
      </w:r>
      <w:r>
        <w:rPr>
          <w:rFonts w:hint="eastAsia" w:ascii="仿宋_GB2312" w:hAnsi="仿宋_GB2312" w:eastAsia="仿宋_GB2312" w:cs="仿宋_GB2312"/>
          <w:color w:val="555555"/>
          <w:kern w:val="0"/>
          <w:sz w:val="32"/>
          <w:szCs w:val="32"/>
          <w:lang w:val="en-US" w:eastAsia="zh-CN" w:bidi="ar"/>
        </w:rPr>
        <w:t>39.2</w:t>
      </w:r>
      <w:r>
        <w:rPr>
          <w:rFonts w:hint="eastAsia" w:ascii="仿宋_GB2312" w:hAnsi="仿宋_GB2312" w:eastAsia="仿宋_GB2312" w:cs="仿宋_GB2312"/>
          <w:color w:val="555555"/>
          <w:kern w:val="0"/>
          <w:sz w:val="32"/>
          <w:szCs w:val="32"/>
          <w:lang w:bidi="ar"/>
        </w:rPr>
        <w:t>万元，占</w:t>
      </w:r>
      <w:r>
        <w:rPr>
          <w:rFonts w:hint="eastAsia" w:ascii="仿宋_GB2312" w:hAnsi="仿宋_GB2312" w:eastAsia="仿宋_GB2312" w:cs="仿宋_GB2312"/>
          <w:color w:val="555555"/>
          <w:kern w:val="0"/>
          <w:sz w:val="32"/>
          <w:szCs w:val="32"/>
          <w:lang w:val="en-US" w:eastAsia="zh-CN" w:bidi="ar"/>
        </w:rPr>
        <w:t>0.33</w:t>
      </w:r>
      <w:r>
        <w:rPr>
          <w:rFonts w:hint="eastAsia" w:ascii="仿宋_GB2312" w:hAnsi="仿宋_GB2312" w:eastAsia="仿宋_GB2312" w:cs="仿宋_GB2312"/>
          <w:color w:val="555555"/>
          <w:kern w:val="0"/>
          <w:sz w:val="32"/>
          <w:szCs w:val="32"/>
          <w:lang w:bidi="ar"/>
        </w:rPr>
        <w:t>%</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bidi="ar"/>
        </w:rPr>
        <w:t>住房保障支出</w:t>
      </w:r>
      <w:r>
        <w:rPr>
          <w:rFonts w:hint="eastAsia" w:ascii="仿宋_GB2312" w:hAnsi="仿宋_GB2312" w:eastAsia="仿宋_GB2312" w:cs="仿宋_GB2312"/>
          <w:color w:val="555555"/>
          <w:kern w:val="0"/>
          <w:sz w:val="32"/>
          <w:szCs w:val="32"/>
          <w:lang w:val="en-US" w:eastAsia="zh-CN" w:bidi="ar"/>
        </w:rPr>
        <w:t>42.07</w:t>
      </w:r>
      <w:r>
        <w:rPr>
          <w:rFonts w:hint="eastAsia" w:ascii="仿宋_GB2312" w:hAnsi="仿宋_GB2312" w:eastAsia="仿宋_GB2312" w:cs="仿宋_GB2312"/>
          <w:color w:val="555555"/>
          <w:kern w:val="0"/>
          <w:sz w:val="32"/>
          <w:szCs w:val="32"/>
          <w:lang w:bidi="ar"/>
        </w:rPr>
        <w:t>万元</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bidi="ar"/>
        </w:rPr>
        <w:t>占</w:t>
      </w:r>
      <w:r>
        <w:rPr>
          <w:rFonts w:hint="eastAsia" w:ascii="仿宋_GB2312" w:hAnsi="仿宋_GB2312" w:eastAsia="仿宋_GB2312" w:cs="仿宋_GB2312"/>
          <w:color w:val="555555"/>
          <w:kern w:val="0"/>
          <w:sz w:val="32"/>
          <w:szCs w:val="32"/>
          <w:lang w:val="en-US" w:eastAsia="zh-CN" w:bidi="ar"/>
        </w:rPr>
        <w:t>0.36</w:t>
      </w:r>
      <w:r>
        <w:rPr>
          <w:rFonts w:hint="eastAsia" w:ascii="仿宋_GB2312" w:hAnsi="仿宋_GB2312" w:eastAsia="仿宋_GB2312" w:cs="仿宋_GB2312"/>
          <w:color w:val="555555"/>
          <w:kern w:val="0"/>
          <w:sz w:val="32"/>
          <w:szCs w:val="32"/>
          <w:lang w:bidi="ar"/>
        </w:rPr>
        <w:t>%</w:t>
      </w:r>
      <w:r>
        <w:rPr>
          <w:rFonts w:hint="eastAsia"/>
          <w:lang w:eastAsia="zh-CN"/>
        </w:rPr>
        <w:t>。</w:t>
      </w:r>
    </w:p>
    <w:p w14:paraId="1B5C8242">
      <w:pPr>
        <w:widowControl/>
        <w:adjustRightInd w:val="0"/>
        <w:snapToGrid w:val="0"/>
        <w:spacing w:line="560" w:lineRule="exact"/>
        <w:ind w:firstLine="640" w:firstLineChars="200"/>
        <w:jc w:val="left"/>
        <w:rPr>
          <w:rFonts w:ascii="楷体" w:hAnsi="楷体" w:eastAsia="楷体" w:cs="楷体"/>
          <w:color w:val="555555"/>
          <w:sz w:val="32"/>
          <w:szCs w:val="32"/>
        </w:rPr>
      </w:pPr>
      <w:r>
        <w:rPr>
          <w:rFonts w:hint="eastAsia" w:ascii="楷体_GB2312" w:hAnsi="楷体_GB2312" w:eastAsia="楷体_GB2312" w:cs="楷体_GB2312"/>
          <w:color w:val="555555"/>
          <w:sz w:val="32"/>
          <w:szCs w:val="32"/>
        </w:rPr>
        <w:t>（三）一般公共预算当年拨款具体使用情况。</w:t>
      </w:r>
    </w:p>
    <w:p w14:paraId="39E6A513">
      <w:pPr>
        <w:ind w:firstLine="640" w:firstLineChars="200"/>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1</w:t>
      </w:r>
      <w:r>
        <w:rPr>
          <w:rFonts w:ascii="仿宋_GB2312" w:hAnsi="仿宋_GB2312" w:eastAsia="仿宋_GB2312" w:cs="仿宋_GB2312"/>
          <w:color w:val="555555"/>
          <w:kern w:val="0"/>
          <w:sz w:val="32"/>
          <w:szCs w:val="32"/>
          <w:lang w:bidi="ar"/>
        </w:rPr>
        <w:t>.</w:t>
      </w:r>
      <w:r>
        <w:rPr>
          <w:rFonts w:hint="eastAsia" w:ascii="仿宋" w:hAnsi="仿宋" w:eastAsia="仿宋" w:cs="微软雅黑"/>
          <w:color w:val="555555"/>
          <w:kern w:val="0"/>
          <w:sz w:val="32"/>
          <w:szCs w:val="32"/>
          <w:lang w:bidi="ar"/>
        </w:rPr>
        <w:t>一般公共服务支出（类）党委办公厅（室）及相关机构事务（款）行政运行（项）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159.29</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人员经费和日常公用支出。保障参公人员经费及办公经费。</w:t>
      </w:r>
    </w:p>
    <w:p w14:paraId="7A1956C4">
      <w:pPr>
        <w:ind w:firstLine="640" w:firstLineChars="200"/>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2</w:t>
      </w:r>
      <w:r>
        <w:rPr>
          <w:rFonts w:ascii="仿宋_GB2312" w:hAnsi="仿宋_GB2312" w:eastAsia="仿宋_GB2312" w:cs="仿宋_GB2312"/>
          <w:color w:val="555555"/>
          <w:kern w:val="0"/>
          <w:sz w:val="32"/>
          <w:szCs w:val="32"/>
          <w:lang w:bidi="ar"/>
        </w:rPr>
        <w:t>.</w:t>
      </w:r>
      <w:r>
        <w:rPr>
          <w:rFonts w:hint="eastAsia" w:ascii="仿宋" w:hAnsi="仿宋" w:eastAsia="仿宋" w:cs="微软雅黑"/>
          <w:color w:val="555555"/>
          <w:kern w:val="0"/>
          <w:sz w:val="32"/>
          <w:szCs w:val="32"/>
          <w:lang w:bidi="ar"/>
        </w:rPr>
        <w:t>教育支出（类）进修及培训（款）干部教育（项）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11488.94</w:t>
      </w:r>
      <w:r>
        <w:rPr>
          <w:rFonts w:hint="eastAsia" w:ascii="仿宋_GB2312" w:hAnsi="仿宋_GB2312" w:eastAsia="仿宋_GB2312" w:cs="仿宋_GB2312"/>
          <w:color w:val="555555"/>
          <w:kern w:val="0"/>
          <w:sz w:val="32"/>
          <w:szCs w:val="32"/>
          <w:lang w:bidi="ar"/>
        </w:rPr>
        <w:t>万元，主要用于：事业</w:t>
      </w:r>
      <w:r>
        <w:rPr>
          <w:rFonts w:hint="eastAsia" w:ascii="仿宋" w:hAnsi="仿宋" w:eastAsia="仿宋" w:cs="微软雅黑"/>
          <w:color w:val="555555"/>
          <w:kern w:val="0"/>
          <w:sz w:val="32"/>
          <w:szCs w:val="32"/>
          <w:lang w:bidi="ar"/>
        </w:rPr>
        <w:t>人员经费和项目支出。保障事业人员经费、办公经费及学校正常开展培训所需经费。</w:t>
      </w:r>
    </w:p>
    <w:p w14:paraId="37209E4D">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3</w:t>
      </w:r>
      <w:r>
        <w:rPr>
          <w:rFonts w:ascii="仿宋_GB2312" w:hAnsi="仿宋_GB2312" w:eastAsia="仿宋_GB2312" w:cs="仿宋_GB2312"/>
          <w:color w:val="555555"/>
          <w:kern w:val="0"/>
          <w:sz w:val="32"/>
          <w:szCs w:val="32"/>
          <w:lang w:bidi="ar"/>
        </w:rPr>
        <w:t>.</w:t>
      </w:r>
      <w:r>
        <w:rPr>
          <w:rFonts w:hint="eastAsia" w:ascii="仿宋" w:hAnsi="仿宋" w:eastAsia="仿宋" w:cs="微软雅黑"/>
          <w:color w:val="555555"/>
          <w:kern w:val="0"/>
          <w:sz w:val="32"/>
          <w:szCs w:val="32"/>
          <w:lang w:bidi="ar"/>
        </w:rPr>
        <w:t>社会保障和就业支出（类）行政事业单位养老支出（款）行政单位离退休（项）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22.78</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保障退休人员津贴补贴及工会、福利等人员经费支出。</w:t>
      </w:r>
    </w:p>
    <w:p w14:paraId="401BB0A0">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4</w:t>
      </w:r>
      <w:r>
        <w:rPr>
          <w:rFonts w:ascii="仿宋_GB2312" w:hAnsi="仿宋_GB2312" w:eastAsia="仿宋_GB2312" w:cs="仿宋_GB2312"/>
          <w:color w:val="555555"/>
          <w:kern w:val="0"/>
          <w:sz w:val="32"/>
          <w:szCs w:val="32"/>
          <w:lang w:bidi="ar"/>
        </w:rPr>
        <w:t>.</w:t>
      </w:r>
      <w:r>
        <w:rPr>
          <w:rFonts w:hint="eastAsia" w:ascii="仿宋" w:hAnsi="仿宋" w:eastAsia="仿宋" w:cs="微软雅黑"/>
          <w:color w:val="555555"/>
          <w:kern w:val="0"/>
          <w:sz w:val="32"/>
          <w:szCs w:val="32"/>
          <w:lang w:bidi="ar"/>
        </w:rPr>
        <w:t xml:space="preserve"> 社会保障和就业支出（类）行政事业单位养老支出（款）事业单位离退休（项）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19.11万</w:t>
      </w:r>
      <w:r>
        <w:rPr>
          <w:rFonts w:hint="eastAsia" w:ascii="仿宋_GB2312" w:hAnsi="仿宋_GB2312" w:eastAsia="仿宋_GB2312" w:cs="仿宋_GB2312"/>
          <w:color w:val="555555"/>
          <w:kern w:val="0"/>
          <w:sz w:val="32"/>
          <w:szCs w:val="32"/>
          <w:lang w:bidi="ar"/>
        </w:rPr>
        <w:t>元，主要用于：</w:t>
      </w:r>
      <w:r>
        <w:rPr>
          <w:rFonts w:hint="eastAsia" w:ascii="仿宋" w:hAnsi="仿宋" w:eastAsia="仿宋" w:cs="微软雅黑"/>
          <w:color w:val="555555"/>
          <w:kern w:val="0"/>
          <w:sz w:val="32"/>
          <w:szCs w:val="32"/>
          <w:lang w:bidi="ar"/>
        </w:rPr>
        <w:t>保障退休人员津贴补贴及工会、福利等人员经费支出。</w:t>
      </w:r>
    </w:p>
    <w:p w14:paraId="79656519">
      <w:pPr>
        <w:widowControl/>
        <w:adjustRightInd w:val="0"/>
        <w:snapToGrid w:val="0"/>
        <w:spacing w:line="560" w:lineRule="exact"/>
        <w:ind w:firstLine="640" w:firstLineChars="200"/>
        <w:jc w:val="left"/>
        <w:rPr>
          <w:rFonts w:ascii="仿宋" w:hAnsi="仿宋" w:eastAsia="仿宋" w:cs="微软雅黑"/>
          <w:color w:val="555555"/>
          <w:kern w:val="0"/>
          <w:sz w:val="32"/>
          <w:szCs w:val="32"/>
          <w:lang w:bidi="ar"/>
        </w:rPr>
      </w:pPr>
      <w:r>
        <w:rPr>
          <w:rFonts w:hint="eastAsia" w:ascii="仿宋_GB2312" w:hAnsi="仿宋_GB2312" w:eastAsia="仿宋_GB2312" w:cs="仿宋_GB2312"/>
          <w:color w:val="555555"/>
          <w:kern w:val="0"/>
          <w:sz w:val="32"/>
          <w:szCs w:val="32"/>
          <w:lang w:bidi="ar"/>
        </w:rPr>
        <w:t>5</w:t>
      </w:r>
      <w:r>
        <w:rPr>
          <w:rFonts w:ascii="仿宋_GB2312" w:hAnsi="仿宋_GB2312" w:eastAsia="仿宋_GB2312" w:cs="仿宋_GB2312"/>
          <w:color w:val="555555"/>
          <w:kern w:val="0"/>
          <w:sz w:val="32"/>
          <w:szCs w:val="32"/>
          <w:lang w:bidi="ar"/>
        </w:rPr>
        <w:t>.</w:t>
      </w:r>
      <w:r>
        <w:rPr>
          <w:rFonts w:hint="eastAsia" w:ascii="仿宋" w:hAnsi="仿宋" w:eastAsia="仿宋" w:cs="微软雅黑"/>
          <w:color w:val="555555"/>
          <w:kern w:val="0"/>
          <w:sz w:val="32"/>
          <w:szCs w:val="32"/>
          <w:lang w:bidi="ar"/>
        </w:rPr>
        <w:t xml:space="preserve"> 社会保障和就业支出（类）行政事业单位离退休（款）事业机关单位基本养老保险缴费支出（项）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50.64</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 xml:space="preserve">保障单位在职人员基本养老保险。 </w:t>
      </w:r>
      <w:r>
        <w:rPr>
          <w:rFonts w:ascii="仿宋" w:hAnsi="仿宋" w:eastAsia="仿宋" w:cs="微软雅黑"/>
          <w:color w:val="555555"/>
          <w:kern w:val="0"/>
          <w:sz w:val="32"/>
          <w:szCs w:val="32"/>
          <w:lang w:bidi="ar"/>
        </w:rPr>
        <w:t xml:space="preserve"> </w:t>
      </w:r>
    </w:p>
    <w:p w14:paraId="1E9F1A15">
      <w:pPr>
        <w:widowControl/>
        <w:adjustRightInd w:val="0"/>
        <w:snapToGrid w:val="0"/>
        <w:spacing w:line="560" w:lineRule="exact"/>
        <w:ind w:firstLine="640" w:firstLineChars="200"/>
        <w:jc w:val="left"/>
        <w:rPr>
          <w:rFonts w:hint="eastAsia" w:ascii="仿宋" w:hAnsi="仿宋" w:eastAsia="仿宋" w:cs="微软雅黑"/>
          <w:color w:val="555555"/>
          <w:kern w:val="0"/>
          <w:sz w:val="32"/>
          <w:szCs w:val="32"/>
          <w:lang w:eastAsia="zh-CN" w:bidi="ar"/>
        </w:rPr>
      </w:pPr>
      <w:r>
        <w:rPr>
          <w:rFonts w:hint="eastAsia" w:ascii="仿宋" w:hAnsi="仿宋" w:eastAsia="仿宋" w:cs="微软雅黑"/>
          <w:color w:val="555555"/>
          <w:kern w:val="0"/>
          <w:sz w:val="32"/>
          <w:szCs w:val="32"/>
          <w:lang w:bidi="ar"/>
        </w:rPr>
        <w:t>6. 卫生健康支出（类）行政事业单位医疗（款）行政单位医疗（项）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6.8</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保障单位在职人员医疗保险</w:t>
      </w:r>
      <w:r>
        <w:rPr>
          <w:rFonts w:hint="eastAsia" w:ascii="仿宋" w:hAnsi="仿宋" w:eastAsia="仿宋" w:cs="微软雅黑"/>
          <w:color w:val="555555"/>
          <w:kern w:val="0"/>
          <w:sz w:val="32"/>
          <w:szCs w:val="32"/>
          <w:lang w:eastAsia="zh-CN" w:bidi="ar"/>
        </w:rPr>
        <w:t>。</w:t>
      </w:r>
    </w:p>
    <w:p w14:paraId="697ED8BE">
      <w:pPr>
        <w:widowControl/>
        <w:adjustRightInd w:val="0"/>
        <w:snapToGrid w:val="0"/>
        <w:spacing w:line="560" w:lineRule="exact"/>
        <w:ind w:firstLine="640" w:firstLineChars="200"/>
        <w:jc w:val="left"/>
        <w:rPr>
          <w:rFonts w:hint="eastAsia" w:ascii="仿宋" w:hAnsi="仿宋" w:eastAsia="仿宋" w:cs="微软雅黑"/>
          <w:color w:val="555555"/>
          <w:kern w:val="0"/>
          <w:sz w:val="32"/>
          <w:szCs w:val="32"/>
          <w:lang w:eastAsia="zh-CN" w:bidi="ar"/>
        </w:rPr>
      </w:pPr>
      <w:r>
        <w:rPr>
          <w:rFonts w:hint="eastAsia" w:ascii="仿宋" w:hAnsi="仿宋" w:eastAsia="仿宋" w:cs="微软雅黑"/>
          <w:color w:val="555555"/>
          <w:kern w:val="0"/>
          <w:sz w:val="32"/>
          <w:szCs w:val="32"/>
          <w:lang w:bidi="ar"/>
        </w:rPr>
        <w:t>7. 卫生健康支出（类）行政事业单位医疗（款）事业单位医疗（项）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11.8</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保障单位在职人员医疗保险</w:t>
      </w:r>
      <w:r>
        <w:rPr>
          <w:rFonts w:hint="eastAsia" w:ascii="仿宋" w:hAnsi="仿宋" w:eastAsia="仿宋" w:cs="微软雅黑"/>
          <w:color w:val="555555"/>
          <w:kern w:val="0"/>
          <w:sz w:val="32"/>
          <w:szCs w:val="32"/>
          <w:lang w:eastAsia="zh-CN" w:bidi="ar"/>
        </w:rPr>
        <w:t>。</w:t>
      </w:r>
    </w:p>
    <w:p w14:paraId="6931FE45">
      <w:pPr>
        <w:widowControl/>
        <w:adjustRightInd w:val="0"/>
        <w:snapToGrid w:val="0"/>
        <w:spacing w:line="560" w:lineRule="exact"/>
        <w:ind w:firstLine="640" w:firstLineChars="200"/>
        <w:jc w:val="left"/>
        <w:rPr>
          <w:rFonts w:hint="eastAsia" w:ascii="仿宋" w:hAnsi="仿宋" w:eastAsia="仿宋" w:cs="微软雅黑"/>
          <w:color w:val="555555"/>
          <w:kern w:val="0"/>
          <w:sz w:val="32"/>
          <w:szCs w:val="32"/>
          <w:lang w:eastAsia="zh-CN" w:bidi="ar"/>
        </w:rPr>
      </w:pPr>
      <w:r>
        <w:rPr>
          <w:rFonts w:hint="eastAsia" w:ascii="仿宋" w:hAnsi="仿宋" w:eastAsia="仿宋" w:cs="微软雅黑"/>
          <w:color w:val="555555"/>
          <w:kern w:val="0"/>
          <w:sz w:val="32"/>
          <w:szCs w:val="32"/>
          <w:lang w:val="en-US" w:eastAsia="zh-CN" w:bidi="ar"/>
        </w:rPr>
        <w:t>8</w:t>
      </w:r>
      <w:r>
        <w:rPr>
          <w:rFonts w:hint="eastAsia" w:ascii="仿宋" w:hAnsi="仿宋" w:eastAsia="仿宋" w:cs="微软雅黑"/>
          <w:color w:val="555555"/>
          <w:kern w:val="0"/>
          <w:sz w:val="32"/>
          <w:szCs w:val="32"/>
          <w:lang w:bidi="ar"/>
        </w:rPr>
        <w:t>. 卫生健康支出（类）行政事业单位医疗（款）</w:t>
      </w:r>
      <w:r>
        <w:rPr>
          <w:rFonts w:hint="eastAsia" w:ascii="仿宋" w:hAnsi="仿宋" w:eastAsia="仿宋" w:cs="微软雅黑"/>
          <w:color w:val="555555"/>
          <w:kern w:val="0"/>
          <w:sz w:val="32"/>
          <w:szCs w:val="32"/>
          <w:lang w:val="en-US" w:eastAsia="zh-CN" w:bidi="ar"/>
        </w:rPr>
        <w:t>公务员医疗补助</w:t>
      </w:r>
      <w:r>
        <w:rPr>
          <w:rFonts w:hint="eastAsia" w:ascii="仿宋" w:hAnsi="仿宋" w:eastAsia="仿宋" w:cs="微软雅黑"/>
          <w:color w:val="555555"/>
          <w:kern w:val="0"/>
          <w:sz w:val="32"/>
          <w:szCs w:val="32"/>
          <w:lang w:bidi="ar"/>
        </w:rPr>
        <w:t>（项）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7.95</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保障单位在职人员医疗保险</w:t>
      </w:r>
      <w:r>
        <w:rPr>
          <w:rFonts w:hint="eastAsia" w:ascii="仿宋" w:hAnsi="仿宋" w:eastAsia="仿宋" w:cs="微软雅黑"/>
          <w:color w:val="555555"/>
          <w:kern w:val="0"/>
          <w:sz w:val="32"/>
          <w:szCs w:val="32"/>
          <w:lang w:eastAsia="zh-CN" w:bidi="ar"/>
        </w:rPr>
        <w:t>。</w:t>
      </w:r>
    </w:p>
    <w:p w14:paraId="5637E9E1">
      <w:pPr>
        <w:widowControl/>
        <w:adjustRightInd w:val="0"/>
        <w:snapToGrid w:val="0"/>
        <w:spacing w:line="560" w:lineRule="exact"/>
        <w:ind w:firstLine="640" w:firstLineChars="200"/>
        <w:jc w:val="left"/>
        <w:rPr>
          <w:rFonts w:hint="eastAsia" w:ascii="仿宋" w:hAnsi="仿宋" w:eastAsia="仿宋" w:cs="微软雅黑"/>
          <w:color w:val="555555"/>
          <w:kern w:val="0"/>
          <w:sz w:val="32"/>
          <w:szCs w:val="32"/>
          <w:lang w:val="en-US" w:eastAsia="zh-CN" w:bidi="ar"/>
        </w:rPr>
      </w:pPr>
      <w:r>
        <w:rPr>
          <w:rFonts w:hint="eastAsia" w:ascii="仿宋" w:hAnsi="仿宋" w:eastAsia="仿宋" w:cs="微软雅黑"/>
          <w:color w:val="555555"/>
          <w:kern w:val="0"/>
          <w:sz w:val="32"/>
          <w:szCs w:val="32"/>
          <w:lang w:val="en-US" w:eastAsia="zh-CN" w:bidi="ar"/>
        </w:rPr>
        <w:t>9</w:t>
      </w:r>
      <w:r>
        <w:rPr>
          <w:rFonts w:hint="eastAsia" w:ascii="仿宋" w:hAnsi="仿宋" w:eastAsia="仿宋" w:cs="微软雅黑"/>
          <w:color w:val="555555"/>
          <w:kern w:val="0"/>
          <w:sz w:val="32"/>
          <w:szCs w:val="32"/>
          <w:lang w:bidi="ar"/>
        </w:rPr>
        <w:t>. 卫生健康支出（类）行政事业单位医疗（款）</w:t>
      </w:r>
      <w:r>
        <w:rPr>
          <w:rFonts w:hint="eastAsia" w:ascii="仿宋" w:hAnsi="仿宋" w:eastAsia="仿宋" w:cs="微软雅黑"/>
          <w:color w:val="555555"/>
          <w:kern w:val="0"/>
          <w:sz w:val="32"/>
          <w:szCs w:val="32"/>
          <w:lang w:val="en-US" w:eastAsia="zh-CN" w:bidi="ar"/>
        </w:rPr>
        <w:t>其他行政事业单位医疗支出</w:t>
      </w:r>
      <w:r>
        <w:rPr>
          <w:rFonts w:hint="eastAsia" w:ascii="仿宋" w:hAnsi="仿宋" w:eastAsia="仿宋" w:cs="微软雅黑"/>
          <w:color w:val="555555"/>
          <w:kern w:val="0"/>
          <w:sz w:val="32"/>
          <w:szCs w:val="32"/>
          <w:lang w:bidi="ar"/>
        </w:rPr>
        <w:t>（项）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12.65</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保障单位在职人员医疗保险</w:t>
      </w:r>
      <w:r>
        <w:rPr>
          <w:rFonts w:hint="eastAsia" w:ascii="仿宋" w:hAnsi="仿宋" w:eastAsia="仿宋" w:cs="微软雅黑"/>
          <w:color w:val="555555"/>
          <w:kern w:val="0"/>
          <w:sz w:val="32"/>
          <w:szCs w:val="32"/>
          <w:lang w:eastAsia="zh-CN" w:bidi="ar"/>
        </w:rPr>
        <w:t>。</w:t>
      </w:r>
    </w:p>
    <w:p w14:paraId="596A253B">
      <w:pPr>
        <w:widowControl/>
        <w:adjustRightInd w:val="0"/>
        <w:snapToGrid w:val="0"/>
        <w:spacing w:line="560" w:lineRule="exact"/>
        <w:ind w:firstLine="640" w:firstLineChars="200"/>
        <w:jc w:val="left"/>
        <w:rPr>
          <w:rFonts w:ascii="仿宋" w:hAnsi="仿宋" w:eastAsia="仿宋" w:cs="微软雅黑"/>
          <w:color w:val="555555"/>
          <w:kern w:val="0"/>
          <w:sz w:val="32"/>
          <w:szCs w:val="32"/>
          <w:lang w:bidi="ar"/>
        </w:rPr>
      </w:pPr>
      <w:r>
        <w:rPr>
          <w:rFonts w:hint="eastAsia" w:ascii="仿宋" w:hAnsi="仿宋" w:eastAsia="仿宋" w:cs="微软雅黑"/>
          <w:color w:val="555555"/>
          <w:kern w:val="0"/>
          <w:sz w:val="32"/>
          <w:szCs w:val="32"/>
          <w:lang w:val="en-US" w:eastAsia="zh-CN" w:bidi="ar"/>
        </w:rPr>
        <w:t>10</w:t>
      </w:r>
      <w:r>
        <w:rPr>
          <w:rFonts w:hint="eastAsia" w:ascii="仿宋" w:hAnsi="仿宋" w:eastAsia="仿宋" w:cs="微软雅黑"/>
          <w:color w:val="555555"/>
          <w:kern w:val="0"/>
          <w:sz w:val="32"/>
          <w:szCs w:val="32"/>
          <w:lang w:bidi="ar"/>
        </w:rPr>
        <w:t>. 住房保障支出（类）住房改革支出（款）住房公积金（项）</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年预算数为</w:t>
      </w:r>
      <w:r>
        <w:rPr>
          <w:rFonts w:hint="eastAsia" w:ascii="仿宋_GB2312" w:hAnsi="仿宋_GB2312" w:eastAsia="仿宋_GB2312" w:cs="仿宋_GB2312"/>
          <w:color w:val="555555"/>
          <w:kern w:val="0"/>
          <w:sz w:val="32"/>
          <w:szCs w:val="32"/>
          <w:lang w:val="en-US" w:eastAsia="zh-CN" w:bidi="ar"/>
        </w:rPr>
        <w:t>42.07</w:t>
      </w:r>
      <w:r>
        <w:rPr>
          <w:rFonts w:hint="eastAsia" w:ascii="仿宋_GB2312" w:hAnsi="仿宋_GB2312" w:eastAsia="仿宋_GB2312" w:cs="仿宋_GB2312"/>
          <w:color w:val="555555"/>
          <w:kern w:val="0"/>
          <w:sz w:val="32"/>
          <w:szCs w:val="32"/>
          <w:lang w:bidi="ar"/>
        </w:rPr>
        <w:t>万元，主要用于：</w:t>
      </w:r>
      <w:r>
        <w:rPr>
          <w:rFonts w:hint="eastAsia" w:ascii="仿宋" w:hAnsi="仿宋" w:eastAsia="仿宋" w:cs="微软雅黑"/>
          <w:color w:val="555555"/>
          <w:kern w:val="0"/>
          <w:sz w:val="32"/>
          <w:szCs w:val="32"/>
          <w:lang w:bidi="ar"/>
        </w:rPr>
        <w:t>保障单位在职人员住房公积金。</w:t>
      </w:r>
    </w:p>
    <w:p w14:paraId="0478E4B4">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六、一般公共预算基本支出情况说明</w:t>
      </w:r>
    </w:p>
    <w:p w14:paraId="403B3B60">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6年一般公共预算基本支出</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万元，其中：</w:t>
      </w:r>
    </w:p>
    <w:p w14:paraId="4F3FF954">
      <w:pPr>
        <w:widowControl/>
        <w:adjustRightInd w:val="0"/>
        <w:snapToGrid w:val="0"/>
        <w:spacing w:line="560" w:lineRule="exact"/>
        <w:ind w:firstLine="640" w:firstLineChars="200"/>
        <w:jc w:val="left"/>
        <w:rPr>
          <w:rFonts w:hint="default" w:ascii="仿宋_GB2312" w:hAnsi="仿宋_GB2312" w:eastAsia="仿宋_GB2312" w:cs="仿宋_GB2312"/>
          <w:color w:val="555555"/>
          <w:kern w:val="0"/>
          <w:sz w:val="32"/>
          <w:szCs w:val="32"/>
          <w:lang w:val="en-US" w:eastAsia="zh-CN" w:bidi="ar"/>
        </w:rPr>
      </w:pPr>
      <w:r>
        <w:rPr>
          <w:rFonts w:ascii="楷体" w:hAnsi="楷体" w:eastAsia="楷体" w:cs="楷体"/>
          <w:color w:val="555555"/>
          <w:sz w:val="32"/>
          <w:szCs w:val="32"/>
        </w:rPr>
        <w:t xml:space="preserve">   </w:t>
      </w:r>
      <w:r>
        <w:rPr>
          <w:rFonts w:hint="eastAsia" w:ascii="楷体_GB2312" w:hAnsi="楷体_GB2312" w:eastAsia="楷体_GB2312" w:cs="楷体_GB2312"/>
          <w:color w:val="555555"/>
          <w:sz w:val="32"/>
          <w:szCs w:val="32"/>
        </w:rPr>
        <w:t xml:space="preserve"> （</w:t>
      </w:r>
      <w:r>
        <w:rPr>
          <w:rFonts w:hint="eastAsia" w:ascii="仿宋_GB2312" w:hAnsi="仿宋_GB2312" w:eastAsia="仿宋_GB2312" w:cs="仿宋_GB2312"/>
          <w:color w:val="555555"/>
          <w:kern w:val="0"/>
          <w:sz w:val="32"/>
          <w:szCs w:val="32"/>
          <w:lang w:bidi="ar"/>
        </w:rPr>
        <w:t>一）人员经费</w:t>
      </w:r>
      <w:r>
        <w:rPr>
          <w:rFonts w:hint="eastAsia" w:ascii="仿宋_GB2312" w:hAnsi="仿宋_GB2312" w:eastAsia="仿宋_GB2312" w:cs="仿宋_GB2312"/>
          <w:color w:val="555555"/>
          <w:kern w:val="0"/>
          <w:sz w:val="32"/>
          <w:szCs w:val="32"/>
          <w:lang w:val="en-US" w:eastAsia="zh-CN" w:bidi="ar"/>
        </w:rPr>
        <w:t>529.89</w:t>
      </w:r>
      <w:r>
        <w:rPr>
          <w:rFonts w:hint="eastAsia" w:ascii="仿宋_GB2312" w:hAnsi="仿宋_GB2312" w:eastAsia="仿宋_GB2312" w:cs="仿宋_GB2312"/>
          <w:color w:val="555555"/>
          <w:kern w:val="0"/>
          <w:sz w:val="32"/>
          <w:szCs w:val="32"/>
          <w:lang w:bidi="ar"/>
        </w:rPr>
        <w:t>万元。主要包括：基本工资1</w:t>
      </w:r>
      <w:r>
        <w:rPr>
          <w:rFonts w:hint="eastAsia" w:ascii="仿宋_GB2312" w:hAnsi="仿宋_GB2312" w:eastAsia="仿宋_GB2312" w:cs="仿宋_GB2312"/>
          <w:color w:val="555555"/>
          <w:kern w:val="0"/>
          <w:sz w:val="32"/>
          <w:szCs w:val="32"/>
          <w:lang w:val="en-US" w:eastAsia="zh-CN" w:bidi="ar"/>
        </w:rPr>
        <w:t>35.2</w:t>
      </w:r>
      <w:r>
        <w:rPr>
          <w:rFonts w:hint="eastAsia" w:ascii="仿宋_GB2312" w:hAnsi="仿宋_GB2312" w:eastAsia="仿宋_GB2312" w:cs="仿宋_GB2312"/>
          <w:color w:val="555555"/>
          <w:kern w:val="0"/>
          <w:sz w:val="32"/>
          <w:szCs w:val="32"/>
          <w:lang w:bidi="ar"/>
        </w:rPr>
        <w:t>万元、津贴补贴</w:t>
      </w:r>
      <w:r>
        <w:rPr>
          <w:rFonts w:hint="eastAsia" w:ascii="仿宋_GB2312" w:hAnsi="仿宋_GB2312" w:eastAsia="仿宋_GB2312" w:cs="仿宋_GB2312"/>
          <w:color w:val="555555"/>
          <w:kern w:val="0"/>
          <w:sz w:val="32"/>
          <w:szCs w:val="32"/>
          <w:lang w:val="en-US" w:eastAsia="zh-CN" w:bidi="ar"/>
        </w:rPr>
        <w:t>37.36</w:t>
      </w:r>
      <w:r>
        <w:rPr>
          <w:rFonts w:hint="eastAsia" w:ascii="仿宋_GB2312" w:hAnsi="仿宋_GB2312" w:eastAsia="仿宋_GB2312" w:cs="仿宋_GB2312"/>
          <w:color w:val="555555"/>
          <w:kern w:val="0"/>
          <w:sz w:val="32"/>
          <w:szCs w:val="32"/>
          <w:lang w:bidi="ar"/>
        </w:rPr>
        <w:t>万元、奖金</w:t>
      </w:r>
      <w:r>
        <w:rPr>
          <w:rFonts w:hint="eastAsia" w:ascii="仿宋_GB2312" w:hAnsi="仿宋_GB2312" w:eastAsia="仿宋_GB2312" w:cs="仿宋_GB2312"/>
          <w:color w:val="555555"/>
          <w:kern w:val="0"/>
          <w:sz w:val="32"/>
          <w:szCs w:val="32"/>
          <w:lang w:val="en-US" w:eastAsia="zh-CN" w:bidi="ar"/>
        </w:rPr>
        <w:t>52.22</w:t>
      </w:r>
      <w:r>
        <w:rPr>
          <w:rFonts w:hint="eastAsia" w:ascii="仿宋_GB2312" w:hAnsi="仿宋_GB2312" w:eastAsia="仿宋_GB2312" w:cs="仿宋_GB2312"/>
          <w:color w:val="555555"/>
          <w:kern w:val="0"/>
          <w:sz w:val="32"/>
          <w:szCs w:val="32"/>
          <w:lang w:bidi="ar"/>
        </w:rPr>
        <w:t>万元、绩效工资</w:t>
      </w:r>
      <w:r>
        <w:rPr>
          <w:rFonts w:hint="eastAsia" w:ascii="仿宋_GB2312" w:hAnsi="仿宋_GB2312" w:eastAsia="仿宋_GB2312" w:cs="仿宋_GB2312"/>
          <w:color w:val="555555"/>
          <w:kern w:val="0"/>
          <w:sz w:val="32"/>
          <w:szCs w:val="32"/>
          <w:lang w:val="en-US" w:eastAsia="zh-CN" w:bidi="ar"/>
        </w:rPr>
        <w:t>129.71</w:t>
      </w:r>
      <w:r>
        <w:rPr>
          <w:rFonts w:hint="eastAsia" w:ascii="仿宋_GB2312" w:hAnsi="仿宋_GB2312" w:eastAsia="仿宋_GB2312" w:cs="仿宋_GB2312"/>
          <w:color w:val="555555"/>
          <w:kern w:val="0"/>
          <w:sz w:val="32"/>
          <w:szCs w:val="32"/>
          <w:lang w:bidi="ar"/>
        </w:rPr>
        <w:t>万元、机关事业单位基本养老保险缴费</w:t>
      </w:r>
      <w:r>
        <w:rPr>
          <w:rFonts w:hint="eastAsia" w:ascii="仿宋_GB2312" w:hAnsi="仿宋_GB2312" w:eastAsia="仿宋_GB2312" w:cs="仿宋_GB2312"/>
          <w:color w:val="555555"/>
          <w:kern w:val="0"/>
          <w:sz w:val="32"/>
          <w:szCs w:val="32"/>
          <w:lang w:val="en-US" w:eastAsia="zh-CN" w:bidi="ar"/>
        </w:rPr>
        <w:t>50.64</w:t>
      </w:r>
      <w:r>
        <w:rPr>
          <w:rFonts w:hint="eastAsia" w:ascii="仿宋_GB2312" w:hAnsi="仿宋_GB2312" w:eastAsia="仿宋_GB2312" w:cs="仿宋_GB2312"/>
          <w:color w:val="555555"/>
          <w:kern w:val="0"/>
          <w:sz w:val="32"/>
          <w:szCs w:val="32"/>
          <w:lang w:bidi="ar"/>
        </w:rPr>
        <w:t>万元、  职工基本医疗保险缴费</w:t>
      </w:r>
      <w:r>
        <w:rPr>
          <w:rFonts w:hint="eastAsia" w:ascii="仿宋_GB2312" w:hAnsi="仿宋_GB2312" w:eastAsia="仿宋_GB2312" w:cs="仿宋_GB2312"/>
          <w:color w:val="555555"/>
          <w:kern w:val="0"/>
          <w:sz w:val="32"/>
          <w:szCs w:val="32"/>
          <w:lang w:val="en-US" w:eastAsia="zh-CN" w:bidi="ar"/>
        </w:rPr>
        <w:t>18.6</w:t>
      </w:r>
      <w:r>
        <w:rPr>
          <w:rFonts w:hint="eastAsia" w:ascii="仿宋_GB2312" w:hAnsi="仿宋_GB2312" w:eastAsia="仿宋_GB2312" w:cs="仿宋_GB2312"/>
          <w:color w:val="555555"/>
          <w:kern w:val="0"/>
          <w:sz w:val="32"/>
          <w:szCs w:val="32"/>
          <w:lang w:bidi="ar"/>
        </w:rPr>
        <w:t>万元、</w:t>
      </w:r>
      <w:r>
        <w:rPr>
          <w:rFonts w:hint="eastAsia" w:ascii="仿宋_GB2312" w:hAnsi="仿宋_GB2312" w:eastAsia="仿宋_GB2312" w:cs="仿宋_GB2312"/>
          <w:color w:val="555555"/>
          <w:kern w:val="0"/>
          <w:sz w:val="32"/>
          <w:szCs w:val="32"/>
          <w:lang w:val="en-US" w:eastAsia="zh-CN" w:bidi="ar"/>
        </w:rPr>
        <w:t>公务员医疗补助缴费7.96万元、</w:t>
      </w:r>
      <w:r>
        <w:rPr>
          <w:rFonts w:hint="eastAsia" w:ascii="仿宋_GB2312" w:hAnsi="仿宋_GB2312" w:eastAsia="仿宋_GB2312" w:cs="仿宋_GB2312"/>
          <w:color w:val="555555"/>
          <w:kern w:val="0"/>
          <w:sz w:val="32"/>
          <w:szCs w:val="32"/>
          <w:lang w:bidi="ar"/>
        </w:rPr>
        <w:t>  其他社会保障缴费</w:t>
      </w:r>
      <w:r>
        <w:rPr>
          <w:rFonts w:hint="eastAsia" w:ascii="仿宋_GB2312" w:hAnsi="仿宋_GB2312" w:eastAsia="仿宋_GB2312" w:cs="仿宋_GB2312"/>
          <w:color w:val="555555"/>
          <w:kern w:val="0"/>
          <w:sz w:val="32"/>
          <w:szCs w:val="32"/>
          <w:lang w:val="en-US" w:eastAsia="zh-CN" w:bidi="ar"/>
        </w:rPr>
        <w:t>14.17</w:t>
      </w:r>
      <w:r>
        <w:rPr>
          <w:rFonts w:hint="eastAsia" w:ascii="仿宋_GB2312" w:hAnsi="仿宋_GB2312" w:eastAsia="仿宋_GB2312" w:cs="仿宋_GB2312"/>
          <w:color w:val="555555"/>
          <w:kern w:val="0"/>
          <w:sz w:val="32"/>
          <w:szCs w:val="32"/>
          <w:lang w:bidi="ar"/>
        </w:rPr>
        <w:t>万元、  住房公积金</w:t>
      </w:r>
      <w:r>
        <w:rPr>
          <w:rFonts w:hint="eastAsia" w:ascii="仿宋_GB2312" w:hAnsi="仿宋_GB2312" w:eastAsia="仿宋_GB2312" w:cs="仿宋_GB2312"/>
          <w:color w:val="555555"/>
          <w:kern w:val="0"/>
          <w:sz w:val="32"/>
          <w:szCs w:val="32"/>
          <w:lang w:val="en-US" w:eastAsia="zh-CN" w:bidi="ar"/>
        </w:rPr>
        <w:t>42.07</w:t>
      </w:r>
      <w:r>
        <w:rPr>
          <w:rFonts w:hint="eastAsia" w:ascii="仿宋_GB2312" w:hAnsi="仿宋_GB2312" w:eastAsia="仿宋_GB2312" w:cs="仿宋_GB2312"/>
          <w:color w:val="555555"/>
          <w:kern w:val="0"/>
          <w:sz w:val="32"/>
          <w:szCs w:val="32"/>
          <w:lang w:bidi="ar"/>
        </w:rPr>
        <w:t>万元、生活补助</w:t>
      </w:r>
      <w:r>
        <w:rPr>
          <w:rFonts w:hint="eastAsia" w:ascii="仿宋_GB2312" w:hAnsi="仿宋_GB2312" w:eastAsia="仿宋_GB2312" w:cs="仿宋_GB2312"/>
          <w:color w:val="555555"/>
          <w:kern w:val="0"/>
          <w:sz w:val="32"/>
          <w:szCs w:val="32"/>
          <w:lang w:val="en-US" w:eastAsia="zh-CN" w:bidi="ar"/>
        </w:rPr>
        <w:t>39.8</w:t>
      </w:r>
      <w:r>
        <w:rPr>
          <w:rFonts w:hint="eastAsia" w:ascii="仿宋_GB2312" w:hAnsi="仿宋_GB2312" w:eastAsia="仿宋_GB2312" w:cs="仿宋_GB2312"/>
          <w:color w:val="555555"/>
          <w:kern w:val="0"/>
          <w:sz w:val="32"/>
          <w:szCs w:val="32"/>
          <w:lang w:bidi="ar"/>
        </w:rPr>
        <w:t>万元</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val="en-US" w:eastAsia="zh-CN" w:bidi="ar"/>
        </w:rPr>
        <w:t>其他对个人和家庭的补助2.16万元。</w:t>
      </w:r>
    </w:p>
    <w:p w14:paraId="0AE0DB64">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p>
    <w:p w14:paraId="6B526B4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bidi="ar"/>
        </w:rPr>
        <w:t>（二）公用经费</w:t>
      </w:r>
      <w:r>
        <w:rPr>
          <w:rFonts w:hint="eastAsia" w:ascii="仿宋_GB2312" w:hAnsi="仿宋_GB2312" w:eastAsia="仿宋_GB2312" w:cs="仿宋_GB2312"/>
          <w:color w:val="555555"/>
          <w:kern w:val="0"/>
          <w:sz w:val="32"/>
          <w:szCs w:val="32"/>
          <w:lang w:val="en-US" w:eastAsia="zh-CN" w:bidi="ar"/>
        </w:rPr>
        <w:t>50.30</w:t>
      </w:r>
      <w:r>
        <w:rPr>
          <w:rFonts w:hint="eastAsia" w:ascii="仿宋_GB2312" w:hAnsi="仿宋_GB2312" w:eastAsia="仿宋_GB2312" w:cs="仿宋_GB2312"/>
          <w:color w:val="555555"/>
          <w:kern w:val="0"/>
          <w:sz w:val="32"/>
          <w:szCs w:val="32"/>
          <w:lang w:bidi="ar"/>
        </w:rPr>
        <w:t>万元。主要包括：办公费</w:t>
      </w:r>
      <w:r>
        <w:rPr>
          <w:rFonts w:hint="eastAsia" w:ascii="仿宋_GB2312" w:hAnsi="仿宋_GB2312" w:eastAsia="仿宋_GB2312" w:cs="仿宋_GB2312"/>
          <w:color w:val="555555"/>
          <w:kern w:val="0"/>
          <w:sz w:val="32"/>
          <w:szCs w:val="32"/>
          <w:lang w:val="en-US" w:eastAsia="zh-CN" w:bidi="ar"/>
        </w:rPr>
        <w:t>17</w:t>
      </w:r>
      <w:r>
        <w:rPr>
          <w:rFonts w:hint="eastAsia" w:ascii="仿宋_GB2312" w:hAnsi="仿宋_GB2312" w:eastAsia="仿宋_GB2312" w:cs="仿宋_GB2312"/>
          <w:color w:val="555555"/>
          <w:kern w:val="0"/>
          <w:sz w:val="32"/>
          <w:szCs w:val="32"/>
          <w:lang w:bidi="ar"/>
        </w:rPr>
        <w:t>万元、</w:t>
      </w:r>
      <w:r>
        <w:rPr>
          <w:rFonts w:hint="eastAsia" w:ascii="仿宋_GB2312" w:hAnsi="仿宋_GB2312" w:eastAsia="仿宋_GB2312" w:cs="仿宋_GB2312"/>
          <w:color w:val="555555"/>
          <w:kern w:val="0"/>
          <w:sz w:val="32"/>
          <w:szCs w:val="32"/>
          <w:lang w:val="en-US" w:eastAsia="zh-CN" w:bidi="ar"/>
        </w:rPr>
        <w:t>手续费0.01万元、</w:t>
      </w:r>
      <w:r>
        <w:rPr>
          <w:rFonts w:hint="eastAsia" w:ascii="仿宋_GB2312" w:hAnsi="仿宋_GB2312" w:eastAsia="仿宋_GB2312" w:cs="仿宋_GB2312"/>
          <w:color w:val="555555"/>
          <w:kern w:val="0"/>
          <w:sz w:val="32"/>
          <w:szCs w:val="32"/>
          <w:lang w:bidi="ar"/>
        </w:rPr>
        <w:t>差旅费</w:t>
      </w:r>
      <w:r>
        <w:rPr>
          <w:rFonts w:hint="eastAsia" w:ascii="仿宋_GB2312" w:hAnsi="仿宋_GB2312" w:eastAsia="仿宋_GB2312" w:cs="仿宋_GB2312"/>
          <w:color w:val="555555"/>
          <w:kern w:val="0"/>
          <w:sz w:val="32"/>
          <w:szCs w:val="32"/>
          <w:lang w:val="en-US" w:eastAsia="zh-CN" w:bidi="ar"/>
        </w:rPr>
        <w:t>6</w:t>
      </w:r>
      <w:r>
        <w:rPr>
          <w:rFonts w:hint="eastAsia" w:ascii="仿宋_GB2312" w:hAnsi="仿宋_GB2312" w:eastAsia="仿宋_GB2312" w:cs="仿宋_GB2312"/>
          <w:color w:val="555555"/>
          <w:kern w:val="0"/>
          <w:sz w:val="32"/>
          <w:szCs w:val="32"/>
          <w:lang w:bidi="ar"/>
        </w:rPr>
        <w:t>万元、公务接待费</w:t>
      </w:r>
      <w:r>
        <w:rPr>
          <w:rFonts w:hint="eastAsia" w:ascii="仿宋_GB2312" w:hAnsi="仿宋_GB2312" w:eastAsia="仿宋_GB2312" w:cs="仿宋_GB2312"/>
          <w:color w:val="555555"/>
          <w:kern w:val="0"/>
          <w:sz w:val="32"/>
          <w:szCs w:val="32"/>
          <w:lang w:val="en-US" w:eastAsia="zh-CN" w:bidi="ar"/>
        </w:rPr>
        <w:t>0.8</w:t>
      </w:r>
      <w:r>
        <w:rPr>
          <w:rFonts w:hint="eastAsia" w:ascii="仿宋_GB2312" w:hAnsi="仿宋_GB2312" w:eastAsia="仿宋_GB2312" w:cs="仿宋_GB2312"/>
          <w:color w:val="555555"/>
          <w:kern w:val="0"/>
          <w:sz w:val="32"/>
          <w:szCs w:val="32"/>
          <w:lang w:bidi="ar"/>
        </w:rPr>
        <w:t>万元、工会经费</w:t>
      </w:r>
      <w:r>
        <w:rPr>
          <w:rFonts w:hint="eastAsia" w:ascii="仿宋_GB2312" w:hAnsi="仿宋_GB2312" w:eastAsia="仿宋_GB2312" w:cs="仿宋_GB2312"/>
          <w:color w:val="555555"/>
          <w:kern w:val="0"/>
          <w:sz w:val="32"/>
          <w:szCs w:val="32"/>
          <w:lang w:val="en-US" w:eastAsia="zh-CN" w:bidi="ar"/>
        </w:rPr>
        <w:t>4.44万元、福利费7.9万元、其他交通费8.92万元、其他商品和服务支出5.23万元。</w:t>
      </w:r>
    </w:p>
    <w:p w14:paraId="77BA75C3">
      <w:pPr>
        <w:widowControl/>
        <w:adjustRightInd w:val="0"/>
        <w:snapToGrid w:val="0"/>
        <w:spacing w:line="560" w:lineRule="exact"/>
        <w:ind w:firstLine="640" w:firstLineChars="200"/>
        <w:jc w:val="left"/>
        <w:rPr>
          <w:rFonts w:ascii="黑体" w:hAnsi="黑体" w:eastAsia="黑体" w:cs="黑体"/>
          <w:color w:val="555555"/>
          <w:sz w:val="32"/>
          <w:szCs w:val="32"/>
        </w:rPr>
      </w:pPr>
      <w:r>
        <w:rPr>
          <w:rFonts w:hint="eastAsia" w:ascii="黑体" w:hAnsi="黑体" w:eastAsia="黑体" w:cs="黑体"/>
          <w:color w:val="555555"/>
          <w:kern w:val="0"/>
          <w:sz w:val="32"/>
          <w:szCs w:val="32"/>
          <w:lang w:bidi="ar"/>
        </w:rPr>
        <w:t>七、“三公”经费财政拨款预算安排情况说明</w:t>
      </w:r>
    </w:p>
    <w:p w14:paraId="36FAEC81">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6年“三公”经费财政拨款预算数</w:t>
      </w:r>
      <w:r>
        <w:rPr>
          <w:rFonts w:hint="eastAsia" w:ascii="仿宋_GB2312" w:hAnsi="仿宋_GB2312" w:eastAsia="仿宋_GB2312" w:cs="仿宋_GB2312"/>
          <w:color w:val="555555"/>
          <w:kern w:val="0"/>
          <w:sz w:val="32"/>
          <w:szCs w:val="32"/>
          <w:lang w:val="en-US" w:eastAsia="zh-CN" w:bidi="ar"/>
        </w:rPr>
        <w:t>0.8</w:t>
      </w:r>
      <w:r>
        <w:rPr>
          <w:rFonts w:hint="eastAsia" w:ascii="仿宋_GB2312" w:hAnsi="仿宋_GB2312" w:eastAsia="仿宋_GB2312" w:cs="仿宋_GB2312"/>
          <w:color w:val="555555"/>
          <w:kern w:val="0"/>
          <w:sz w:val="32"/>
          <w:szCs w:val="32"/>
          <w:lang w:bidi="ar"/>
        </w:rPr>
        <w:t>万元，其中：公务接待费</w:t>
      </w:r>
      <w:r>
        <w:rPr>
          <w:rFonts w:hint="eastAsia" w:ascii="仿宋_GB2312" w:hAnsi="仿宋_GB2312" w:eastAsia="仿宋_GB2312" w:cs="仿宋_GB2312"/>
          <w:color w:val="555555"/>
          <w:kern w:val="0"/>
          <w:sz w:val="32"/>
          <w:szCs w:val="32"/>
          <w:lang w:val="en-US" w:eastAsia="zh-CN" w:bidi="ar"/>
        </w:rPr>
        <w:t>0.8</w:t>
      </w:r>
      <w:r>
        <w:rPr>
          <w:rFonts w:hint="eastAsia" w:ascii="仿宋_GB2312" w:hAnsi="仿宋_GB2312" w:eastAsia="仿宋_GB2312" w:cs="仿宋_GB2312"/>
          <w:color w:val="555555"/>
          <w:kern w:val="0"/>
          <w:sz w:val="32"/>
          <w:szCs w:val="32"/>
          <w:lang w:bidi="ar"/>
        </w:rPr>
        <w:t>万元，因公出国（境）经费</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万元，公务用车购置及运行维护费</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w:t>
      </w:r>
    </w:p>
    <w:p w14:paraId="7AA858FF">
      <w:pPr>
        <w:widowControl/>
        <w:adjustRightInd w:val="0"/>
        <w:snapToGrid w:val="0"/>
        <w:spacing w:line="560" w:lineRule="exact"/>
        <w:jc w:val="left"/>
        <w:rPr>
          <w:rFonts w:hint="eastAsia" w:ascii="仿宋_GB2312" w:hAnsi="仿宋_GB2312" w:eastAsia="仿宋_GB2312" w:cs="仿宋_GB2312"/>
          <w:color w:val="555555"/>
          <w:kern w:val="0"/>
          <w:sz w:val="32"/>
          <w:szCs w:val="32"/>
          <w:lang w:bidi="ar"/>
        </w:rPr>
      </w:pPr>
      <w:r>
        <w:rPr>
          <w:rFonts w:ascii="楷体" w:hAnsi="楷体" w:eastAsia="楷体" w:cs="楷体"/>
          <w:color w:val="555555"/>
          <w:sz w:val="32"/>
          <w:szCs w:val="32"/>
        </w:rPr>
        <w:t xml:space="preserve">   </w:t>
      </w:r>
      <w:r>
        <w:rPr>
          <w:rFonts w:hint="eastAsia" w:ascii="楷体_GB2312" w:hAnsi="楷体_GB2312" w:eastAsia="楷体_GB2312" w:cs="楷体_GB2312"/>
          <w:color w:val="555555"/>
          <w:sz w:val="32"/>
          <w:szCs w:val="32"/>
        </w:rPr>
        <w:t xml:space="preserve"> （一）</w:t>
      </w:r>
      <w:r>
        <w:rPr>
          <w:rFonts w:hint="eastAsia" w:ascii="仿宋_GB2312" w:hAnsi="仿宋_GB2312" w:eastAsia="仿宋_GB2312" w:cs="仿宋_GB2312"/>
          <w:color w:val="555555"/>
          <w:kern w:val="0"/>
          <w:sz w:val="32"/>
          <w:szCs w:val="32"/>
          <w:lang w:bidi="ar"/>
        </w:rPr>
        <w:t>公务接待费较2025年预算持平。主要原因是</w:t>
      </w:r>
      <w:r>
        <w:rPr>
          <w:rFonts w:hint="eastAsia" w:ascii="仿宋_GB2312" w:hAnsi="仿宋_GB2312" w:eastAsia="仿宋_GB2312" w:cs="仿宋_GB2312"/>
          <w:color w:val="555555"/>
          <w:kern w:val="0"/>
          <w:sz w:val="32"/>
          <w:szCs w:val="32"/>
          <w:lang w:val="en-US" w:eastAsia="zh-CN" w:bidi="ar"/>
        </w:rPr>
        <w:t>我校厉行节约尽量减少接待</w:t>
      </w:r>
      <w:r>
        <w:rPr>
          <w:rFonts w:hint="eastAsia" w:ascii="仿宋_GB2312" w:hAnsi="仿宋_GB2312" w:eastAsia="仿宋_GB2312" w:cs="仿宋_GB2312"/>
          <w:color w:val="555555"/>
          <w:kern w:val="0"/>
          <w:sz w:val="32"/>
          <w:szCs w:val="32"/>
          <w:lang w:bidi="ar"/>
        </w:rPr>
        <w:t>。</w:t>
      </w:r>
    </w:p>
    <w:p w14:paraId="56387D06">
      <w:pPr>
        <w:widowControl/>
        <w:adjustRightInd w:val="0"/>
        <w:snapToGrid w:val="0"/>
        <w:spacing w:line="560" w:lineRule="exact"/>
        <w:jc w:val="left"/>
        <w:rPr>
          <w:rFonts w:hint="eastAsia"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 xml:space="preserve">    202</w:t>
      </w:r>
      <w:r>
        <w:rPr>
          <w:rFonts w:hint="eastAsia" w:ascii="仿宋_GB2312" w:hAnsi="仿宋_GB2312" w:eastAsia="仿宋_GB2312" w:cs="仿宋_GB2312"/>
          <w:color w:val="555555"/>
          <w:kern w:val="0"/>
          <w:sz w:val="32"/>
          <w:szCs w:val="32"/>
          <w:lang w:bidi="ar"/>
        </w:rPr>
        <w:t>6</w:t>
      </w:r>
      <w:r>
        <w:rPr>
          <w:rFonts w:ascii="仿宋_GB2312" w:hAnsi="仿宋_GB2312" w:eastAsia="仿宋_GB2312" w:cs="仿宋_GB2312"/>
          <w:color w:val="555555"/>
          <w:kern w:val="0"/>
          <w:sz w:val="32"/>
          <w:szCs w:val="32"/>
          <w:lang w:bidi="ar"/>
        </w:rPr>
        <w:t>年公务接待费计划用于</w:t>
      </w:r>
      <w:r>
        <w:rPr>
          <w:rFonts w:hint="eastAsia" w:ascii="仿宋_GB2312" w:hAnsi="仿宋_GB2312" w:eastAsia="仿宋_GB2312" w:cs="仿宋_GB2312"/>
          <w:color w:val="555555"/>
          <w:kern w:val="0"/>
          <w:sz w:val="32"/>
          <w:szCs w:val="32"/>
          <w:lang w:val="en-US" w:eastAsia="zh-CN" w:bidi="ar"/>
        </w:rPr>
        <w:t>省委党校及各兄弟院校来我校调研</w:t>
      </w:r>
      <w:r>
        <w:rPr>
          <w:rFonts w:hint="eastAsia" w:ascii="仿宋_GB2312" w:hAnsi="仿宋_GB2312" w:eastAsia="仿宋_GB2312" w:cs="仿宋_GB2312"/>
          <w:color w:val="555555"/>
          <w:kern w:val="0"/>
          <w:sz w:val="32"/>
          <w:szCs w:val="32"/>
          <w:lang w:bidi="ar"/>
        </w:rPr>
        <w:t>。</w:t>
      </w:r>
    </w:p>
    <w:p w14:paraId="7A8741B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楷体_GB2312" w:hAnsi="楷体_GB2312" w:eastAsia="楷体_GB2312" w:cs="楷体_GB2312"/>
          <w:color w:val="555555"/>
          <w:sz w:val="32"/>
          <w:szCs w:val="32"/>
        </w:rPr>
        <w:t>（二）因公出国（境）经费</w:t>
      </w:r>
      <w:r>
        <w:rPr>
          <w:rFonts w:hint="eastAsia" w:ascii="楷体_GB2312" w:hAnsi="楷体_GB2312" w:eastAsia="楷体_GB2312" w:cs="楷体_GB2312"/>
          <w:color w:val="555555"/>
          <w:sz w:val="32"/>
          <w:szCs w:val="32"/>
          <w:lang w:val="en-US" w:eastAsia="zh-CN"/>
        </w:rPr>
        <w:t>与</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5</w:t>
      </w:r>
      <w:r>
        <w:rPr>
          <w:rFonts w:hint="eastAsia" w:ascii="仿宋_GB2312" w:hAnsi="仿宋_GB2312" w:eastAsia="仿宋_GB2312" w:cs="仿宋_GB2312"/>
          <w:color w:val="555555"/>
          <w:kern w:val="0"/>
          <w:sz w:val="32"/>
          <w:szCs w:val="32"/>
          <w:lang w:bidi="ar"/>
        </w:rPr>
        <w:t>年预算持平。主要原因是我校无出国（境）计划。。</w:t>
      </w:r>
    </w:p>
    <w:p w14:paraId="67F4709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（三）公务用车购置及运行维护费</w:t>
      </w:r>
      <w:r>
        <w:rPr>
          <w:rFonts w:hint="eastAsia" w:ascii="仿宋_GB2312" w:hAnsi="仿宋_GB2312" w:eastAsia="仿宋_GB2312" w:cs="仿宋_GB2312"/>
          <w:color w:val="555555"/>
          <w:kern w:val="0"/>
          <w:sz w:val="32"/>
          <w:szCs w:val="32"/>
          <w:lang w:val="en-US" w:eastAsia="zh-CN" w:bidi="ar"/>
        </w:rPr>
        <w:t>与</w:t>
      </w:r>
      <w:r>
        <w:rPr>
          <w:rFonts w:hint="eastAsia"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val="en-US" w:eastAsia="zh-CN" w:bidi="ar"/>
        </w:rPr>
        <w:t>5</w:t>
      </w:r>
      <w:r>
        <w:rPr>
          <w:rFonts w:hint="eastAsia" w:ascii="仿宋_GB2312" w:hAnsi="仿宋_GB2312" w:eastAsia="仿宋_GB2312" w:cs="仿宋_GB2312"/>
          <w:color w:val="555555"/>
          <w:kern w:val="0"/>
          <w:sz w:val="32"/>
          <w:szCs w:val="32"/>
          <w:lang w:bidi="ar"/>
        </w:rPr>
        <w:t>年预算持平</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bidi="ar"/>
        </w:rPr>
        <w:t>主要原因是</w:t>
      </w:r>
      <w:r>
        <w:rPr>
          <w:rFonts w:hint="eastAsia" w:ascii="仿宋_GB2312" w:hAnsi="仿宋_GB2312" w:eastAsia="仿宋_GB2312" w:cs="仿宋_GB2312"/>
          <w:color w:val="555555"/>
          <w:kern w:val="0"/>
          <w:sz w:val="32"/>
          <w:szCs w:val="32"/>
          <w:lang w:val="en-US" w:eastAsia="zh-CN" w:bidi="ar"/>
        </w:rPr>
        <w:t>我校无购置车辆计划</w:t>
      </w:r>
      <w:r>
        <w:rPr>
          <w:rFonts w:hint="eastAsia" w:ascii="仿宋_GB2312" w:hAnsi="仿宋_GB2312" w:eastAsia="仿宋_GB2312" w:cs="仿宋_GB2312"/>
          <w:color w:val="555555"/>
          <w:kern w:val="0"/>
          <w:sz w:val="32"/>
          <w:szCs w:val="32"/>
          <w:lang w:bidi="ar"/>
        </w:rPr>
        <w:t>。</w:t>
      </w:r>
    </w:p>
    <w:p w14:paraId="483E5E11">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现有公务用车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辆，其中：轿车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辆，旅行车（含商务车）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辆，越野车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辆，大型客、货车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w:t>
      </w:r>
    </w:p>
    <w:p w14:paraId="7CDCE729">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6年安排公务用车购置费</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万元，购置公务用车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辆，其中：轿车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辆，旅行车（含商务车）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辆，越野车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辆，大型客、货车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w:t>
      </w:r>
    </w:p>
    <w:p w14:paraId="15AAB7CB">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6年安排公务用车运行维护费</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w:t>
      </w:r>
      <w:r>
        <w:rPr>
          <w:rFonts w:hint="eastAsia" w:ascii="仿宋_GB2312" w:hAnsi="仿宋_GB2312" w:eastAsia="仿宋_GB2312" w:cs="仿宋_GB2312"/>
          <w:color w:val="555555"/>
          <w:kern w:val="0"/>
          <w:sz w:val="32"/>
          <w:szCs w:val="32"/>
          <w:lang w:val="en-US" w:eastAsia="zh-CN" w:bidi="ar"/>
        </w:rPr>
        <w:t>因我校无公务车</w:t>
      </w:r>
      <w:r>
        <w:rPr>
          <w:rFonts w:hint="eastAsia" w:ascii="仿宋_GB2312" w:hAnsi="仿宋_GB2312" w:eastAsia="仿宋_GB2312" w:cs="仿宋_GB2312"/>
          <w:color w:val="555555"/>
          <w:kern w:val="0"/>
          <w:sz w:val="32"/>
          <w:szCs w:val="32"/>
          <w:lang w:bidi="ar"/>
        </w:rPr>
        <w:t>。</w:t>
      </w:r>
    </w:p>
    <w:p w14:paraId="5670E923">
      <w:pPr>
        <w:widowControl/>
        <w:adjustRightInd w:val="0"/>
        <w:snapToGrid w:val="0"/>
        <w:spacing w:line="560" w:lineRule="exact"/>
        <w:ind w:firstLine="640" w:firstLineChars="200"/>
        <w:jc w:val="left"/>
        <w:rPr>
          <w:rFonts w:ascii="黑体" w:hAnsi="黑体" w:eastAsia="黑体" w:cs="黑体"/>
          <w:color w:val="555555"/>
          <w:sz w:val="32"/>
          <w:szCs w:val="32"/>
        </w:rPr>
      </w:pPr>
      <w:r>
        <w:rPr>
          <w:rFonts w:hint="eastAsia" w:ascii="黑体" w:hAnsi="黑体" w:eastAsia="黑体" w:cs="黑体"/>
          <w:color w:val="555555"/>
          <w:kern w:val="0"/>
          <w:sz w:val="32"/>
          <w:szCs w:val="32"/>
          <w:lang w:bidi="ar"/>
        </w:rPr>
        <w:t>八、政府性基金预算支出情况说明</w:t>
      </w:r>
    </w:p>
    <w:p w14:paraId="4E1C91D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没有使用</w:t>
      </w:r>
      <w:r>
        <w:rPr>
          <w:rFonts w:hint="eastAsia" w:ascii="仿宋_GB2312" w:hAnsi="仿宋_GB2312" w:eastAsia="仿宋_GB2312" w:cs="仿宋_GB2312"/>
          <w:color w:val="555555"/>
          <w:kern w:val="0"/>
          <w:sz w:val="32"/>
          <w:szCs w:val="32"/>
          <w:lang w:bidi="ar"/>
        </w:rPr>
        <w:t>政府性基金预算</w:t>
      </w:r>
      <w:r>
        <w:rPr>
          <w:rFonts w:hint="eastAsia" w:ascii="仿宋_GB2312" w:hAnsi="仿宋_GB2312" w:eastAsia="仿宋_GB2312" w:cs="仿宋_GB2312"/>
          <w:color w:val="555555"/>
          <w:kern w:val="0"/>
          <w:sz w:val="32"/>
          <w:szCs w:val="32"/>
          <w:lang w:val="en-US" w:eastAsia="zh-CN" w:bidi="ar"/>
        </w:rPr>
        <w:t>拨款安排的支出。</w:t>
      </w:r>
    </w:p>
    <w:p w14:paraId="2D77D969">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九、国有资本经营预算支出情况说明</w:t>
      </w:r>
    </w:p>
    <w:p w14:paraId="3F09D834">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西昌市委党校</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没有使用</w:t>
      </w:r>
      <w:r>
        <w:rPr>
          <w:rFonts w:hint="eastAsia" w:ascii="仿宋_GB2312" w:hAnsi="仿宋_GB2312" w:eastAsia="仿宋_GB2312" w:cs="仿宋_GB2312"/>
          <w:color w:val="555555"/>
          <w:kern w:val="0"/>
          <w:sz w:val="32"/>
          <w:szCs w:val="32"/>
          <w:lang w:bidi="ar"/>
        </w:rPr>
        <w:t>国有资本经营预算</w:t>
      </w:r>
      <w:r>
        <w:rPr>
          <w:rFonts w:hint="eastAsia" w:ascii="仿宋_GB2312" w:hAnsi="仿宋_GB2312" w:eastAsia="仿宋_GB2312" w:cs="仿宋_GB2312"/>
          <w:color w:val="555555"/>
          <w:kern w:val="0"/>
          <w:sz w:val="32"/>
          <w:szCs w:val="32"/>
          <w:lang w:val="en-US" w:eastAsia="zh-CN" w:bidi="ar"/>
        </w:rPr>
        <w:t>拨款安排的</w:t>
      </w:r>
      <w:r>
        <w:rPr>
          <w:rFonts w:hint="eastAsia" w:ascii="仿宋_GB2312" w:hAnsi="仿宋_GB2312" w:eastAsia="仿宋_GB2312" w:cs="仿宋_GB2312"/>
          <w:color w:val="555555"/>
          <w:kern w:val="0"/>
          <w:sz w:val="32"/>
          <w:szCs w:val="32"/>
          <w:lang w:bidi="ar"/>
        </w:rPr>
        <w:t>支出。</w:t>
      </w:r>
    </w:p>
    <w:p w14:paraId="445064CF">
      <w:pPr>
        <w:widowControl/>
        <w:adjustRightInd w:val="0"/>
        <w:snapToGrid w:val="0"/>
        <w:spacing w:line="560" w:lineRule="exact"/>
        <w:jc w:val="left"/>
        <w:rPr>
          <w:rFonts w:ascii="黑体" w:hAnsi="黑体" w:eastAsia="黑体" w:cs="黑体"/>
          <w:color w:val="555555"/>
          <w:kern w:val="0"/>
          <w:sz w:val="32"/>
          <w:szCs w:val="32"/>
          <w:lang w:bidi="ar"/>
        </w:rPr>
      </w:pPr>
      <w:r>
        <w:rPr>
          <w:rFonts w:ascii="黑体" w:hAnsi="黑体" w:eastAsia="黑体" w:cs="黑体"/>
          <w:color w:val="555555"/>
          <w:kern w:val="0"/>
          <w:sz w:val="32"/>
          <w:szCs w:val="32"/>
          <w:lang w:bidi="ar"/>
        </w:rPr>
        <w:t xml:space="preserve">    </w:t>
      </w:r>
      <w:r>
        <w:rPr>
          <w:rFonts w:hint="eastAsia" w:ascii="黑体" w:hAnsi="黑体" w:eastAsia="黑体" w:cs="黑体"/>
          <w:color w:val="555555"/>
          <w:kern w:val="0"/>
          <w:sz w:val="32"/>
          <w:szCs w:val="32"/>
          <w:lang w:bidi="ar"/>
        </w:rPr>
        <w:t>十、其他重要事项的情况说明</w:t>
      </w:r>
    </w:p>
    <w:p w14:paraId="7B324D9F">
      <w:pPr>
        <w:widowControl/>
        <w:adjustRightInd w:val="0"/>
        <w:snapToGrid w:val="0"/>
        <w:spacing w:line="560" w:lineRule="exact"/>
        <w:ind w:firstLine="640" w:firstLineChars="200"/>
        <w:jc w:val="left"/>
        <w:rPr>
          <w:rFonts w:ascii="楷体" w:hAnsi="楷体" w:eastAsia="楷体" w:cs="楷体"/>
          <w:color w:val="555555"/>
          <w:sz w:val="32"/>
          <w:szCs w:val="32"/>
        </w:rPr>
      </w:pPr>
      <w:r>
        <w:rPr>
          <w:rFonts w:hint="eastAsia" w:ascii="楷体_GB2312" w:hAnsi="楷体_GB2312" w:eastAsia="楷体_GB2312" w:cs="楷体_GB2312"/>
          <w:color w:val="555555"/>
          <w:kern w:val="0"/>
          <w:sz w:val="32"/>
          <w:szCs w:val="32"/>
          <w:lang w:bidi="ar"/>
        </w:rPr>
        <w:t>（</w:t>
      </w:r>
      <w:r>
        <w:rPr>
          <w:rFonts w:hint="eastAsia" w:ascii="楷体_GB2312" w:hAnsi="楷体_GB2312" w:eastAsia="楷体_GB2312" w:cs="楷体_GB2312"/>
          <w:color w:val="555555"/>
          <w:sz w:val="32"/>
          <w:szCs w:val="32"/>
        </w:rPr>
        <w:t>一）机关运行经费</w:t>
      </w:r>
    </w:p>
    <w:p w14:paraId="472ED374">
      <w:pPr>
        <w:widowControl/>
        <w:adjustRightInd w:val="0"/>
        <w:snapToGrid w:val="0"/>
        <w:spacing w:line="560" w:lineRule="exact"/>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 xml:space="preserve">    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西昌市委党校</w:t>
      </w:r>
      <w:r>
        <w:rPr>
          <w:rFonts w:hint="eastAsia" w:ascii="仿宋_GB2312" w:hAnsi="仿宋_GB2312" w:eastAsia="仿宋_GB2312" w:cs="仿宋_GB2312"/>
          <w:color w:val="555555"/>
          <w:kern w:val="0"/>
          <w:sz w:val="32"/>
          <w:szCs w:val="32"/>
          <w:lang w:bidi="ar"/>
        </w:rPr>
        <w:t>1家参公管理事业单位的机关运行经费财政拨款预算为</w:t>
      </w:r>
      <w:r>
        <w:rPr>
          <w:rFonts w:hint="eastAsia" w:ascii="仿宋_GB2312" w:hAnsi="仿宋_GB2312" w:eastAsia="仿宋_GB2312" w:cs="仿宋_GB2312"/>
          <w:color w:val="555555"/>
          <w:kern w:val="0"/>
          <w:sz w:val="32"/>
          <w:szCs w:val="32"/>
          <w:lang w:val="en-US" w:eastAsia="zh-CN" w:bidi="ar"/>
        </w:rPr>
        <w:t>50.3</w:t>
      </w:r>
      <w:r>
        <w:rPr>
          <w:rFonts w:hint="eastAsia" w:ascii="仿宋_GB2312" w:hAnsi="仿宋_GB2312" w:eastAsia="仿宋_GB2312" w:cs="仿宋_GB2312"/>
          <w:color w:val="555555"/>
          <w:kern w:val="0"/>
          <w:sz w:val="32"/>
          <w:szCs w:val="32"/>
          <w:lang w:bidi="ar"/>
        </w:rPr>
        <w:t>万元，比</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5年预算减少</w:t>
      </w:r>
      <w:r>
        <w:rPr>
          <w:rFonts w:hint="eastAsia" w:ascii="仿宋_GB2312" w:hAnsi="仿宋_GB2312" w:eastAsia="仿宋_GB2312" w:cs="仿宋_GB2312"/>
          <w:color w:val="555555"/>
          <w:kern w:val="0"/>
          <w:sz w:val="32"/>
          <w:szCs w:val="32"/>
          <w:lang w:val="en-US" w:eastAsia="zh-CN" w:bidi="ar"/>
        </w:rPr>
        <w:t>3.71</w:t>
      </w:r>
      <w:r>
        <w:rPr>
          <w:rFonts w:hint="eastAsia" w:ascii="仿宋_GB2312" w:hAnsi="仿宋_GB2312" w:eastAsia="仿宋_GB2312" w:cs="仿宋_GB2312"/>
          <w:color w:val="555555"/>
          <w:kern w:val="0"/>
          <w:sz w:val="32"/>
          <w:szCs w:val="32"/>
          <w:lang w:bidi="ar"/>
        </w:rPr>
        <w:t>万元，下降</w:t>
      </w:r>
      <w:r>
        <w:rPr>
          <w:rFonts w:hint="eastAsia" w:ascii="仿宋_GB2312" w:hAnsi="仿宋_GB2312" w:eastAsia="仿宋_GB2312" w:cs="仿宋_GB2312"/>
          <w:color w:val="555555"/>
          <w:kern w:val="0"/>
          <w:sz w:val="32"/>
          <w:szCs w:val="32"/>
          <w:lang w:val="en-US" w:eastAsia="zh-CN" w:bidi="ar"/>
        </w:rPr>
        <w:t>6.8</w:t>
      </w:r>
      <w:r>
        <w:rPr>
          <w:rFonts w:hint="eastAsia" w:ascii="仿宋_GB2312" w:hAnsi="仿宋_GB2312" w:eastAsia="仿宋_GB2312" w:cs="仿宋_GB2312"/>
          <w:color w:val="555555"/>
          <w:kern w:val="0"/>
          <w:sz w:val="32"/>
          <w:szCs w:val="32"/>
          <w:lang w:bidi="ar"/>
        </w:rPr>
        <w:t>%。主要原因是</w:t>
      </w:r>
      <w:r>
        <w:rPr>
          <w:rFonts w:hint="eastAsia" w:ascii="仿宋_GB2312" w:hAnsi="仿宋_GB2312" w:eastAsia="仿宋_GB2312" w:cs="仿宋_GB2312"/>
          <w:color w:val="555555"/>
          <w:kern w:val="0"/>
          <w:sz w:val="32"/>
          <w:szCs w:val="32"/>
          <w:lang w:val="en-US" w:eastAsia="zh-CN" w:bidi="ar"/>
        </w:rPr>
        <w:t>我校2025年调离3人</w:t>
      </w:r>
      <w:r>
        <w:rPr>
          <w:rFonts w:hint="eastAsia" w:ascii="仿宋_GB2312" w:hAnsi="仿宋_GB2312" w:eastAsia="仿宋_GB2312" w:cs="仿宋_GB2312"/>
          <w:color w:val="555555"/>
          <w:kern w:val="0"/>
          <w:sz w:val="32"/>
          <w:szCs w:val="32"/>
          <w:lang w:bidi="ar"/>
        </w:rPr>
        <w:t>。</w:t>
      </w:r>
    </w:p>
    <w:p w14:paraId="499C1F32">
      <w:pPr>
        <w:widowControl/>
        <w:adjustRightInd w:val="0"/>
        <w:snapToGrid w:val="0"/>
        <w:spacing w:line="560" w:lineRule="exact"/>
        <w:ind w:firstLine="640" w:firstLineChars="200"/>
        <w:jc w:val="left"/>
        <w:rPr>
          <w:rStyle w:val="13"/>
          <w:rFonts w:ascii="楷体_GB2312" w:hAnsi="楷体_GB2312" w:eastAsia="楷体_GB2312" w:cs="楷体_GB2312"/>
        </w:rPr>
      </w:pPr>
      <w:r>
        <w:rPr>
          <w:rFonts w:hint="eastAsia" w:ascii="楷体_GB2312" w:hAnsi="楷体_GB2312" w:eastAsia="楷体_GB2312" w:cs="楷体_GB2312"/>
          <w:color w:val="555555"/>
          <w:kern w:val="0"/>
          <w:sz w:val="32"/>
          <w:szCs w:val="32"/>
          <w:lang w:bidi="ar"/>
        </w:rPr>
        <w:t>（二）政府采购情况。</w:t>
      </w:r>
    </w:p>
    <w:p w14:paraId="20630929">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西昌市委党校</w:t>
      </w:r>
      <w:r>
        <w:rPr>
          <w:rFonts w:hint="eastAsia" w:ascii="仿宋_GB2312" w:hAnsi="仿宋_GB2312" w:eastAsia="仿宋_GB2312" w:cs="仿宋_GB2312"/>
          <w:color w:val="555555"/>
          <w:kern w:val="0"/>
          <w:sz w:val="32"/>
          <w:szCs w:val="32"/>
          <w:lang w:bidi="ar"/>
        </w:rPr>
        <w:t>安排政府采购预算</w:t>
      </w:r>
      <w:r>
        <w:rPr>
          <w:rFonts w:hint="eastAsia" w:ascii="仿宋_GB2312" w:hAnsi="仿宋_GB2312" w:eastAsia="仿宋_GB2312" w:cs="仿宋_GB2312"/>
          <w:color w:val="555555"/>
          <w:kern w:val="0"/>
          <w:sz w:val="32"/>
          <w:szCs w:val="32"/>
          <w:lang w:val="en-US" w:eastAsia="zh-CN" w:bidi="ar"/>
        </w:rPr>
        <w:t>4886.84</w:t>
      </w:r>
      <w:r>
        <w:rPr>
          <w:rFonts w:hint="eastAsia" w:ascii="仿宋_GB2312" w:hAnsi="仿宋_GB2312" w:eastAsia="仿宋_GB2312" w:cs="仿宋_GB2312"/>
          <w:color w:val="555555"/>
          <w:kern w:val="0"/>
          <w:sz w:val="32"/>
          <w:szCs w:val="32"/>
          <w:lang w:bidi="ar"/>
        </w:rPr>
        <w:t>万元，其中：政府采购货物预算</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万元；政府采购工程预算</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万元；政府采购服务预算</w:t>
      </w:r>
      <w:r>
        <w:rPr>
          <w:rFonts w:hint="eastAsia" w:ascii="仿宋_GB2312" w:hAnsi="仿宋_GB2312" w:eastAsia="仿宋_GB2312" w:cs="仿宋_GB2312"/>
          <w:color w:val="555555"/>
          <w:kern w:val="0"/>
          <w:sz w:val="32"/>
          <w:szCs w:val="32"/>
          <w:lang w:val="en-US" w:eastAsia="zh-CN" w:bidi="ar"/>
        </w:rPr>
        <w:t>4886.84</w:t>
      </w:r>
      <w:r>
        <w:rPr>
          <w:rFonts w:hint="eastAsia" w:ascii="仿宋_GB2312" w:hAnsi="仿宋_GB2312" w:eastAsia="仿宋_GB2312" w:cs="仿宋_GB2312"/>
          <w:color w:val="555555"/>
          <w:kern w:val="0"/>
          <w:sz w:val="32"/>
          <w:szCs w:val="32"/>
          <w:lang w:bidi="ar"/>
        </w:rPr>
        <w:t>万元。</w:t>
      </w:r>
    </w:p>
    <w:p w14:paraId="0C2FFD2A">
      <w:pPr>
        <w:widowControl/>
        <w:adjustRightInd w:val="0"/>
        <w:snapToGrid w:val="0"/>
        <w:spacing w:line="560" w:lineRule="exact"/>
        <w:ind w:firstLine="640" w:firstLineChars="200"/>
        <w:jc w:val="left"/>
        <w:rPr>
          <w:rFonts w:ascii="楷体" w:hAnsi="楷体" w:eastAsia="楷体" w:cs="楷体"/>
          <w:color w:val="555555"/>
          <w:kern w:val="0"/>
          <w:sz w:val="32"/>
          <w:szCs w:val="32"/>
          <w:lang w:bidi="ar"/>
        </w:rPr>
      </w:pPr>
      <w:r>
        <w:rPr>
          <w:rFonts w:hint="eastAsia" w:ascii="楷体_GB2312" w:hAnsi="楷体_GB2312" w:eastAsia="楷体_GB2312" w:cs="楷体_GB2312"/>
          <w:color w:val="555555"/>
          <w:kern w:val="0"/>
          <w:sz w:val="32"/>
          <w:szCs w:val="32"/>
          <w:lang w:bidi="ar"/>
        </w:rPr>
        <w:t>（三）国有资产占有使用情况</w:t>
      </w:r>
    </w:p>
    <w:p w14:paraId="14866740">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截至</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5年底，</w:t>
      </w:r>
      <w:r>
        <w:rPr>
          <w:rFonts w:hint="eastAsia" w:ascii="仿宋_GB2312" w:hAnsi="仿宋_GB2312" w:eastAsia="仿宋_GB2312" w:cs="仿宋_GB2312"/>
          <w:color w:val="555555"/>
          <w:kern w:val="0"/>
          <w:sz w:val="32"/>
          <w:szCs w:val="32"/>
          <w:lang w:val="en-US" w:eastAsia="zh-CN" w:bidi="ar"/>
        </w:rPr>
        <w:t>西昌市委党校</w:t>
      </w:r>
      <w:r>
        <w:rPr>
          <w:rFonts w:hint="eastAsia" w:ascii="仿宋_GB2312" w:hAnsi="仿宋_GB2312" w:eastAsia="仿宋_GB2312" w:cs="仿宋_GB2312"/>
          <w:color w:val="555555"/>
          <w:kern w:val="0"/>
          <w:sz w:val="32"/>
          <w:szCs w:val="32"/>
          <w:lang w:bidi="ar"/>
        </w:rPr>
        <w:t>所属各预算单位共有车辆</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辆，其中：</w:t>
      </w:r>
      <w:r>
        <w:rPr>
          <w:rFonts w:ascii="仿宋_GB2312" w:hAnsi="仿宋_GB2312" w:eastAsia="仿宋_GB2312" w:cs="仿宋_GB2312"/>
          <w:color w:val="555555"/>
          <w:kern w:val="0"/>
          <w:sz w:val="32"/>
          <w:szCs w:val="32"/>
          <w:lang w:bidi="ar"/>
        </w:rPr>
        <w:t>公务</w:t>
      </w:r>
      <w:r>
        <w:rPr>
          <w:rFonts w:hint="eastAsia" w:ascii="仿宋_GB2312" w:hAnsi="仿宋_GB2312" w:eastAsia="仿宋_GB2312" w:cs="仿宋_GB2312"/>
          <w:color w:val="555555"/>
          <w:kern w:val="0"/>
          <w:sz w:val="32"/>
          <w:szCs w:val="32"/>
          <w:lang w:bidi="ar"/>
        </w:rPr>
        <w:t>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辆、定向保障用车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辆、执法执勤用车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辆。单位价值50万元以上大型设备</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台（套）。</w:t>
      </w:r>
    </w:p>
    <w:p w14:paraId="7AC541E5">
      <w:pPr>
        <w:widowControl/>
        <w:adjustRightInd w:val="0"/>
        <w:snapToGrid w:val="0"/>
        <w:spacing w:line="560" w:lineRule="exact"/>
        <w:ind w:firstLine="640" w:firstLineChars="200"/>
        <w:jc w:val="left"/>
        <w:rPr>
          <w:rFonts w:ascii="楷体_GB2312" w:hAnsi="楷体_GB2312" w:eastAsia="楷体_GB2312" w:cs="楷体_GB2312"/>
          <w:color w:val="555555"/>
          <w:kern w:val="0"/>
          <w:sz w:val="32"/>
          <w:szCs w:val="32"/>
          <w:lang w:bidi="ar"/>
        </w:rPr>
      </w:pPr>
      <w:r>
        <w:rPr>
          <w:rFonts w:hint="eastAsia" w:ascii="楷体_GB2312" w:hAnsi="楷体_GB2312" w:eastAsia="楷体_GB2312" w:cs="楷体_GB2312"/>
          <w:color w:val="555555"/>
          <w:kern w:val="0"/>
          <w:sz w:val="32"/>
          <w:szCs w:val="32"/>
          <w:lang w:bidi="ar"/>
        </w:rPr>
        <w:t>（四）政府向社会力量购买服务情况</w:t>
      </w:r>
    </w:p>
    <w:p w14:paraId="4731273D">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西昌市委党校</w:t>
      </w:r>
      <w:r>
        <w:rPr>
          <w:rFonts w:hint="eastAsia" w:ascii="仿宋_GB2312" w:hAnsi="仿宋_GB2312" w:eastAsia="仿宋_GB2312" w:cs="仿宋_GB2312"/>
          <w:color w:val="555555"/>
          <w:kern w:val="0"/>
          <w:sz w:val="32"/>
          <w:szCs w:val="32"/>
          <w:lang w:bidi="ar"/>
        </w:rPr>
        <w:t>向社力量会购买服务预算总额</w:t>
      </w:r>
      <w:r>
        <w:rPr>
          <w:rFonts w:hint="eastAsia" w:ascii="仿宋_GB2312" w:hAnsi="仿宋_GB2312" w:eastAsia="仿宋_GB2312" w:cs="仿宋_GB2312"/>
          <w:color w:val="555555"/>
          <w:kern w:val="0"/>
          <w:sz w:val="32"/>
          <w:szCs w:val="32"/>
          <w:lang w:val="en-US" w:eastAsia="zh-CN" w:bidi="ar"/>
        </w:rPr>
        <w:t>4886.84</w:t>
      </w:r>
      <w:r>
        <w:rPr>
          <w:rFonts w:hint="eastAsia" w:ascii="仿宋_GB2312" w:hAnsi="仿宋_GB2312" w:eastAsia="仿宋_GB2312" w:cs="仿宋_GB2312"/>
          <w:color w:val="555555"/>
          <w:kern w:val="0"/>
          <w:sz w:val="32"/>
          <w:szCs w:val="32"/>
          <w:lang w:bidi="ar"/>
        </w:rPr>
        <w:t>万元，占部门预算的</w:t>
      </w:r>
      <w:r>
        <w:rPr>
          <w:rFonts w:hint="eastAsia" w:ascii="仿宋_GB2312" w:hAnsi="仿宋_GB2312" w:eastAsia="仿宋_GB2312" w:cs="仿宋_GB2312"/>
          <w:color w:val="555555"/>
          <w:kern w:val="0"/>
          <w:sz w:val="32"/>
          <w:szCs w:val="32"/>
          <w:lang w:val="en-US" w:eastAsia="zh-CN" w:bidi="ar"/>
        </w:rPr>
        <w:t>41.34</w:t>
      </w:r>
      <w:r>
        <w:rPr>
          <w:rFonts w:hint="eastAsia" w:ascii="仿宋_GB2312" w:hAnsi="仿宋_GB2312" w:eastAsia="仿宋_GB2312" w:cs="仿宋_GB2312"/>
          <w:color w:val="555555"/>
          <w:kern w:val="0"/>
          <w:sz w:val="32"/>
          <w:szCs w:val="32"/>
          <w:lang w:bidi="ar"/>
        </w:rPr>
        <w:t>%，资金全部为财政拨款。</w:t>
      </w:r>
    </w:p>
    <w:p w14:paraId="0D4DD8AE">
      <w:pPr>
        <w:widowControl/>
        <w:adjustRightInd w:val="0"/>
        <w:snapToGrid w:val="0"/>
        <w:spacing w:line="560" w:lineRule="exact"/>
        <w:ind w:firstLine="640" w:firstLineChars="200"/>
        <w:jc w:val="left"/>
        <w:rPr>
          <w:rFonts w:ascii="楷体_GB2312" w:hAnsi="楷体_GB2312" w:eastAsia="楷体_GB2312" w:cs="楷体_GB2312"/>
          <w:color w:val="555555"/>
          <w:kern w:val="0"/>
          <w:sz w:val="32"/>
          <w:szCs w:val="32"/>
          <w:lang w:bidi="ar"/>
        </w:rPr>
      </w:pPr>
      <w:r>
        <w:rPr>
          <w:rFonts w:hint="eastAsia" w:ascii="楷体_GB2312" w:hAnsi="楷体_GB2312" w:eastAsia="楷体_GB2312" w:cs="楷体_GB2312"/>
          <w:color w:val="555555"/>
          <w:kern w:val="0"/>
          <w:sz w:val="32"/>
          <w:szCs w:val="32"/>
          <w:lang w:bidi="ar"/>
        </w:rPr>
        <w:t>（五）绩效目标设置情况</w:t>
      </w:r>
    </w:p>
    <w:p w14:paraId="4BBFA50F">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bidi="ar"/>
        </w:rPr>
        <w:t>绩效目标是预算编制的前提和基础，按照“费随事定”的原则，</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西昌市委党校</w:t>
      </w:r>
      <w:r>
        <w:rPr>
          <w:rFonts w:hint="eastAsia" w:ascii="仿宋_GB2312" w:hAnsi="仿宋_GB2312" w:eastAsia="仿宋_GB2312" w:cs="仿宋_GB2312"/>
          <w:color w:val="555555"/>
          <w:kern w:val="0"/>
          <w:sz w:val="32"/>
          <w:szCs w:val="32"/>
          <w:lang w:bidi="ar"/>
        </w:rPr>
        <w:t>项目均按要求编制了绩效目标,从项目完成、项目效益、满意度等方面设置了绩效指标，综合反映项目预期完成的数量、成本、时效、质量，预期达到的社会效益、经济效益、生态效益、可持续影响以及服务对象满意度等情况，涉及预算</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万元。其中：一般公共预算拨款</w:t>
      </w:r>
      <w:r>
        <w:rPr>
          <w:rFonts w:hint="eastAsia" w:ascii="仿宋_GB2312" w:hAnsi="仿宋_GB2312" w:eastAsia="仿宋_GB2312" w:cs="仿宋_GB2312"/>
          <w:color w:val="555555"/>
          <w:kern w:val="0"/>
          <w:sz w:val="32"/>
          <w:szCs w:val="32"/>
          <w:lang w:val="en-US" w:eastAsia="zh-CN" w:bidi="ar"/>
        </w:rPr>
        <w:t>11822.03</w:t>
      </w:r>
      <w:r>
        <w:rPr>
          <w:rFonts w:hint="eastAsia" w:ascii="仿宋_GB2312" w:hAnsi="仿宋_GB2312" w:eastAsia="仿宋_GB2312" w:cs="仿宋_GB2312"/>
          <w:color w:val="555555"/>
          <w:kern w:val="0"/>
          <w:sz w:val="32"/>
          <w:szCs w:val="32"/>
          <w:lang w:bidi="ar"/>
        </w:rPr>
        <w:t>万元；政府性基金预算拨款</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w:t>
      </w:r>
    </w:p>
    <w:p w14:paraId="6280E69B">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十一、名词解释</w:t>
      </w:r>
    </w:p>
    <w:p w14:paraId="0FB61D1B">
      <w:pPr>
        <w:widowControl/>
        <w:numPr>
          <w:ilvl w:val="0"/>
          <w:numId w:val="0"/>
        </w:numPr>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(一)财政拨款收支情况：指一般公共预算、政府性基金预算、国有资本经营预算拨款收支情况。</w:t>
      </w:r>
    </w:p>
    <w:p w14:paraId="315353CB">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(二)一般公共预算拨款收入：指本级财政当年拨付的资金。</w:t>
      </w:r>
    </w:p>
    <w:p w14:paraId="6B95437F">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(三)事业收入：指事业单位开展专业业务活动及辅助活动所取得的收入。</w:t>
      </w:r>
    </w:p>
    <w:p w14:paraId="00133665">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(四)事业单位经营收入：指事业单位在专业业务活动及其辅助活动之外开展非独立核算经营活动取得的收入。</w:t>
      </w:r>
    </w:p>
    <w:p w14:paraId="60CA1B3F">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(五)其他收入：指除上述“一般公共预算拨款收入”、“事业收入”、“事业单位经营收入”等以外的收入。</w:t>
      </w:r>
    </w:p>
    <w:p w14:paraId="086A846F">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(六)上年结转：指以前年度尚未完成，结转到本年仍按原规定用途继续使用的资金。</w:t>
      </w:r>
    </w:p>
    <w:p w14:paraId="40B0FF61">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(七)社会保障和就业（类）行政事业单位离退休（款）事业单位离退休（项）：指离退休人员的支出。</w:t>
      </w:r>
    </w:p>
    <w:p w14:paraId="1FA7B3A4">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(八)社会保障和就业（类）行政事业单位离退休（款）未归口管理的行政单位离退休（项）：指离退休人员的支出。</w:t>
      </w:r>
    </w:p>
    <w:p w14:paraId="78C29B08">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(九)社会保障和就业（类）行政事业单位离退休（款）机关事业单位基本养老保险缴费支出（项）：指部门实施养老保险制度由单位缴纳的养老保险费的支出。</w:t>
      </w:r>
    </w:p>
    <w:p w14:paraId="2B30C79D">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(十)社会保障和就业（类）行政事业单位离退休（款）机关事业单位职业年金缴费支出（项）：指部门实施养老保险制度由单位缴纳的职业年金的支出。</w:t>
      </w:r>
    </w:p>
    <w:p w14:paraId="528B7BE3">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(十一)社会保障和就业（类）其他社会保障和就业（款）其他社会保障和就业支出（项）：指除上述项目外，其他用于行政事业单位离退休方面的支出。</w:t>
      </w:r>
    </w:p>
    <w:p w14:paraId="34B76BC1">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(十二)医疗卫生与计划生育（类）行政事业单位医疗（款）行政单位医疗（项）：指行政单位及参公管理事业单位用于缴纳单位基本医疗保险支出。</w:t>
      </w:r>
    </w:p>
    <w:p w14:paraId="41D72DE0">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(十三)医疗卫生与计划生育（类）行政事业单位医疗（款）事业单位医疗（项）：指事业单位用于缴纳单位基本医疗保险支出。</w:t>
      </w:r>
    </w:p>
    <w:p w14:paraId="337A865D">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(十四)医疗卫生与计划生育（类）行政事业单位医疗（款）公务员医疗补助（项）：指行政单位及参公管理事业单位用于集中缴纳公务员医疗补助支出。</w:t>
      </w:r>
    </w:p>
    <w:p w14:paraId="15FDFA44">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(十五)住房保障（类）住房改革支出（款）住房公积金（项）：指由单位及其在职职工按规定缴存的住房公积金支出。</w:t>
      </w:r>
    </w:p>
    <w:p w14:paraId="23D9850E">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(十六)基本支出：指为保证机构正常运转，完成日常工作任务而发生的人员支出和公用支出。</w:t>
      </w:r>
    </w:p>
    <w:p w14:paraId="0DC5DD41">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(十七)项目支出：指在基本支出之外为完成特定行政任务和事业发展目标所发生的支出。</w:t>
      </w:r>
    </w:p>
    <w:p w14:paraId="55EE3364">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八)三公经费：纳入预算管理的“三公”经费，是指部门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4CF9463">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十九）机关运行经费：为保障行政单位（包括参照公务员法管理事业单位）运行用于购买货物和服务的各项资金，包括办公及印刷费、邮电费、差旅费、会议费、福利费、日常维护费、专用材料及一般设备购置费、办公用房水电费、办公用房取暖费、办公用房物业管理费、公务用车运行维护以及其他费用。</w:t>
      </w:r>
    </w:p>
    <w:p w14:paraId="6DF8DE75">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p>
    <w:p w14:paraId="3F13598D">
      <w:pPr>
        <w:adjustRightInd w:val="0"/>
        <w:snapToGrid w:val="0"/>
        <w:spacing w:line="560" w:lineRule="exact"/>
        <w:ind w:firstLine="420" w:firstLineChars="200"/>
      </w:pPr>
    </w:p>
    <w:sectPr>
      <w:footerReference r:id="rId3" w:type="default"/>
      <w:pgSz w:w="11906" w:h="16838"/>
      <w:pgMar w:top="1440" w:right="1588" w:bottom="1077"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6CF423-5F98-4874-87ED-A3BA9B9A21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3AA0807E-C941-4668-BCE3-FD3C6E65F852}"/>
  </w:font>
  <w:font w:name="微软雅黑">
    <w:panose1 w:val="020B0503020204020204"/>
    <w:charset w:val="86"/>
    <w:family w:val="swiss"/>
    <w:pitch w:val="default"/>
    <w:sig w:usb0="80000287" w:usb1="2ACF3C50" w:usb2="00000016" w:usb3="00000000" w:csb0="0004001F" w:csb1="00000000"/>
    <w:embedRegular r:id="rId3" w:fontKey="{D18FB741-9CE4-4636-BED4-791B55B5E48E}"/>
  </w:font>
  <w:font w:name="Arial Unicode MS">
    <w:altName w:val="宋体"/>
    <w:panose1 w:val="020B0604020202020204"/>
    <w:charset w:val="86"/>
    <w:family w:val="auto"/>
    <w:pitch w:val="default"/>
    <w:sig w:usb0="00000000" w:usb1="00000000" w:usb2="0000003F" w:usb3="00000000" w:csb0="603F01FF" w:csb1="FFFF0000"/>
    <w:embedRegular r:id="rId4" w:fontKey="{6B5B41FE-B167-4671-923B-1DB614972667}"/>
  </w:font>
  <w:font w:name="DejaVu Sans">
    <w:altName w:val="Segoe Print"/>
    <w:panose1 w:val="020B0603030804020204"/>
    <w:charset w:val="00"/>
    <w:family w:val="auto"/>
    <w:pitch w:val="default"/>
    <w:sig w:usb0="00000000" w:usb1="00000000" w:usb2="0A246029" w:usb3="0400200C" w:csb0="600001FF" w:csb1="DFFF0000"/>
  </w:font>
  <w:font w:name="仿宋_GB2312">
    <w:altName w:val="仿宋"/>
    <w:panose1 w:val="02010609030101010101"/>
    <w:charset w:val="86"/>
    <w:family w:val="modern"/>
    <w:pitch w:val="default"/>
    <w:sig w:usb0="00000000" w:usb1="00000000" w:usb2="00000000" w:usb3="00000000" w:csb0="00040000" w:csb1="00000000"/>
    <w:embedRegular r:id="rId5" w:fontKey="{876DB37E-E55F-4E4E-A3D9-D1E7F0EE67FA}"/>
  </w:font>
  <w:font w:name="楷体_GB2312">
    <w:altName w:val="楷体"/>
    <w:panose1 w:val="02010609030101010101"/>
    <w:charset w:val="86"/>
    <w:family w:val="modern"/>
    <w:pitch w:val="default"/>
    <w:sig w:usb0="00000000" w:usb1="00000000" w:usb2="00000000" w:usb3="00000000" w:csb0="00040000" w:csb1="00000000"/>
    <w:embedRegular r:id="rId6" w:fontKey="{663602FF-8559-4AFC-B2D6-1E876CE26093}"/>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11D885F2-302E-4639-AE27-3AF677F6F951}"/>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DB71F">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16215278"/>
                          </w:sdtPr>
                          <w:sdtContent>
                            <w:p w14:paraId="4AA28BF5">
                              <w:pPr>
                                <w:pStyle w:val="6"/>
                                <w:jc w:val="cente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PAGE   \* MERGEFORMAT</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lang w:val="zh-CN"/>
                                </w:rPr>
                                <w:t>-</w:t>
                              </w:r>
                              <w:r>
                                <w:rPr>
                                  <w:rFonts w:asciiTheme="minorEastAsia" w:hAnsiTheme="minorEastAsia" w:cstheme="minorEastAsia"/>
                                  <w:sz w:val="28"/>
                                  <w:szCs w:val="28"/>
                                </w:rPr>
                                <w:t xml:space="preserve"> 5 -</w:t>
                              </w:r>
                              <w:r>
                                <w:rPr>
                                  <w:rFonts w:hint="eastAsia" w:asciiTheme="minorEastAsia" w:hAnsiTheme="minorEastAsia" w:cstheme="minorEastAsia"/>
                                  <w:sz w:val="28"/>
                                  <w:szCs w:val="28"/>
                                </w:rPr>
                                <w:fldChar w:fldCharType="end"/>
                              </w:r>
                            </w:p>
                          </w:sdtContent>
                        </w:sdt>
                        <w:p w14:paraId="18AD82F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16215278"/>
                    </w:sdtPr>
                    <w:sdtContent>
                      <w:p w14:paraId="4AA28BF5">
                        <w:pPr>
                          <w:pStyle w:val="6"/>
                          <w:jc w:val="cente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PAGE   \* MERGEFORMAT</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lang w:val="zh-CN"/>
                          </w:rPr>
                          <w:t>-</w:t>
                        </w:r>
                        <w:r>
                          <w:rPr>
                            <w:rFonts w:asciiTheme="minorEastAsia" w:hAnsiTheme="minorEastAsia" w:cstheme="minorEastAsia"/>
                            <w:sz w:val="28"/>
                            <w:szCs w:val="28"/>
                          </w:rPr>
                          <w:t xml:space="preserve"> 5 -</w:t>
                        </w:r>
                        <w:r>
                          <w:rPr>
                            <w:rFonts w:hint="eastAsia" w:asciiTheme="minorEastAsia" w:hAnsiTheme="minorEastAsia" w:cstheme="minorEastAsia"/>
                            <w:sz w:val="28"/>
                            <w:szCs w:val="28"/>
                          </w:rPr>
                          <w:fldChar w:fldCharType="end"/>
                        </w:r>
                      </w:p>
                    </w:sdtContent>
                  </w:sdt>
                  <w:p w14:paraId="18AD82F3"/>
                </w:txbxContent>
              </v:textbox>
            </v:shape>
          </w:pict>
        </mc:Fallback>
      </mc:AlternateContent>
    </w:r>
  </w:p>
  <w:p w14:paraId="256901EA">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NGRhMTEwZGFlZTY4YjE4MjY2MzAxNDY5ZTM3ZWYifQ=="/>
    <w:docVar w:name="KSO_WPS_MARK_KEY" w:val="59b1135e-013f-40c9-b0cf-baea2373f60a"/>
  </w:docVars>
  <w:rsids>
    <w:rsidRoot w:val="0003268C"/>
    <w:rsid w:val="0003268C"/>
    <w:rsid w:val="00054702"/>
    <w:rsid w:val="000569D9"/>
    <w:rsid w:val="00071908"/>
    <w:rsid w:val="00162931"/>
    <w:rsid w:val="001A4420"/>
    <w:rsid w:val="00241E18"/>
    <w:rsid w:val="002D42E4"/>
    <w:rsid w:val="00313E41"/>
    <w:rsid w:val="00343745"/>
    <w:rsid w:val="00390B8E"/>
    <w:rsid w:val="00453ED9"/>
    <w:rsid w:val="00470DD7"/>
    <w:rsid w:val="004C02CB"/>
    <w:rsid w:val="004C286E"/>
    <w:rsid w:val="005119B7"/>
    <w:rsid w:val="007575F7"/>
    <w:rsid w:val="007B57DB"/>
    <w:rsid w:val="00807ADC"/>
    <w:rsid w:val="008D4FAC"/>
    <w:rsid w:val="008E3615"/>
    <w:rsid w:val="008F66EA"/>
    <w:rsid w:val="00957A2E"/>
    <w:rsid w:val="00A4790E"/>
    <w:rsid w:val="00A64B96"/>
    <w:rsid w:val="00B30B3D"/>
    <w:rsid w:val="00B40EF0"/>
    <w:rsid w:val="00BD30A0"/>
    <w:rsid w:val="00C62A31"/>
    <w:rsid w:val="00C71E97"/>
    <w:rsid w:val="00CB5A72"/>
    <w:rsid w:val="00D03822"/>
    <w:rsid w:val="00D45540"/>
    <w:rsid w:val="00DA2DD6"/>
    <w:rsid w:val="00E0478A"/>
    <w:rsid w:val="00E2503D"/>
    <w:rsid w:val="00F15E4D"/>
    <w:rsid w:val="04EE11B8"/>
    <w:rsid w:val="06E617B1"/>
    <w:rsid w:val="092827A5"/>
    <w:rsid w:val="0D57397C"/>
    <w:rsid w:val="0D775610"/>
    <w:rsid w:val="104B091B"/>
    <w:rsid w:val="11B31CD3"/>
    <w:rsid w:val="157BDB32"/>
    <w:rsid w:val="1A00721B"/>
    <w:rsid w:val="1DD42A0E"/>
    <w:rsid w:val="261468ED"/>
    <w:rsid w:val="280B35B0"/>
    <w:rsid w:val="29FFF5DA"/>
    <w:rsid w:val="2BF72B87"/>
    <w:rsid w:val="2DF617F0"/>
    <w:rsid w:val="31A7752E"/>
    <w:rsid w:val="3294040E"/>
    <w:rsid w:val="37DF5D85"/>
    <w:rsid w:val="37EB064C"/>
    <w:rsid w:val="3BA7084C"/>
    <w:rsid w:val="3DF66661"/>
    <w:rsid w:val="40E361CD"/>
    <w:rsid w:val="42770F78"/>
    <w:rsid w:val="44F3492A"/>
    <w:rsid w:val="46FC312E"/>
    <w:rsid w:val="47DB21D1"/>
    <w:rsid w:val="4A060B45"/>
    <w:rsid w:val="4B745D6B"/>
    <w:rsid w:val="4C087983"/>
    <w:rsid w:val="4D033036"/>
    <w:rsid w:val="4D52649F"/>
    <w:rsid w:val="4FE626CF"/>
    <w:rsid w:val="52C94720"/>
    <w:rsid w:val="530B65F8"/>
    <w:rsid w:val="53890B18"/>
    <w:rsid w:val="557532DB"/>
    <w:rsid w:val="5F982CA4"/>
    <w:rsid w:val="5F9C095F"/>
    <w:rsid w:val="5FEF1F13"/>
    <w:rsid w:val="5FFD28A6"/>
    <w:rsid w:val="607B7A2E"/>
    <w:rsid w:val="627E1184"/>
    <w:rsid w:val="64DB22B5"/>
    <w:rsid w:val="68EB3CE2"/>
    <w:rsid w:val="6B450984"/>
    <w:rsid w:val="6C5D3F2A"/>
    <w:rsid w:val="6EDB36EA"/>
    <w:rsid w:val="6F679AC2"/>
    <w:rsid w:val="6FDE581C"/>
    <w:rsid w:val="735EB95A"/>
    <w:rsid w:val="742E6136"/>
    <w:rsid w:val="75ED1ECA"/>
    <w:rsid w:val="75FF7C9A"/>
    <w:rsid w:val="77FF17FE"/>
    <w:rsid w:val="78026BE5"/>
    <w:rsid w:val="78FF1D29"/>
    <w:rsid w:val="79CF22B0"/>
    <w:rsid w:val="79F02378"/>
    <w:rsid w:val="7B6F6527"/>
    <w:rsid w:val="7B7F88F2"/>
    <w:rsid w:val="7D6BE327"/>
    <w:rsid w:val="7D7C8113"/>
    <w:rsid w:val="7DEF1B95"/>
    <w:rsid w:val="7DFF2B89"/>
    <w:rsid w:val="7EAD2968"/>
    <w:rsid w:val="7FEFBBE5"/>
    <w:rsid w:val="7FF499EF"/>
    <w:rsid w:val="7FFA6C00"/>
    <w:rsid w:val="9FFFD122"/>
    <w:rsid w:val="A3A7FE3A"/>
    <w:rsid w:val="B1BDBDB9"/>
    <w:rsid w:val="B4FF4181"/>
    <w:rsid w:val="B7DD122A"/>
    <w:rsid w:val="B7FF0819"/>
    <w:rsid w:val="B9FFA1B8"/>
    <w:rsid w:val="BA1FDDE7"/>
    <w:rsid w:val="BDFFADF6"/>
    <w:rsid w:val="BFE72AFD"/>
    <w:rsid w:val="CFF77F21"/>
    <w:rsid w:val="D5DF26A3"/>
    <w:rsid w:val="D7FF8A9A"/>
    <w:rsid w:val="DF9A1A77"/>
    <w:rsid w:val="E6FB52F6"/>
    <w:rsid w:val="E93C03F9"/>
    <w:rsid w:val="EBBEA9E5"/>
    <w:rsid w:val="EDFBFF33"/>
    <w:rsid w:val="EFFE0932"/>
    <w:rsid w:val="F0F3292E"/>
    <w:rsid w:val="F56C25D0"/>
    <w:rsid w:val="F5F7CA0C"/>
    <w:rsid w:val="F5FF16E3"/>
    <w:rsid w:val="F7FD1725"/>
    <w:rsid w:val="F87FC0A8"/>
    <w:rsid w:val="F9CFB5BD"/>
    <w:rsid w:val="FA7DF24C"/>
    <w:rsid w:val="FBFFDED3"/>
    <w:rsid w:val="FBFFFF83"/>
    <w:rsid w:val="FD54E6BC"/>
    <w:rsid w:val="FDF77D5C"/>
    <w:rsid w:val="FDFB58A7"/>
    <w:rsid w:val="FE6D9580"/>
    <w:rsid w:val="FF6F393A"/>
    <w:rsid w:val="FFBD0DD4"/>
    <w:rsid w:val="FFDB4D16"/>
    <w:rsid w:val="FFDD0253"/>
    <w:rsid w:val="FFFBAA8F"/>
    <w:rsid w:val="FFFBDA8F"/>
    <w:rsid w:val="FFFF8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annotation text"/>
    <w:basedOn w:val="1"/>
    <w:link w:val="19"/>
    <w:unhideWhenUsed/>
    <w:qFormat/>
    <w:uiPriority w:val="99"/>
    <w:pPr>
      <w:jc w:val="left"/>
    </w:pPr>
  </w:style>
  <w:style w:type="paragraph" w:styleId="5">
    <w:name w:val="Balloon Text"/>
    <w:basedOn w:val="1"/>
    <w:link w:val="18"/>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4"/>
    <w:next w:val="4"/>
    <w:link w:val="20"/>
    <w:unhideWhenUsed/>
    <w:qFormat/>
    <w:uiPriority w:val="99"/>
    <w:rPr>
      <w:b/>
      <w:bCs/>
    </w:rPr>
  </w:style>
  <w:style w:type="character" w:styleId="12">
    <w:name w:val="Hyperlink"/>
    <w:basedOn w:val="11"/>
    <w:qFormat/>
    <w:uiPriority w:val="0"/>
    <w:rPr>
      <w:color w:val="0000FF"/>
      <w:u w:val="single"/>
    </w:rPr>
  </w:style>
  <w:style w:type="character" w:styleId="13">
    <w:name w:val="annotation reference"/>
    <w:basedOn w:val="11"/>
    <w:unhideWhenUsed/>
    <w:qFormat/>
    <w:uiPriority w:val="99"/>
    <w:rPr>
      <w:sz w:val="21"/>
      <w:szCs w:val="21"/>
    </w:rPr>
  </w:style>
  <w:style w:type="character" w:customStyle="1" w:styleId="14">
    <w:name w:val="标题 1 Char"/>
    <w:basedOn w:val="11"/>
    <w:link w:val="3"/>
    <w:qFormat/>
    <w:uiPriority w:val="0"/>
    <w:rPr>
      <w:rFonts w:ascii="宋体" w:hAnsi="宋体" w:eastAsia="宋体" w:cs="Times New Roman"/>
      <w:b/>
      <w:kern w:val="44"/>
      <w:sz w:val="48"/>
      <w:szCs w:val="48"/>
    </w:rPr>
  </w:style>
  <w:style w:type="paragraph" w:customStyle="1" w:styleId="15">
    <w:name w:val="列出段落1"/>
    <w:basedOn w:val="1"/>
    <w:qFormat/>
    <w:uiPriority w:val="34"/>
    <w:pPr>
      <w:ind w:firstLine="420" w:firstLineChars="200"/>
    </w:pPr>
  </w:style>
  <w:style w:type="character" w:customStyle="1" w:styleId="16">
    <w:name w:val="页眉 Char"/>
    <w:basedOn w:val="11"/>
    <w:link w:val="7"/>
    <w:qFormat/>
    <w:uiPriority w:val="99"/>
    <w:rPr>
      <w:sz w:val="18"/>
      <w:szCs w:val="18"/>
    </w:rPr>
  </w:style>
  <w:style w:type="character" w:customStyle="1" w:styleId="17">
    <w:name w:val="页脚 Char"/>
    <w:basedOn w:val="11"/>
    <w:link w:val="6"/>
    <w:qFormat/>
    <w:uiPriority w:val="99"/>
    <w:rPr>
      <w:sz w:val="18"/>
      <w:szCs w:val="18"/>
    </w:rPr>
  </w:style>
  <w:style w:type="character" w:customStyle="1" w:styleId="18">
    <w:name w:val="批注框文本 Char"/>
    <w:basedOn w:val="11"/>
    <w:link w:val="5"/>
    <w:semiHidden/>
    <w:qFormat/>
    <w:uiPriority w:val="99"/>
    <w:rPr>
      <w:sz w:val="18"/>
      <w:szCs w:val="18"/>
    </w:rPr>
  </w:style>
  <w:style w:type="character" w:customStyle="1" w:styleId="19">
    <w:name w:val="批注文字 Char"/>
    <w:basedOn w:val="11"/>
    <w:link w:val="4"/>
    <w:semiHidden/>
    <w:qFormat/>
    <w:uiPriority w:val="99"/>
    <w:rPr>
      <w:kern w:val="2"/>
      <w:sz w:val="21"/>
      <w:szCs w:val="24"/>
    </w:rPr>
  </w:style>
  <w:style w:type="character" w:customStyle="1" w:styleId="20">
    <w:name w:val="批注主题 Char"/>
    <w:basedOn w:val="19"/>
    <w:link w:val="9"/>
    <w:semiHidden/>
    <w:qFormat/>
    <w:uiPriority w:val="99"/>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4653</Words>
  <Characters>5120</Characters>
  <Lines>26</Lines>
  <Paragraphs>7</Paragraphs>
  <TotalTime>2</TotalTime>
  <ScaleCrop>false</ScaleCrop>
  <LinksUpToDate>false</LinksUpToDate>
  <CharactersWithSpaces>5169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2019-03-31T02:46:00Z</dcterms:created>
  <dc:creator>Admin</dc:creator>
  <cp:lastModifiedBy>admin</cp:lastModifiedBy>
  <cp:lastPrinted>2019-03-31T02:37:00Z</cp:lastPrinted>
  <dcterms:modified xsi:type="dcterms:W3CDTF">2026-02-14T08:41:25Z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D784035C7F0349FE80B7284382EEB5A6_13</vt:lpwstr>
  </property>
  <property fmtid="{D5CDD505-2E9C-101B-9397-08002B2CF9AE}" pid="4" name="KSOTemplateDocerSaveRecord">
    <vt:lpwstr>eyJoZGlkIjoiY2MyZTJjMDVmMDk3OThlMDcxMmYwN2U5ZDQ3ZDFjY2MifQ==</vt:lpwstr>
  </property>
</Properties>
</file>