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spacing w:line="480" w:lineRule="exact"/>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rPr>
        <w:t>黑水县十四届人大</w:t>
      </w:r>
    </w:p>
    <w:p>
      <w:pPr>
        <w:spacing w:line="480" w:lineRule="exact"/>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lang w:val="en-US" w:eastAsia="zh-CN"/>
        </w:rPr>
        <w:t>六</w:t>
      </w:r>
      <w:r>
        <w:rPr>
          <w:rFonts w:hint="eastAsia" w:ascii="方正楷体_GBK" w:hAnsi="方正楷体_GBK" w:eastAsia="方正楷体_GBK" w:cs="方正楷体_GBK"/>
          <w:sz w:val="28"/>
          <w:szCs w:val="28"/>
        </w:rPr>
        <w:t>次会议文件（</w:t>
      </w:r>
      <w:r>
        <w:rPr>
          <w:rFonts w:hint="eastAsia" w:ascii="方正楷体_GBK" w:hAnsi="方正楷体_GBK" w:eastAsia="方正楷体_GBK" w:cs="方正楷体_GBK"/>
          <w:sz w:val="28"/>
          <w:szCs w:val="28"/>
          <w:lang w:val="en-US" w:eastAsia="zh-CN"/>
        </w:rPr>
        <w:t>十二</w:t>
      </w:r>
      <w:r>
        <w:rPr>
          <w:rFonts w:hint="eastAsia" w:ascii="方正楷体_GBK" w:hAnsi="方正楷体_GBK" w:eastAsia="方正楷体_GBK" w:cs="方正楷体_GBK"/>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320" w:firstLineChars="100"/>
        <w:textAlignment w:val="auto"/>
        <w:rPr>
          <w:rFonts w:hint="default" w:ascii="Times New Roman" w:hAnsi="Times New Roman" w:eastAsia="仿宋_GB2312" w:cs="Times New Roman"/>
          <w:color w:val="000000"/>
          <w:sz w:val="32"/>
          <w:szCs w:val="32"/>
          <w:highlight w:val="none"/>
        </w:rPr>
      </w:pPr>
      <w:bookmarkStart w:id="0" w:name="_GoBack"/>
      <w:bookmarkEnd w:id="0"/>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sz w:val="32"/>
          <w:szCs w:val="32"/>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jc w:val="center"/>
        <w:textAlignment w:val="auto"/>
        <w:rPr>
          <w:rFonts w:hint="default" w:ascii="Times New Roman" w:hAnsi="Times New Roman" w:eastAsia="方正小标宋_GBK" w:cs="Times New Roman"/>
          <w:color w:val="auto"/>
          <w:sz w:val="44"/>
          <w:szCs w:val="44"/>
          <w:lang w:val="en-US" w:eastAsia="zh-CN" w:bidi="ar-SA"/>
        </w:rPr>
      </w:pPr>
      <w:r>
        <w:rPr>
          <w:rFonts w:hint="default" w:ascii="Times New Roman" w:hAnsi="Times New Roman" w:eastAsia="方正小标宋_GBK" w:cs="Times New Roman"/>
          <w:color w:val="auto"/>
          <w:sz w:val="44"/>
          <w:szCs w:val="44"/>
          <w:lang w:val="en-US" w:eastAsia="zh-CN" w:bidi="ar-SA"/>
        </w:rPr>
        <w:t>黑水县</w:t>
      </w:r>
      <w:r>
        <w:rPr>
          <w:rFonts w:hint="default" w:ascii="Times New Roman" w:hAnsi="Times New Roman" w:eastAsia="方正小标宋_GBK" w:cs="Times New Roman"/>
          <w:color w:val="000000"/>
          <w:kern w:val="0"/>
          <w:sz w:val="44"/>
          <w:szCs w:val="44"/>
          <w:shd w:val="clear" w:color="auto" w:fill="auto"/>
          <w:lang w:bidi="ar-SA"/>
        </w:rPr>
        <w:t>2025</w:t>
      </w:r>
      <w:r>
        <w:rPr>
          <w:rFonts w:hint="default" w:ascii="Times New Roman" w:hAnsi="Times New Roman" w:eastAsia="方正小标宋_GBK" w:cs="Times New Roman"/>
          <w:color w:val="auto"/>
          <w:sz w:val="44"/>
          <w:szCs w:val="44"/>
          <w:lang w:val="en-US" w:eastAsia="zh-CN" w:bidi="ar-SA"/>
        </w:rPr>
        <w:t>年财政预算执行情况和</w:t>
      </w:r>
      <w:r>
        <w:rPr>
          <w:rFonts w:hint="default" w:ascii="Times New Roman" w:hAnsi="Times New Roman" w:eastAsia="方正小标宋_GBK" w:cs="Times New Roman"/>
          <w:color w:val="000000"/>
          <w:kern w:val="0"/>
          <w:sz w:val="44"/>
          <w:szCs w:val="44"/>
          <w:shd w:val="clear" w:color="auto" w:fill="auto"/>
          <w:lang w:val="en-US" w:eastAsia="zh-CN"/>
        </w:rPr>
        <w:t>2026</w:t>
      </w:r>
      <w:r>
        <w:rPr>
          <w:rFonts w:hint="default" w:ascii="Times New Roman" w:hAnsi="Times New Roman" w:eastAsia="方正小标宋_GBK" w:cs="Times New Roman"/>
          <w:color w:val="auto"/>
          <w:sz w:val="44"/>
          <w:szCs w:val="44"/>
          <w:lang w:val="en-US" w:eastAsia="zh-CN" w:bidi="ar-SA"/>
        </w:rPr>
        <w:t>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jc w:val="center"/>
        <w:textAlignment w:val="auto"/>
        <w:rPr>
          <w:rFonts w:hint="default" w:ascii="Times New Roman" w:hAnsi="Times New Roman" w:eastAsia="方正小标宋_GBK" w:cs="Times New Roman"/>
          <w:color w:val="auto"/>
          <w:sz w:val="44"/>
          <w:szCs w:val="44"/>
          <w:lang w:val="en-US" w:eastAsia="zh-CN" w:bidi="ar-SA"/>
        </w:rPr>
      </w:pPr>
      <w:r>
        <w:rPr>
          <w:rFonts w:hint="default" w:ascii="Times New Roman" w:hAnsi="Times New Roman" w:eastAsia="方正小标宋_GBK" w:cs="Times New Roman"/>
          <w:color w:val="auto"/>
          <w:sz w:val="44"/>
          <w:szCs w:val="44"/>
          <w:lang w:val="en-US" w:eastAsia="zh-CN" w:bidi="ar-SA"/>
        </w:rPr>
        <w:t>财政预算（草案）的报告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jc w:val="both"/>
        <w:textAlignment w:val="auto"/>
        <w:rPr>
          <w:rFonts w:hint="default" w:ascii="Times New Roman" w:hAnsi="Times New Roman" w:eastAsia="仿宋_GB2312" w:cs="Times New Roman"/>
          <w:color w:val="auto"/>
          <w:sz w:val="32"/>
          <w:szCs w:val="32"/>
          <w:highlight w:val="none"/>
          <w:lang w:eastAsia="zh-CN" w:bidi="ar-SA"/>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val="0"/>
          <w:bCs/>
          <w:sz w:val="32"/>
          <w:szCs w:val="32"/>
          <w:lang w:val="en-US" w:eastAsia="zh-CN"/>
        </w:rPr>
        <w:t>2026年1月22日在</w:t>
      </w:r>
      <w:r>
        <w:rPr>
          <w:rFonts w:hint="default" w:ascii="Times New Roman" w:hAnsi="Times New Roman" w:eastAsia="方正楷体_GBK" w:cs="Times New Roman"/>
          <w:sz w:val="32"/>
          <w:szCs w:val="32"/>
        </w:rPr>
        <w:t>黑水县第十四届人民代表大会第</w:t>
      </w:r>
      <w:r>
        <w:rPr>
          <w:rFonts w:hint="default" w:ascii="Times New Roman" w:hAnsi="Times New Roman" w:eastAsia="方正楷体_GBK" w:cs="Times New Roman"/>
          <w:sz w:val="32"/>
          <w:szCs w:val="32"/>
          <w:lang w:val="en-US" w:eastAsia="zh-CN"/>
        </w:rPr>
        <w:t>六</w:t>
      </w:r>
      <w:r>
        <w:rPr>
          <w:rFonts w:hint="default" w:ascii="Times New Roman" w:hAnsi="Times New Roman" w:eastAsia="方正楷体_GBK" w:cs="Times New Roman"/>
          <w:sz w:val="32"/>
          <w:szCs w:val="32"/>
        </w:rPr>
        <w:t>次会议上</w:t>
      </w:r>
    </w:p>
    <w:p>
      <w:pPr>
        <w:pStyle w:val="2"/>
        <w:keepNext w:val="0"/>
        <w:keepLines w:val="0"/>
        <w:pageBreakBefore w:val="0"/>
        <w:widowControl w:val="0"/>
        <w:kinsoku/>
        <w:wordWrap/>
        <w:overflowPunct/>
        <w:topLinePunct w:val="0"/>
        <w:autoSpaceDE/>
        <w:autoSpaceDN/>
        <w:bidi w:val="0"/>
        <w:spacing w:after="0" w:line="560" w:lineRule="exact"/>
        <w:jc w:val="center"/>
        <w:textAlignment w:val="auto"/>
        <w:rPr>
          <w:rFonts w:hint="default" w:ascii="Times New Roman" w:hAnsi="Times New Roman" w:eastAsia="仿宋_GB2312" w:cs="Times New Roman"/>
          <w:color w:val="auto"/>
          <w:sz w:val="32"/>
          <w:szCs w:val="32"/>
          <w:highlight w:val="none"/>
          <w:lang w:eastAsia="zh-CN" w:bidi="ar-SA"/>
        </w:rPr>
      </w:pPr>
      <w:r>
        <w:rPr>
          <w:rFonts w:hint="default" w:ascii="Times New Roman" w:hAnsi="Times New Roman" w:eastAsia="方正楷体_GBK" w:cs="Times New Roman"/>
          <w:kern w:val="2"/>
          <w:sz w:val="32"/>
          <w:szCs w:val="32"/>
          <w:lang w:val="en-US" w:eastAsia="zh-CN" w:bidi="ar-SA"/>
        </w:rPr>
        <w:t>黑水县财政局</w:t>
      </w:r>
      <w:r>
        <w:rPr>
          <w:rFonts w:hint="default" w:ascii="Times New Roman" w:hAnsi="Times New Roman" w:eastAsia="方正楷体_GBK" w:cs="Times New Roman"/>
          <w:kern w:val="2"/>
          <w:sz w:val="32"/>
          <w:szCs w:val="32"/>
          <w:highlight w:val="none"/>
          <w:lang w:val="en-US" w:eastAsia="zh-CN" w:bidi="ar-SA"/>
        </w:rPr>
        <w:t>局长</w:t>
      </w:r>
      <w:r>
        <w:rPr>
          <w:rFonts w:hint="default" w:ascii="Times New Roman" w:hAnsi="Times New Roman" w:eastAsia="方正楷体_GBK" w:cs="Times New Roman"/>
          <w:kern w:val="2"/>
          <w:sz w:val="32"/>
          <w:szCs w:val="32"/>
          <w:lang w:val="en-US" w:eastAsia="zh-CN" w:bidi="ar-SA"/>
        </w:rPr>
        <w:t xml:space="preserve">  </w:t>
      </w:r>
      <w:r>
        <w:rPr>
          <w:rFonts w:hint="default" w:ascii="Times New Roman" w:hAnsi="Times New Roman" w:eastAsia="方正楷体_GBK" w:cs="Times New Roman"/>
          <w:b/>
          <w:bCs/>
          <w:kern w:val="2"/>
          <w:sz w:val="32"/>
          <w:szCs w:val="32"/>
          <w:lang w:val="en-US" w:eastAsia="zh-CN" w:bidi="ar-SA"/>
        </w:rPr>
        <w:t>周明鹏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各位代表：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bidi="ar-SA"/>
        </w:rPr>
      </w:pPr>
      <w:r>
        <w:rPr>
          <w:rFonts w:hint="default" w:ascii="Times New Roman" w:hAnsi="Times New Roman" w:eastAsia="仿宋_GB2312" w:cs="Times New Roman"/>
          <w:sz w:val="32"/>
          <w:szCs w:val="32"/>
          <w:lang w:val="en-US" w:eastAsia="zh-CN"/>
        </w:rPr>
        <w:t>我受县人民政府委托，向大会报告黑水县2025年财政预算执行情况和2026年财政预算（草案），请予审议，并请</w:t>
      </w:r>
      <w:r>
        <w:rPr>
          <w:rFonts w:hint="eastAsia" w:ascii="Times New Roman" w:hAnsi="Times New Roman" w:eastAsia="仿宋_GB2312" w:cs="Times New Roman"/>
          <w:sz w:val="32"/>
          <w:szCs w:val="32"/>
          <w:lang w:val="en-US" w:eastAsia="zh-CN"/>
        </w:rPr>
        <w:t>列席人员</w:t>
      </w:r>
      <w:r>
        <w:rPr>
          <w:rFonts w:hint="default" w:ascii="Times New Roman" w:hAnsi="Times New Roman" w:eastAsia="仿宋_GB2312" w:cs="Times New Roman"/>
          <w:sz w:val="32"/>
          <w:szCs w:val="32"/>
          <w:lang w:val="en-US" w:eastAsia="zh-CN"/>
        </w:rPr>
        <w:t>提出意见。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snapToGrid w:val="0"/>
          <w:color w:val="auto"/>
          <w:sz w:val="32"/>
          <w:szCs w:val="32"/>
          <w:highlight w:val="none"/>
          <w:lang w:val="en-US" w:eastAsia="zh-CN" w:bidi="ar-SA"/>
        </w:rPr>
      </w:pPr>
      <w:r>
        <w:rPr>
          <w:rFonts w:hint="default" w:ascii="Times New Roman" w:hAnsi="Times New Roman" w:eastAsia="黑体" w:cs="Times New Roman"/>
          <w:snapToGrid w:val="0"/>
          <w:color w:val="auto"/>
          <w:sz w:val="32"/>
          <w:szCs w:val="32"/>
          <w:highlight w:val="none"/>
          <w:lang w:val="en-US" w:eastAsia="zh-CN" w:bidi="ar-SA"/>
        </w:rPr>
        <w:t>一、2025年财政预算执行情况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在县委、县政府的坚强领导与县人大及其常委会、县政协的有力监督支持下，我们坚持以习近平新时代中国特色社会主义思想为指导，全面贯彻党的二十大及二十届历次全会精神，深入贯彻落实中省州及县委、县政府系列决策部署，聚焦州委“1610”和县委“一地三县六区”战略目标，紧扣“四业同优、六片共兴，四向发力、六区共建”工作思路，打好财政工作“组合拳”，助力县域经济高质量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color w:val="auto"/>
          <w:sz w:val="32"/>
          <w:szCs w:val="32"/>
          <w:highlight w:val="none"/>
          <w:lang w:val="en-US" w:eastAsia="zh-CN" w:bidi="ar-SA"/>
        </w:rPr>
      </w:pPr>
      <w:r>
        <w:rPr>
          <w:rFonts w:hint="eastAsia" w:ascii="楷体_GB2312" w:hAnsi="楷体_GB2312" w:eastAsia="楷体_GB2312" w:cs="楷体_GB2312"/>
          <w:b/>
          <w:bCs/>
          <w:sz w:val="32"/>
          <w:szCs w:val="32"/>
          <w:lang w:val="en-US" w:eastAsia="zh-CN"/>
        </w:rPr>
        <w:t>（一）预算执行情况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1.一般公共预算执行情况。2025年，预计完成一般公共预算收入</w:t>
      </w:r>
      <w:r>
        <w:rPr>
          <w:rFonts w:hint="eastAsia" w:ascii="仿宋_GB2312" w:hAnsi="仿宋_GB2312" w:eastAsia="仿宋_GB2312" w:cs="仿宋_GB2312"/>
          <w:b/>
          <w:bCs/>
          <w:sz w:val="32"/>
          <w:szCs w:val="32"/>
          <w:lang w:val="en-US" w:eastAsia="zh-CN"/>
        </w:rPr>
        <w:t>218415</w:t>
      </w:r>
      <w:r>
        <w:rPr>
          <w:rFonts w:hint="eastAsia" w:ascii="仿宋_GB2312" w:hAnsi="仿宋_GB2312" w:eastAsia="仿宋_GB2312" w:cs="仿宋_GB2312"/>
          <w:b/>
          <w:bCs/>
          <w:sz w:val="32"/>
          <w:szCs w:val="32"/>
          <w:lang w:eastAsia="zh-CN"/>
        </w:rPr>
        <w:t>万元，比202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年增加</w:t>
      </w:r>
      <w:r>
        <w:rPr>
          <w:rFonts w:hint="eastAsia" w:ascii="仿宋_GB2312" w:hAnsi="仿宋_GB2312" w:eastAsia="仿宋_GB2312" w:cs="仿宋_GB2312"/>
          <w:b/>
          <w:bCs/>
          <w:sz w:val="32"/>
          <w:szCs w:val="32"/>
          <w:lang w:val="en-US" w:eastAsia="zh-CN"/>
        </w:rPr>
        <w:t>15647</w:t>
      </w:r>
      <w:r>
        <w:rPr>
          <w:rFonts w:hint="eastAsia" w:ascii="仿宋_GB2312" w:hAnsi="仿宋_GB2312" w:eastAsia="仿宋_GB2312" w:cs="仿宋_GB2312"/>
          <w:b/>
          <w:bCs/>
          <w:sz w:val="32"/>
          <w:szCs w:val="32"/>
          <w:lang w:eastAsia="zh-CN"/>
        </w:rPr>
        <w:t>万元，增长</w:t>
      </w:r>
      <w:r>
        <w:rPr>
          <w:rFonts w:hint="eastAsia" w:ascii="仿宋_GB2312" w:hAnsi="仿宋_GB2312" w:eastAsia="仿宋_GB2312" w:cs="仿宋_GB2312"/>
          <w:b/>
          <w:bCs/>
          <w:sz w:val="32"/>
          <w:szCs w:val="32"/>
          <w:lang w:val="en-US" w:eastAsia="zh-CN"/>
        </w:rPr>
        <w:t>7.72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与县第十四届人大常委会第二十八次会议通过的调整预算数184764万元相比增加33651万元，增长18.21%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其中：预计完成地方一般公共预算收入</w:t>
      </w:r>
      <w:r>
        <w:rPr>
          <w:rFonts w:hint="eastAsia" w:ascii="仿宋_GB2312" w:hAnsi="仿宋_GB2312" w:eastAsia="仿宋_GB2312" w:cs="仿宋_GB2312"/>
          <w:sz w:val="32"/>
          <w:szCs w:val="32"/>
          <w:lang w:val="en-US" w:eastAsia="zh-CN"/>
        </w:rPr>
        <w:t>12243</w:t>
      </w:r>
      <w:r>
        <w:rPr>
          <w:rFonts w:hint="eastAsia" w:ascii="仿宋_GB2312" w:hAnsi="仿宋_GB2312" w:eastAsia="仿宋_GB2312" w:cs="仿宋_GB2312"/>
          <w:sz w:val="32"/>
          <w:szCs w:val="32"/>
          <w:lang w:eastAsia="zh-CN"/>
        </w:rPr>
        <w:t>万元，预计完成年初预算的</w:t>
      </w:r>
      <w:r>
        <w:rPr>
          <w:rFonts w:hint="eastAsia" w:ascii="仿宋_GB2312" w:hAnsi="仿宋_GB2312" w:eastAsia="仿宋_GB2312" w:cs="仿宋_GB2312"/>
          <w:sz w:val="32"/>
          <w:szCs w:val="32"/>
          <w:lang w:val="en-US" w:eastAsia="zh-CN"/>
        </w:rPr>
        <w:t>104.33</w:t>
      </w:r>
      <w:r>
        <w:rPr>
          <w:rFonts w:hint="eastAsia" w:ascii="仿宋_GB2312" w:hAnsi="仿宋_GB2312" w:eastAsia="仿宋_GB2312" w:cs="仿宋_GB2312"/>
          <w:sz w:val="32"/>
          <w:szCs w:val="32"/>
          <w:lang w:eastAsia="zh-CN"/>
        </w:rPr>
        <w:t>%，较上年增长</w:t>
      </w:r>
      <w:r>
        <w:rPr>
          <w:rFonts w:hint="eastAsia" w:ascii="仿宋_GB2312" w:hAnsi="仿宋_GB2312" w:eastAsia="仿宋_GB2312" w:cs="仿宋_GB2312"/>
          <w:sz w:val="32"/>
          <w:szCs w:val="32"/>
          <w:lang w:val="en-US" w:eastAsia="zh-CN"/>
        </w:rPr>
        <w:t>10.25</w:t>
      </w:r>
      <w:r>
        <w:rPr>
          <w:rFonts w:hint="eastAsia" w:ascii="仿宋_GB2312" w:hAnsi="仿宋_GB2312" w:eastAsia="仿宋_GB2312" w:cs="仿宋_GB2312"/>
          <w:sz w:val="32"/>
          <w:szCs w:val="32"/>
          <w:lang w:eastAsia="zh-CN"/>
        </w:rPr>
        <w:t>%（税收收入</w:t>
      </w:r>
      <w:r>
        <w:rPr>
          <w:rFonts w:hint="eastAsia" w:ascii="仿宋_GB2312" w:hAnsi="仿宋_GB2312" w:eastAsia="仿宋_GB2312" w:cs="仿宋_GB2312"/>
          <w:sz w:val="32"/>
          <w:szCs w:val="32"/>
          <w:lang w:val="en-US" w:eastAsia="zh-CN"/>
        </w:rPr>
        <w:t>9148</w:t>
      </w:r>
      <w:r>
        <w:rPr>
          <w:rFonts w:hint="eastAsia" w:ascii="仿宋_GB2312" w:hAnsi="仿宋_GB2312" w:eastAsia="仿宋_GB2312" w:cs="仿宋_GB2312"/>
          <w:sz w:val="32"/>
          <w:szCs w:val="32"/>
          <w:lang w:eastAsia="zh-CN"/>
        </w:rPr>
        <w:t>万元，为年初预算的</w:t>
      </w:r>
      <w:r>
        <w:rPr>
          <w:rFonts w:hint="eastAsia" w:ascii="仿宋_GB2312" w:hAnsi="仿宋_GB2312" w:eastAsia="仿宋_GB2312" w:cs="仿宋_GB2312"/>
          <w:sz w:val="32"/>
          <w:szCs w:val="32"/>
          <w:lang w:val="en-US" w:eastAsia="zh-CN"/>
        </w:rPr>
        <w:t>100.14</w:t>
      </w:r>
      <w:r>
        <w:rPr>
          <w:rFonts w:hint="eastAsia" w:ascii="仿宋_GB2312" w:hAnsi="仿宋_GB2312" w:eastAsia="仿宋_GB2312" w:cs="仿宋_GB2312"/>
          <w:sz w:val="32"/>
          <w:szCs w:val="32"/>
          <w:lang w:eastAsia="zh-CN"/>
        </w:rPr>
        <w:t>%，占地方一般公共预算收入的</w:t>
      </w:r>
      <w:r>
        <w:rPr>
          <w:rFonts w:hint="eastAsia" w:ascii="仿宋_GB2312" w:hAnsi="仿宋_GB2312" w:eastAsia="仿宋_GB2312" w:cs="仿宋_GB2312"/>
          <w:sz w:val="32"/>
          <w:szCs w:val="32"/>
          <w:lang w:val="en-US" w:eastAsia="zh-CN"/>
        </w:rPr>
        <w:t>74.72</w:t>
      </w:r>
      <w:r>
        <w:rPr>
          <w:rFonts w:hint="eastAsia" w:ascii="仿宋_GB2312" w:hAnsi="仿宋_GB2312" w:eastAsia="仿宋_GB2312" w:cs="仿宋_GB2312"/>
          <w:sz w:val="32"/>
          <w:szCs w:val="32"/>
          <w:lang w:eastAsia="zh-CN"/>
        </w:rPr>
        <w:t>%；非税收入</w:t>
      </w:r>
      <w:r>
        <w:rPr>
          <w:rFonts w:hint="eastAsia" w:ascii="仿宋_GB2312" w:hAnsi="仿宋_GB2312" w:eastAsia="仿宋_GB2312" w:cs="仿宋_GB2312"/>
          <w:sz w:val="32"/>
          <w:szCs w:val="32"/>
          <w:lang w:val="en-US" w:eastAsia="zh-CN"/>
        </w:rPr>
        <w:t>3095</w:t>
      </w:r>
      <w:r>
        <w:rPr>
          <w:rFonts w:hint="eastAsia" w:ascii="仿宋_GB2312" w:hAnsi="仿宋_GB2312" w:eastAsia="仿宋_GB2312" w:cs="仿宋_GB2312"/>
          <w:sz w:val="32"/>
          <w:szCs w:val="32"/>
          <w:lang w:eastAsia="zh-CN"/>
        </w:rPr>
        <w:t>万元，为年初预算的</w:t>
      </w:r>
      <w:r>
        <w:rPr>
          <w:rFonts w:hint="eastAsia" w:ascii="仿宋_GB2312" w:hAnsi="仿宋_GB2312" w:eastAsia="仿宋_GB2312" w:cs="仿宋_GB2312"/>
          <w:sz w:val="32"/>
          <w:szCs w:val="32"/>
          <w:lang w:val="en-US" w:eastAsia="zh-CN"/>
        </w:rPr>
        <w:t>119.04</w:t>
      </w:r>
      <w:r>
        <w:rPr>
          <w:rFonts w:hint="eastAsia" w:ascii="仿宋_GB2312" w:hAnsi="仿宋_GB2312" w:eastAsia="仿宋_GB2312" w:cs="仿宋_GB2312"/>
          <w:sz w:val="32"/>
          <w:szCs w:val="32"/>
          <w:lang w:eastAsia="zh-CN"/>
        </w:rPr>
        <w:t>%）；预计上级补助收入</w:t>
      </w:r>
      <w:r>
        <w:rPr>
          <w:rFonts w:hint="eastAsia" w:ascii="仿宋_GB2312" w:hAnsi="仿宋_GB2312" w:eastAsia="仿宋_GB2312" w:cs="仿宋_GB2312"/>
          <w:sz w:val="32"/>
          <w:szCs w:val="32"/>
          <w:lang w:val="en-US" w:eastAsia="zh-CN"/>
        </w:rPr>
        <w:t>159161</w:t>
      </w:r>
      <w:r>
        <w:rPr>
          <w:rFonts w:hint="eastAsia" w:ascii="仿宋_GB2312" w:hAnsi="仿宋_GB2312" w:eastAsia="仿宋_GB2312" w:cs="仿宋_GB2312"/>
          <w:sz w:val="32"/>
          <w:szCs w:val="32"/>
          <w:lang w:eastAsia="zh-CN"/>
        </w:rPr>
        <w:t>万元、接受援助收入</w:t>
      </w:r>
      <w:r>
        <w:rPr>
          <w:rFonts w:hint="eastAsia" w:ascii="仿宋_GB2312" w:hAnsi="仿宋_GB2312" w:eastAsia="仿宋_GB2312" w:cs="仿宋_GB2312"/>
          <w:sz w:val="32"/>
          <w:szCs w:val="32"/>
          <w:lang w:val="en-US" w:eastAsia="zh-CN"/>
        </w:rPr>
        <w:t>4815</w:t>
      </w:r>
      <w:r>
        <w:rPr>
          <w:rFonts w:hint="eastAsia" w:ascii="仿宋_GB2312" w:hAnsi="仿宋_GB2312" w:eastAsia="仿宋_GB2312" w:cs="仿宋_GB2312"/>
          <w:sz w:val="32"/>
          <w:szCs w:val="32"/>
          <w:lang w:eastAsia="zh-CN"/>
        </w:rPr>
        <w:t>万元、地方政府债券收入</w:t>
      </w:r>
      <w:r>
        <w:rPr>
          <w:rFonts w:hint="eastAsia" w:ascii="仿宋_GB2312" w:hAnsi="仿宋_GB2312" w:eastAsia="仿宋_GB2312" w:cs="仿宋_GB2312"/>
          <w:sz w:val="32"/>
          <w:szCs w:val="32"/>
          <w:lang w:val="en-US" w:eastAsia="zh-CN"/>
        </w:rPr>
        <w:t>15000</w:t>
      </w:r>
      <w:r>
        <w:rPr>
          <w:rFonts w:hint="eastAsia" w:ascii="仿宋_GB2312" w:hAnsi="仿宋_GB2312" w:eastAsia="仿宋_GB2312" w:cs="仿宋_GB2312"/>
          <w:sz w:val="32"/>
          <w:szCs w:val="32"/>
          <w:lang w:eastAsia="zh-CN"/>
        </w:rPr>
        <w:t>万元、债券转贷收入</w:t>
      </w:r>
      <w:r>
        <w:rPr>
          <w:rFonts w:hint="eastAsia" w:ascii="仿宋_GB2312" w:hAnsi="仿宋_GB2312" w:eastAsia="仿宋_GB2312" w:cs="仿宋_GB2312"/>
          <w:sz w:val="32"/>
          <w:szCs w:val="32"/>
          <w:lang w:val="en-US" w:eastAsia="zh-CN"/>
        </w:rPr>
        <w:t>5647</w:t>
      </w:r>
      <w:r>
        <w:rPr>
          <w:rFonts w:hint="eastAsia" w:ascii="仿宋_GB2312" w:hAnsi="仿宋_GB2312" w:eastAsia="仿宋_GB2312" w:cs="仿宋_GB2312"/>
          <w:sz w:val="32"/>
          <w:szCs w:val="32"/>
          <w:lang w:eastAsia="zh-CN"/>
        </w:rPr>
        <w:t>万元、上年结转资金</w:t>
      </w:r>
      <w:r>
        <w:rPr>
          <w:rFonts w:hint="eastAsia" w:ascii="仿宋_GB2312" w:hAnsi="仿宋_GB2312" w:eastAsia="仿宋_GB2312" w:cs="仿宋_GB2312"/>
          <w:sz w:val="32"/>
          <w:szCs w:val="32"/>
          <w:lang w:val="en-US" w:eastAsia="zh-CN"/>
        </w:rPr>
        <w:t>20721</w:t>
      </w:r>
      <w:r>
        <w:rPr>
          <w:rFonts w:hint="eastAsia" w:ascii="仿宋_GB2312" w:hAnsi="仿宋_GB2312" w:eastAsia="仿宋_GB2312" w:cs="仿宋_GB2312"/>
          <w:sz w:val="32"/>
          <w:szCs w:val="32"/>
          <w:lang w:eastAsia="zh-CN"/>
        </w:rPr>
        <w:t>万元、动用预算稳定调节基金</w:t>
      </w:r>
      <w:r>
        <w:rPr>
          <w:rFonts w:hint="eastAsia" w:ascii="仿宋_GB2312" w:hAnsi="仿宋_GB2312" w:eastAsia="仿宋_GB2312" w:cs="仿宋_GB2312"/>
          <w:sz w:val="32"/>
          <w:szCs w:val="32"/>
          <w:lang w:val="en-US" w:eastAsia="zh-CN"/>
        </w:rPr>
        <w:t>809</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调入资金19万元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预计完成一般公共预算支出</w:t>
      </w:r>
      <w:r>
        <w:rPr>
          <w:rFonts w:hint="eastAsia" w:ascii="仿宋_GB2312" w:hAnsi="仿宋_GB2312" w:eastAsia="仿宋_GB2312" w:cs="仿宋_GB2312"/>
          <w:b/>
          <w:bCs/>
          <w:sz w:val="32"/>
          <w:szCs w:val="32"/>
          <w:lang w:val="en-US" w:eastAsia="zh-CN"/>
        </w:rPr>
        <w:t>218415</w:t>
      </w:r>
      <w:r>
        <w:rPr>
          <w:rFonts w:hint="eastAsia" w:ascii="仿宋_GB2312" w:hAnsi="仿宋_GB2312" w:eastAsia="仿宋_GB2312" w:cs="仿宋_GB2312"/>
          <w:b/>
          <w:bCs/>
          <w:sz w:val="32"/>
          <w:szCs w:val="32"/>
          <w:lang w:eastAsia="zh-CN"/>
        </w:rPr>
        <w:t>万元，</w:t>
      </w:r>
      <w:r>
        <w:rPr>
          <w:rFonts w:hint="eastAsia" w:ascii="仿宋_GB2312" w:hAnsi="仿宋_GB2312" w:eastAsia="仿宋_GB2312" w:cs="仿宋_GB2312"/>
          <w:sz w:val="32"/>
          <w:szCs w:val="32"/>
          <w:lang w:eastAsia="zh-CN"/>
        </w:rPr>
        <w:t>其中：预计完成一般公共预算支出</w:t>
      </w:r>
      <w:r>
        <w:rPr>
          <w:rFonts w:hint="eastAsia" w:ascii="仿宋_GB2312" w:hAnsi="仿宋_GB2312" w:eastAsia="仿宋_GB2312" w:cs="仿宋_GB2312"/>
          <w:sz w:val="32"/>
          <w:szCs w:val="32"/>
          <w:lang w:val="en-US" w:eastAsia="zh-CN"/>
        </w:rPr>
        <w:t>170342</w:t>
      </w:r>
      <w:r>
        <w:rPr>
          <w:rFonts w:hint="eastAsia" w:ascii="仿宋_GB2312" w:hAnsi="仿宋_GB2312" w:eastAsia="仿宋_GB2312" w:cs="仿宋_GB2312"/>
          <w:sz w:val="32"/>
          <w:szCs w:val="32"/>
          <w:lang w:eastAsia="zh-CN"/>
        </w:rPr>
        <w:t>万元、预计上解支出</w:t>
      </w:r>
      <w:r>
        <w:rPr>
          <w:rFonts w:hint="eastAsia" w:ascii="仿宋_GB2312" w:hAnsi="仿宋_GB2312" w:eastAsia="仿宋_GB2312" w:cs="仿宋_GB2312"/>
          <w:sz w:val="32"/>
          <w:szCs w:val="32"/>
          <w:lang w:val="en-US" w:eastAsia="zh-CN"/>
        </w:rPr>
        <w:t>4150</w:t>
      </w:r>
      <w:r>
        <w:rPr>
          <w:rFonts w:hint="eastAsia" w:ascii="仿宋_GB2312" w:hAnsi="仿宋_GB2312" w:eastAsia="仿宋_GB2312" w:cs="仿宋_GB2312"/>
          <w:sz w:val="32"/>
          <w:szCs w:val="32"/>
          <w:lang w:eastAsia="zh-CN"/>
        </w:rPr>
        <w:t>万元、安排预算稳定调节基金</w:t>
      </w:r>
      <w:r>
        <w:rPr>
          <w:rFonts w:hint="eastAsia" w:ascii="仿宋_GB2312" w:hAnsi="仿宋_GB2312" w:eastAsia="仿宋_GB2312" w:cs="仿宋_GB2312"/>
          <w:sz w:val="32"/>
          <w:szCs w:val="32"/>
          <w:lang w:val="en-US" w:eastAsia="zh-CN"/>
        </w:rPr>
        <w:t>508</w:t>
      </w:r>
      <w:r>
        <w:rPr>
          <w:rFonts w:hint="eastAsia" w:ascii="仿宋_GB2312" w:hAnsi="仿宋_GB2312" w:eastAsia="仿宋_GB2312" w:cs="仿宋_GB2312"/>
          <w:sz w:val="32"/>
          <w:szCs w:val="32"/>
          <w:lang w:eastAsia="zh-CN"/>
        </w:rPr>
        <w:t>万元、债务还本支出</w:t>
      </w:r>
      <w:r>
        <w:rPr>
          <w:rFonts w:hint="eastAsia" w:ascii="仿宋_GB2312" w:hAnsi="仿宋_GB2312" w:eastAsia="仿宋_GB2312" w:cs="仿宋_GB2312"/>
          <w:sz w:val="32"/>
          <w:szCs w:val="32"/>
          <w:lang w:val="en-US" w:eastAsia="zh-CN"/>
        </w:rPr>
        <w:t>6274</w:t>
      </w:r>
      <w:r>
        <w:rPr>
          <w:rFonts w:hint="eastAsia" w:ascii="仿宋_GB2312" w:hAnsi="仿宋_GB2312" w:eastAsia="仿宋_GB2312" w:cs="仿宋_GB2312"/>
          <w:sz w:val="32"/>
          <w:szCs w:val="32"/>
          <w:lang w:eastAsia="zh-CN"/>
        </w:rPr>
        <w:t>万元、结转下年</w:t>
      </w:r>
      <w:r>
        <w:rPr>
          <w:rFonts w:hint="eastAsia" w:ascii="仿宋_GB2312" w:hAnsi="仿宋_GB2312" w:eastAsia="仿宋_GB2312" w:cs="仿宋_GB2312"/>
          <w:sz w:val="32"/>
          <w:szCs w:val="32"/>
          <w:lang w:val="en-US" w:eastAsia="zh-CN"/>
        </w:rPr>
        <w:t>37141</w:t>
      </w:r>
      <w:r>
        <w:rPr>
          <w:rFonts w:hint="eastAsia" w:ascii="仿宋_GB2312" w:hAnsi="仿宋_GB2312" w:eastAsia="仿宋_GB2312" w:cs="仿宋_GB2312"/>
          <w:sz w:val="32"/>
          <w:szCs w:val="32"/>
          <w:lang w:eastAsia="zh-CN"/>
        </w:rPr>
        <w:t>万元，202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年实现收支平衡。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2.政府性基金预算执行情况。</w:t>
      </w:r>
      <w:r>
        <w:rPr>
          <w:rFonts w:hint="eastAsia" w:ascii="仿宋_GB2312" w:hAnsi="仿宋_GB2312" w:eastAsia="仿宋_GB2312" w:cs="仿宋_GB2312"/>
          <w:b w:val="0"/>
          <w:bCs w:val="0"/>
          <w:sz w:val="32"/>
          <w:szCs w:val="32"/>
          <w:lang w:eastAsia="zh-CN"/>
        </w:rPr>
        <w:t>2025年，</w:t>
      </w:r>
      <w:r>
        <w:rPr>
          <w:rFonts w:hint="eastAsia" w:ascii="仿宋_GB2312" w:hAnsi="仿宋_GB2312" w:eastAsia="仿宋_GB2312" w:cs="仿宋_GB2312"/>
          <w:b/>
          <w:bCs/>
          <w:sz w:val="32"/>
          <w:szCs w:val="32"/>
          <w:lang w:eastAsia="zh-CN"/>
        </w:rPr>
        <w:t>预计完成政府性基金收入</w:t>
      </w:r>
      <w:r>
        <w:rPr>
          <w:rFonts w:hint="eastAsia" w:ascii="仿宋_GB2312" w:hAnsi="仿宋_GB2312" w:eastAsia="仿宋_GB2312" w:cs="仿宋_GB2312"/>
          <w:b/>
          <w:bCs/>
          <w:sz w:val="32"/>
          <w:szCs w:val="32"/>
          <w:lang w:val="en-US" w:eastAsia="zh-CN"/>
        </w:rPr>
        <w:t>6932</w:t>
      </w:r>
      <w:r>
        <w:rPr>
          <w:rFonts w:hint="eastAsia" w:ascii="仿宋_GB2312" w:hAnsi="仿宋_GB2312" w:eastAsia="仿宋_GB2312" w:cs="仿宋_GB2312"/>
          <w:b/>
          <w:bCs/>
          <w:sz w:val="32"/>
          <w:szCs w:val="32"/>
          <w:lang w:eastAsia="zh-CN"/>
        </w:rPr>
        <w:t>万元，</w:t>
      </w:r>
      <w:r>
        <w:rPr>
          <w:rFonts w:hint="eastAsia" w:ascii="仿宋_GB2312" w:hAnsi="仿宋_GB2312" w:eastAsia="仿宋_GB2312" w:cs="仿宋_GB2312"/>
          <w:b/>
          <w:bCs/>
          <w:sz w:val="32"/>
          <w:szCs w:val="32"/>
          <w:lang w:val="en-US" w:eastAsia="zh-CN"/>
        </w:rPr>
        <w:t>与县第十四届人大常委会第二十八次会议通过的调整预算数5940万元相比增加992万元，增长16.7%</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其中：预计完成县本级政府性基金预算收入</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lang w:eastAsia="zh-CN"/>
        </w:rPr>
        <w:t>万元、完成年初预算的</w:t>
      </w:r>
      <w:r>
        <w:rPr>
          <w:rFonts w:hint="eastAsia" w:ascii="仿宋_GB2312" w:hAnsi="仿宋_GB2312" w:eastAsia="仿宋_GB2312" w:cs="仿宋_GB2312"/>
          <w:sz w:val="32"/>
          <w:szCs w:val="32"/>
          <w:lang w:val="en-US" w:eastAsia="zh-CN"/>
        </w:rPr>
        <w:t>79.5</w:t>
      </w:r>
      <w:r>
        <w:rPr>
          <w:rFonts w:hint="eastAsia" w:ascii="仿宋_GB2312" w:hAnsi="仿宋_GB2312" w:eastAsia="仿宋_GB2312" w:cs="仿宋_GB2312"/>
          <w:sz w:val="32"/>
          <w:szCs w:val="32"/>
          <w:lang w:eastAsia="zh-CN"/>
        </w:rPr>
        <w:t>%、较上年减少</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lang w:eastAsia="zh-CN"/>
        </w:rPr>
        <w:t>万元、下降</w:t>
      </w:r>
      <w:r>
        <w:rPr>
          <w:rFonts w:hint="eastAsia" w:ascii="仿宋_GB2312" w:hAnsi="仿宋_GB2312" w:eastAsia="仿宋_GB2312" w:cs="仿宋_GB2312"/>
          <w:sz w:val="32"/>
          <w:szCs w:val="32"/>
          <w:lang w:val="en-US" w:eastAsia="zh-CN"/>
        </w:rPr>
        <w:t>57.26</w:t>
      </w:r>
      <w:r>
        <w:rPr>
          <w:rFonts w:hint="eastAsia" w:ascii="仿宋_GB2312" w:hAnsi="仿宋_GB2312" w:eastAsia="仿宋_GB2312" w:cs="仿宋_GB2312"/>
          <w:sz w:val="32"/>
          <w:szCs w:val="32"/>
          <w:lang w:eastAsia="zh-CN"/>
        </w:rPr>
        <w:t>%，预计完成上级补助收入</w:t>
      </w:r>
      <w:r>
        <w:rPr>
          <w:rFonts w:hint="eastAsia" w:ascii="仿宋_GB2312" w:hAnsi="仿宋_GB2312" w:eastAsia="仿宋_GB2312" w:cs="仿宋_GB2312"/>
          <w:sz w:val="32"/>
          <w:szCs w:val="32"/>
          <w:lang w:val="en-US" w:eastAsia="zh-CN"/>
        </w:rPr>
        <w:t>2197</w:t>
      </w:r>
      <w:r>
        <w:rPr>
          <w:rFonts w:hint="eastAsia" w:ascii="仿宋_GB2312" w:hAnsi="仿宋_GB2312" w:eastAsia="仿宋_GB2312" w:cs="仿宋_GB2312"/>
          <w:sz w:val="32"/>
          <w:szCs w:val="32"/>
          <w:lang w:eastAsia="zh-CN"/>
        </w:rPr>
        <w:t>万元、债务转贷收入</w:t>
      </w:r>
      <w:r>
        <w:rPr>
          <w:rFonts w:hint="eastAsia" w:ascii="仿宋_GB2312" w:hAnsi="仿宋_GB2312" w:eastAsia="仿宋_GB2312" w:cs="仿宋_GB2312"/>
          <w:sz w:val="32"/>
          <w:szCs w:val="32"/>
          <w:lang w:val="en-US" w:eastAsia="zh-CN"/>
        </w:rPr>
        <w:t>3700万</w:t>
      </w:r>
      <w:r>
        <w:rPr>
          <w:rFonts w:hint="eastAsia" w:ascii="仿宋_GB2312" w:hAnsi="仿宋_GB2312" w:eastAsia="仿宋_GB2312" w:cs="仿宋_GB2312"/>
          <w:sz w:val="32"/>
          <w:szCs w:val="32"/>
          <w:lang w:eastAsia="zh-CN"/>
        </w:rPr>
        <w:t>元、上年结余资金</w:t>
      </w:r>
      <w:r>
        <w:rPr>
          <w:rFonts w:hint="eastAsia" w:ascii="仿宋_GB2312" w:hAnsi="仿宋_GB2312" w:eastAsia="仿宋_GB2312" w:cs="仿宋_GB2312"/>
          <w:sz w:val="32"/>
          <w:szCs w:val="32"/>
          <w:lang w:val="en-US" w:eastAsia="zh-CN"/>
        </w:rPr>
        <w:t>184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调入资金692万元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预计完成政府性基金预算支出</w:t>
      </w:r>
      <w:r>
        <w:rPr>
          <w:rFonts w:hint="eastAsia" w:ascii="仿宋_GB2312" w:hAnsi="仿宋_GB2312" w:eastAsia="仿宋_GB2312" w:cs="仿宋_GB2312"/>
          <w:b/>
          <w:bCs/>
          <w:sz w:val="32"/>
          <w:szCs w:val="32"/>
          <w:lang w:val="en-US" w:eastAsia="zh-CN"/>
        </w:rPr>
        <w:t>6932</w:t>
      </w:r>
      <w:r>
        <w:rPr>
          <w:rFonts w:hint="eastAsia" w:ascii="仿宋_GB2312" w:hAnsi="仿宋_GB2312" w:eastAsia="仿宋_GB2312" w:cs="仿宋_GB2312"/>
          <w:b/>
          <w:bCs/>
          <w:sz w:val="32"/>
          <w:szCs w:val="32"/>
          <w:lang w:eastAsia="zh-CN"/>
        </w:rPr>
        <w:t>万元，</w:t>
      </w:r>
      <w:r>
        <w:rPr>
          <w:rFonts w:hint="eastAsia" w:ascii="仿宋_GB2312" w:hAnsi="仿宋_GB2312" w:eastAsia="仿宋_GB2312" w:cs="仿宋_GB2312"/>
          <w:sz w:val="32"/>
          <w:szCs w:val="32"/>
          <w:lang w:eastAsia="zh-CN"/>
        </w:rPr>
        <w:t>其中：预计完成县本级政府性基金预算支出</w:t>
      </w:r>
      <w:r>
        <w:rPr>
          <w:rFonts w:hint="eastAsia" w:ascii="仿宋_GB2312" w:hAnsi="仿宋_GB2312" w:eastAsia="仿宋_GB2312" w:cs="仿宋_GB2312"/>
          <w:sz w:val="32"/>
          <w:szCs w:val="32"/>
          <w:lang w:val="en-US" w:eastAsia="zh-CN"/>
        </w:rPr>
        <w:t>866</w:t>
      </w:r>
      <w:r>
        <w:rPr>
          <w:rFonts w:hint="eastAsia" w:ascii="仿宋_GB2312" w:hAnsi="仿宋_GB2312" w:eastAsia="仿宋_GB2312" w:cs="仿宋_GB2312"/>
          <w:sz w:val="32"/>
          <w:szCs w:val="32"/>
          <w:lang w:eastAsia="zh-CN"/>
        </w:rPr>
        <w:t>万元、预计完成上级专项补助支出</w:t>
      </w:r>
      <w:r>
        <w:rPr>
          <w:rFonts w:hint="eastAsia" w:ascii="仿宋_GB2312" w:hAnsi="仿宋_GB2312" w:eastAsia="仿宋_GB2312" w:cs="仿宋_GB2312"/>
          <w:sz w:val="32"/>
          <w:szCs w:val="32"/>
          <w:lang w:val="en-US" w:eastAsia="zh-CN"/>
        </w:rPr>
        <w:t>3133</w:t>
      </w:r>
      <w:r>
        <w:rPr>
          <w:rFonts w:hint="eastAsia" w:ascii="仿宋_GB2312" w:hAnsi="仿宋_GB2312" w:eastAsia="仿宋_GB2312" w:cs="仿宋_GB2312"/>
          <w:sz w:val="32"/>
          <w:szCs w:val="32"/>
          <w:lang w:eastAsia="zh-CN"/>
        </w:rPr>
        <w:t>万元、结转下年</w:t>
      </w:r>
      <w:r>
        <w:rPr>
          <w:rFonts w:hint="eastAsia" w:ascii="仿宋_GB2312" w:hAnsi="仿宋_GB2312" w:eastAsia="仿宋_GB2312" w:cs="仿宋_GB2312"/>
          <w:sz w:val="32"/>
          <w:szCs w:val="32"/>
          <w:lang w:val="en-US" w:eastAsia="zh-CN"/>
        </w:rPr>
        <w:t>2914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调出资金19万元</w:t>
      </w:r>
      <w:r>
        <w:rPr>
          <w:rFonts w:hint="eastAsia" w:ascii="仿宋_GB2312" w:hAnsi="仿宋_GB2312" w:eastAsia="仿宋_GB2312" w:cs="仿宋_GB2312"/>
          <w:sz w:val="32"/>
          <w:szCs w:val="32"/>
          <w:lang w:eastAsia="zh-CN"/>
        </w:rPr>
        <w:t>，2025年实现收支平衡。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3.国有资本经营预算执行情况。</w:t>
      </w:r>
      <w:r>
        <w:rPr>
          <w:rFonts w:hint="eastAsia" w:ascii="仿宋_GB2312" w:hAnsi="仿宋_GB2312" w:eastAsia="仿宋_GB2312" w:cs="仿宋_GB2312"/>
          <w:sz w:val="32"/>
          <w:szCs w:val="32"/>
          <w:lang w:eastAsia="zh-CN"/>
        </w:rPr>
        <w:t>2025年，预计完成国有资本经营预算收入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万元。预计完成国有资本经营预算支出</w:t>
      </w:r>
      <w:r>
        <w:rPr>
          <w:rFonts w:hint="eastAsia" w:ascii="仿宋_GB2312" w:hAnsi="仿宋_GB2312" w:eastAsia="仿宋_GB2312" w:cs="仿宋_GB2312"/>
          <w:sz w:val="32"/>
          <w:szCs w:val="32"/>
          <w:lang w:val="en-US" w:eastAsia="zh-CN"/>
        </w:rPr>
        <w:t>1万</w:t>
      </w:r>
      <w:r>
        <w:rPr>
          <w:rFonts w:hint="eastAsia" w:ascii="仿宋_GB2312" w:hAnsi="仿宋_GB2312" w:eastAsia="仿宋_GB2312" w:cs="仿宋_GB2312"/>
          <w:sz w:val="32"/>
          <w:szCs w:val="32"/>
          <w:lang w:eastAsia="zh-CN"/>
        </w:rPr>
        <w:t>元，2025年实现收支平衡。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（二）2025年地方政府债务情况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2025年初，政府性债务余额</w:t>
      </w:r>
      <w:r>
        <w:rPr>
          <w:rFonts w:hint="eastAsia" w:ascii="仿宋_GB2312" w:hAnsi="仿宋_GB2312" w:eastAsia="仿宋_GB2312" w:cs="仿宋_GB2312"/>
          <w:sz w:val="32"/>
          <w:szCs w:val="32"/>
          <w:lang w:val="en-US" w:eastAsia="zh-CN"/>
        </w:rPr>
        <w:t>39969.4</w:t>
      </w:r>
      <w:r>
        <w:rPr>
          <w:rFonts w:hint="eastAsia" w:ascii="仿宋_GB2312" w:hAnsi="仿宋_GB2312" w:eastAsia="仿宋_GB2312" w:cs="仿宋_GB2312"/>
          <w:sz w:val="32"/>
          <w:szCs w:val="32"/>
          <w:lang w:eastAsia="zh-CN"/>
        </w:rPr>
        <w:t>万元，其中：一般债券1</w:t>
      </w:r>
      <w:r>
        <w:rPr>
          <w:rFonts w:hint="eastAsia" w:ascii="仿宋_GB2312" w:hAnsi="仿宋_GB2312" w:eastAsia="仿宋_GB2312" w:cs="仿宋_GB2312"/>
          <w:sz w:val="32"/>
          <w:szCs w:val="32"/>
          <w:lang w:val="en-US" w:eastAsia="zh-CN"/>
        </w:rPr>
        <w:t>7924</w:t>
      </w:r>
      <w:r>
        <w:rPr>
          <w:rFonts w:hint="eastAsia" w:ascii="仿宋_GB2312" w:hAnsi="仿宋_GB2312" w:eastAsia="仿宋_GB2312" w:cs="仿宋_GB2312"/>
          <w:sz w:val="32"/>
          <w:szCs w:val="32"/>
          <w:lang w:eastAsia="zh-CN"/>
        </w:rPr>
        <w:t>万元，专项债券22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45.4万元。截至</w:t>
      </w:r>
      <w:r>
        <w:rPr>
          <w:rFonts w:hint="eastAsia" w:ascii="仿宋_GB2312" w:hAnsi="仿宋_GB2312" w:eastAsia="仿宋_GB2312" w:cs="仿宋_GB2312"/>
          <w:sz w:val="32"/>
          <w:szCs w:val="32"/>
          <w:lang w:val="en-US" w:eastAsia="zh-CN"/>
        </w:rPr>
        <w:t>12月</w:t>
      </w:r>
      <w:r>
        <w:rPr>
          <w:rFonts w:hint="eastAsia" w:ascii="仿宋_GB2312" w:hAnsi="仿宋_GB2312" w:eastAsia="仿宋_GB2312" w:cs="仿宋_GB2312"/>
          <w:sz w:val="32"/>
          <w:szCs w:val="32"/>
          <w:lang w:eastAsia="zh-CN"/>
        </w:rPr>
        <w:t>，我县政府债务余额</w:t>
      </w:r>
      <w:r>
        <w:rPr>
          <w:rFonts w:hint="eastAsia" w:ascii="仿宋_GB2312" w:hAnsi="仿宋_GB2312" w:eastAsia="仿宋_GB2312" w:cs="仿宋_GB2312"/>
          <w:sz w:val="32"/>
          <w:szCs w:val="32"/>
          <w:lang w:val="en-US" w:eastAsia="zh-CN"/>
        </w:rPr>
        <w:t>58042.4</w:t>
      </w:r>
      <w:r>
        <w:rPr>
          <w:rFonts w:hint="eastAsia" w:ascii="仿宋_GB2312" w:hAnsi="仿宋_GB2312" w:eastAsia="仿宋_GB2312" w:cs="仿宋_GB2312"/>
          <w:sz w:val="32"/>
          <w:szCs w:val="32"/>
          <w:lang w:eastAsia="zh-CN"/>
        </w:rPr>
        <w:t>万元，其中：一般债券</w:t>
      </w:r>
      <w:r>
        <w:rPr>
          <w:rFonts w:hint="eastAsia" w:ascii="仿宋_GB2312" w:hAnsi="仿宋_GB2312" w:eastAsia="仿宋_GB2312" w:cs="仿宋_GB2312"/>
          <w:sz w:val="32"/>
          <w:szCs w:val="32"/>
          <w:lang w:val="en-US" w:eastAsia="zh-CN"/>
        </w:rPr>
        <w:t>32297</w:t>
      </w:r>
      <w:r>
        <w:rPr>
          <w:rFonts w:hint="eastAsia" w:ascii="仿宋_GB2312" w:hAnsi="仿宋_GB2312" w:eastAsia="仿宋_GB2312" w:cs="仿宋_GB2312"/>
          <w:sz w:val="32"/>
          <w:szCs w:val="32"/>
          <w:lang w:eastAsia="zh-CN"/>
        </w:rPr>
        <w:t>万元，专项债券</w:t>
      </w:r>
      <w:r>
        <w:rPr>
          <w:rFonts w:hint="eastAsia" w:ascii="仿宋_GB2312" w:hAnsi="仿宋_GB2312" w:eastAsia="仿宋_GB2312" w:cs="仿宋_GB2312"/>
          <w:sz w:val="32"/>
          <w:szCs w:val="32"/>
          <w:lang w:val="en-US" w:eastAsia="zh-CN"/>
        </w:rPr>
        <w:t>25745.4</w:t>
      </w:r>
      <w:r>
        <w:rPr>
          <w:rFonts w:hint="eastAsia" w:ascii="仿宋_GB2312" w:hAnsi="仿宋_GB2312" w:eastAsia="仿宋_GB2312" w:cs="仿宋_GB2312"/>
          <w:sz w:val="32"/>
          <w:szCs w:val="32"/>
          <w:lang w:eastAsia="zh-CN"/>
        </w:rPr>
        <w:t xml:space="preserve">万元。2025年，根据财政部通报数据，我县法定债务率风险等级均为绿色，债务风险总体可控。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需要说明事项：</w:t>
      </w:r>
      <w:r>
        <w:rPr>
          <w:rFonts w:hint="eastAsia" w:ascii="仿宋_GB2312" w:hAnsi="仿宋_GB2312" w:eastAsia="仿宋_GB2312" w:cs="仿宋_GB2312"/>
          <w:sz w:val="32"/>
          <w:szCs w:val="32"/>
          <w:lang w:eastAsia="zh-CN"/>
        </w:rPr>
        <w:t>以上一般公共预算、政府性基金预算、国有资本经营预算执行均为预计数据，在决算审查汇总后如有变化，待州级财政决算批复后，及时向县人大常委会报告。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snapToGrid w:val="0"/>
          <w:color w:val="auto"/>
          <w:sz w:val="32"/>
          <w:szCs w:val="32"/>
          <w:highlight w:val="none"/>
          <w:lang w:val="en-US" w:eastAsia="zh-CN" w:bidi="ar-SA"/>
        </w:rPr>
      </w:pPr>
      <w:r>
        <w:rPr>
          <w:rFonts w:hint="eastAsia" w:ascii="黑体" w:hAnsi="黑体" w:eastAsia="黑体" w:cs="黑体"/>
          <w:snapToGrid w:val="0"/>
          <w:color w:val="auto"/>
          <w:sz w:val="32"/>
          <w:szCs w:val="32"/>
          <w:highlight w:val="none"/>
          <w:lang w:val="en-US" w:eastAsia="zh-CN" w:bidi="ar-SA"/>
        </w:rPr>
        <w:t>二、2025年财政重点工作落实情况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2025年，财政部门严格按照中央及省州决策部署，紧扣县委、县政府中心工作，</w:t>
      </w:r>
      <w:r>
        <w:rPr>
          <w:rFonts w:hint="eastAsia" w:ascii="仿宋_GB2312" w:hAnsi="仿宋_GB2312" w:eastAsia="仿宋_GB2312" w:cs="仿宋_GB2312"/>
          <w:sz w:val="32"/>
          <w:szCs w:val="32"/>
          <w:lang w:val="en-US" w:eastAsia="zh-CN"/>
        </w:rPr>
        <w:t>聚焦主责主业，围绕“收、支、管”做好“生财、聚财、理财、用财”四篇文章，全力以赴拼经济、搞建设、防风险、惠民生，推动财政运行稳中有进、量质齐升</w:t>
      </w:r>
      <w:r>
        <w:rPr>
          <w:rFonts w:hint="eastAsia" w:ascii="仿宋_GB2312" w:hAnsi="仿宋_GB2312" w:eastAsia="仿宋_GB2312" w:cs="仿宋_GB2312"/>
          <w:sz w:val="32"/>
          <w:szCs w:val="32"/>
          <w:lang w:eastAsia="zh-CN"/>
        </w:rPr>
        <w:t>，为完成全年经济社会发展目标提供坚实支撑。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（一）聚焦收支管理，财政运行平稳有序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聚焦组织收入与优化支出两大核心，通过科学谋划和精准施策，集中财力保障重点任务、办好关键大事。</w:t>
      </w:r>
      <w:r>
        <w:rPr>
          <w:rFonts w:hint="eastAsia" w:ascii="仿宋_GB2312" w:hAnsi="仿宋_GB2312" w:eastAsia="仿宋_GB2312" w:cs="仿宋_GB2312"/>
          <w:b/>
          <w:bCs/>
          <w:sz w:val="32"/>
          <w:szCs w:val="32"/>
          <w:lang w:val="en-US" w:eastAsia="zh-CN"/>
        </w:rPr>
        <w:t>一是强化财税协同征管，收入稳中有进。</w:t>
      </w:r>
      <w:r>
        <w:rPr>
          <w:rFonts w:hint="eastAsia" w:ascii="仿宋_GB2312" w:hAnsi="仿宋_GB2312" w:eastAsia="仿宋_GB2312" w:cs="仿宋_GB2312"/>
          <w:sz w:val="32"/>
          <w:szCs w:val="32"/>
          <w:lang w:val="en-US" w:eastAsia="zh-CN"/>
        </w:rPr>
        <w:t>围绕全年收入目标，牢固树立“一盘棋”理念，深化财税联动研判机制，推动财政收入实现量质齐升。</w:t>
      </w:r>
      <w:r>
        <w:rPr>
          <w:rFonts w:hint="eastAsia" w:ascii="仿宋_GB2312" w:hAnsi="仿宋_GB2312" w:eastAsia="仿宋_GB2312" w:cs="仿宋_GB2312"/>
          <w:b/>
          <w:bCs/>
          <w:sz w:val="32"/>
          <w:szCs w:val="32"/>
          <w:lang w:val="en-US" w:eastAsia="zh-CN"/>
        </w:rPr>
        <w:t>二是优化财政支出结构，保障重点领域。</w:t>
      </w:r>
      <w:r>
        <w:rPr>
          <w:rFonts w:hint="eastAsia" w:ascii="仿宋_GB2312" w:hAnsi="仿宋_GB2312" w:eastAsia="仿宋_GB2312" w:cs="仿宋_GB2312"/>
          <w:sz w:val="32"/>
          <w:szCs w:val="32"/>
          <w:lang w:val="en-US" w:eastAsia="zh-CN"/>
        </w:rPr>
        <w:t>坚持“三保”支出优先顺序，严控一般性支出，大力压减“三公”经费、会议费等非刚性支出，一般性支出和“三公”经费均压减5%，切实将有限的资金用在发展要紧处、民生急需上。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（二）聚焦财源建设，财力保障持续增强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坚持自力更生与上争外引并举，多渠道拓宽收入来源，切实提升县委、县政府重大战略的财政保障能力。</w:t>
      </w:r>
      <w:r>
        <w:rPr>
          <w:rFonts w:hint="eastAsia" w:ascii="仿宋_GB2312" w:hAnsi="仿宋_GB2312" w:eastAsia="仿宋_GB2312" w:cs="仿宋_GB2312"/>
          <w:b/>
          <w:bCs/>
          <w:sz w:val="32"/>
          <w:szCs w:val="32"/>
          <w:lang w:val="en-US" w:eastAsia="zh-CN"/>
        </w:rPr>
        <w:t>一是争取项目资金，夯实发展基础。</w:t>
      </w:r>
      <w:r>
        <w:rPr>
          <w:rFonts w:hint="eastAsia" w:ascii="仿宋_GB2312" w:hAnsi="仿宋_GB2312" w:eastAsia="仿宋_GB2312" w:cs="仿宋_GB2312"/>
          <w:sz w:val="32"/>
          <w:szCs w:val="32"/>
          <w:lang w:val="en-US" w:eastAsia="zh-CN"/>
        </w:rPr>
        <w:t>深入研究财政政策导向，精准对接中央、省、州财政资金投向，精心策划包装符合政策要求的重点项目，全力争取各类转移支付资金和债券资金。预计全年到位中央、省州各级转移支付资金161338万元，成功申报黑水县藏香猪创新育种及养殖融合示范建设项目，获地方政府专项债券资金3000万元，储备谋划申报2026年专项债项目14个，债券资金需求69400万元;一般债券项目录入省州项目库26个，资金需求29557万元，已到位资金15000万元，有力支持重大基础设施、民生工程和产业项目建设。</w:t>
      </w:r>
      <w:r>
        <w:rPr>
          <w:rFonts w:hint="eastAsia" w:ascii="仿宋_GB2312" w:hAnsi="仿宋_GB2312" w:eastAsia="仿宋_GB2312" w:cs="仿宋_GB2312"/>
          <w:b/>
          <w:bCs/>
          <w:sz w:val="32"/>
          <w:szCs w:val="32"/>
          <w:lang w:val="en-US" w:eastAsia="zh-CN"/>
        </w:rPr>
        <w:t>二是深化财金互动，助力产业发展。</w:t>
      </w:r>
      <w:r>
        <w:rPr>
          <w:rFonts w:hint="eastAsia" w:ascii="仿宋_GB2312" w:hAnsi="仿宋_GB2312" w:eastAsia="仿宋_GB2312" w:cs="仿宋_GB2312"/>
          <w:sz w:val="32"/>
          <w:szCs w:val="32"/>
          <w:lang w:val="en-US" w:eastAsia="zh-CN"/>
        </w:rPr>
        <w:t>安排县级配套资金19.08万元，为全县3852户优抚对象提供住宅巨灾保险保费补贴；积极探索以财政补助撬动金融保险资源，推动藏香猪、冷水鱼、林麝等特色农业产业高质量发展；配套政策性农业保险补贴资金59.86万元，防范自然灾害等农业经营风险；投入中央、省州财政资金47.92万元支持普惠金融发展，专项用于创业担保贷款贴息。</w:t>
      </w:r>
      <w:r>
        <w:rPr>
          <w:rFonts w:hint="eastAsia" w:ascii="仿宋_GB2312" w:hAnsi="仿宋_GB2312" w:eastAsia="仿宋_GB2312" w:cs="仿宋_GB2312"/>
          <w:b/>
          <w:bCs/>
          <w:sz w:val="32"/>
          <w:szCs w:val="32"/>
          <w:lang w:val="en-US" w:eastAsia="zh-CN"/>
        </w:rPr>
        <w:t>三是盘活国有资产，提升运营效益。</w:t>
      </w:r>
      <w:r>
        <w:rPr>
          <w:rFonts w:hint="eastAsia" w:ascii="仿宋_GB2312" w:hAnsi="仿宋_GB2312" w:eastAsia="仿宋_GB2312" w:cs="仿宋_GB2312"/>
          <w:sz w:val="32"/>
          <w:szCs w:val="32"/>
          <w:lang w:eastAsia="zh-CN"/>
        </w:rPr>
        <w:t>盘活</w:t>
      </w:r>
      <w:r>
        <w:rPr>
          <w:rFonts w:hint="eastAsia" w:ascii="仿宋_GB2312" w:hAnsi="仿宋_GB2312" w:eastAsia="仿宋_GB2312" w:cs="仿宋_GB2312"/>
          <w:sz w:val="32"/>
          <w:szCs w:val="32"/>
          <w:lang w:val="en-US" w:eastAsia="zh-CN"/>
        </w:rPr>
        <w:t>木苏中心校</w:t>
      </w:r>
      <w:r>
        <w:rPr>
          <w:rFonts w:hint="eastAsia" w:ascii="仿宋_GB2312" w:hAnsi="仿宋_GB2312" w:eastAsia="仿宋_GB2312" w:cs="仿宋_GB2312"/>
          <w:sz w:val="32"/>
          <w:szCs w:val="32"/>
          <w:lang w:eastAsia="zh-CN"/>
        </w:rPr>
        <w:t>资产</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lang w:val="en-US" w:eastAsia="zh-CN"/>
        </w:rPr>
        <w:t>，价值1463.92万元，面积11518平方米</w:t>
      </w:r>
      <w:r>
        <w:rPr>
          <w:rFonts w:hint="eastAsia" w:ascii="仿宋_GB2312" w:hAnsi="仿宋_GB2312" w:eastAsia="仿宋_GB2312" w:cs="仿宋_GB2312"/>
          <w:sz w:val="32"/>
          <w:szCs w:val="32"/>
          <w:lang w:eastAsia="zh-CN"/>
        </w:rPr>
        <w:t>，有效提升国有资产运营效益。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（三）聚焦乡村振兴，支农惠农精准有效</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坚持农业农村优先发展总方针，持续加大“三农”投入力度，健全涉农资金统筹整合长效机制。</w:t>
      </w:r>
      <w:r>
        <w:rPr>
          <w:rFonts w:hint="eastAsia" w:ascii="仿宋_GB2312" w:hAnsi="仿宋_GB2312" w:eastAsia="仿宋_GB2312" w:cs="仿宋_GB2312"/>
          <w:b/>
          <w:bCs/>
          <w:sz w:val="32"/>
          <w:szCs w:val="32"/>
          <w:lang w:val="en-US" w:eastAsia="zh-CN"/>
        </w:rPr>
        <w:t>一是强化衔接资金投入保障。</w:t>
      </w:r>
      <w:r>
        <w:rPr>
          <w:rFonts w:hint="eastAsia" w:ascii="仿宋_GB2312" w:hAnsi="仿宋_GB2312" w:eastAsia="仿宋_GB2312" w:cs="仿宋_GB2312"/>
          <w:sz w:val="32"/>
          <w:szCs w:val="32"/>
          <w:lang w:val="en-US" w:eastAsia="zh-CN"/>
        </w:rPr>
        <w:t>下达中省州各级财政衔接推进乡村振兴补助资金18151万元，重点支持产业发展（安排资金10479万元）、促进就业（安排资金800万元）、乡村建设行动（安排资金3220万元）、易地扶贫搬迁后续扶持（安排资金60万元）及巩固“三保障”成果（安排资金160万元），全力推动乡村振兴。统筹整合涉农资金14408.02万元，结合年度目标任务，因地制宜确定62个涉农资金项目。</w:t>
      </w:r>
      <w:r>
        <w:rPr>
          <w:rFonts w:hint="eastAsia" w:ascii="仿宋_GB2312" w:hAnsi="仿宋_GB2312" w:eastAsia="仿宋_GB2312" w:cs="仿宋_GB2312"/>
          <w:b/>
          <w:bCs/>
          <w:sz w:val="32"/>
          <w:szCs w:val="32"/>
          <w:lang w:val="en-US" w:eastAsia="zh-CN"/>
        </w:rPr>
        <w:t>二是加强涉农资金使用监管。</w:t>
      </w:r>
      <w:r>
        <w:rPr>
          <w:rFonts w:hint="eastAsia" w:ascii="仿宋_GB2312" w:hAnsi="仿宋_GB2312" w:eastAsia="仿宋_GB2312" w:cs="仿宋_GB2312"/>
          <w:sz w:val="32"/>
          <w:szCs w:val="32"/>
          <w:lang w:eastAsia="zh-CN"/>
        </w:rPr>
        <w:t>推动乡村振兴衔接预算资金从“重安排”向“重管理、重绩效”转变，</w:t>
      </w:r>
      <w:r>
        <w:rPr>
          <w:rFonts w:hint="eastAsia" w:ascii="仿宋_GB2312" w:hAnsi="仿宋_GB2312" w:eastAsia="仿宋_GB2312" w:cs="仿宋_GB2312"/>
          <w:sz w:val="32"/>
          <w:szCs w:val="32"/>
          <w:lang w:val="en-US" w:eastAsia="zh-CN"/>
        </w:rPr>
        <w:t>抽取2024年4个衔接资金项目开展县级财政重点支出绩效评价，涉及金额734.19万元。</w:t>
      </w:r>
      <w:r>
        <w:rPr>
          <w:rFonts w:hint="eastAsia" w:ascii="仿宋_GB2312" w:hAnsi="仿宋_GB2312" w:eastAsia="仿宋_GB2312" w:cs="仿宋_GB2312"/>
          <w:b/>
          <w:bCs/>
          <w:sz w:val="32"/>
          <w:szCs w:val="32"/>
          <w:lang w:val="en-US" w:eastAsia="zh-CN"/>
        </w:rPr>
        <w:t>三是精准落实惠农政策。</w:t>
      </w:r>
      <w:r>
        <w:rPr>
          <w:rFonts w:hint="eastAsia" w:ascii="仿宋_GB2312" w:hAnsi="仿宋_GB2312" w:eastAsia="仿宋_GB2312" w:cs="仿宋_GB2312"/>
          <w:sz w:val="32"/>
          <w:szCs w:val="32"/>
          <w:lang w:val="en-US" w:eastAsia="zh-CN"/>
        </w:rPr>
        <w:t>累计兑付农业保险保费补贴68.31万元，耕地保护补贴567.53万元，种粮补贴30万元，草原生态保护奖补773.5万元。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（四）聚焦绩效管理，财政监督持续加力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深入推进预算绩效管理改革，构建“事前评估、事中监控、事后评价、结果挂钩”的全过程绩效管理体系，推动财政资金使用效益持续提升。</w:t>
      </w:r>
      <w:r>
        <w:rPr>
          <w:rFonts w:hint="eastAsia" w:ascii="仿宋_GB2312" w:hAnsi="仿宋_GB2312" w:eastAsia="仿宋_GB2312" w:cs="仿宋_GB2312"/>
          <w:b/>
          <w:bCs/>
          <w:sz w:val="32"/>
          <w:szCs w:val="32"/>
          <w:lang w:val="en-US" w:eastAsia="zh-CN"/>
        </w:rPr>
        <w:t>一是健全全过程绩效管控机制。</w:t>
      </w:r>
      <w:r>
        <w:rPr>
          <w:rFonts w:hint="eastAsia" w:ascii="仿宋_GB2312" w:hAnsi="仿宋_GB2312" w:eastAsia="仿宋_GB2312" w:cs="仿宋_GB2312"/>
          <w:sz w:val="32"/>
          <w:szCs w:val="32"/>
          <w:lang w:val="en-US" w:eastAsia="zh-CN"/>
        </w:rPr>
        <w:t>建立“标准化+动态化”绩效目标管理体系，强化绩效目标与预算审批“三同步”。全年完成246个项目绩效目标审核，对10个新增或延续性项目开展事前绩效评估；加强预算执行动态监控，对进度滞后、执行偏差较大的项目及时预警，分类采取</w:t>
      </w:r>
      <w:r>
        <w:rPr>
          <w:rFonts w:hint="eastAsia" w:ascii="仿宋_GB2312" w:hAnsi="仿宋_GB2312" w:eastAsia="仿宋_GB2312" w:cs="仿宋_GB2312"/>
          <w:sz w:val="32"/>
          <w:szCs w:val="32"/>
          <w:lang w:eastAsia="zh-CN"/>
        </w:rPr>
        <w:t>进度调整、暂缓拨付、方案优化等纠偏措施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二是拓展绩效评价广度与深度。</w:t>
      </w:r>
      <w:r>
        <w:rPr>
          <w:rFonts w:hint="eastAsia" w:ascii="仿宋_GB2312" w:hAnsi="仿宋_GB2312" w:eastAsia="仿宋_GB2312" w:cs="仿宋_GB2312"/>
          <w:sz w:val="32"/>
          <w:szCs w:val="32"/>
          <w:lang w:val="en-US" w:eastAsia="zh-CN"/>
        </w:rPr>
        <w:t>深化“花钱必问效、无效必问责”理念，围绕社会关注度高、资金体量大的重点领域，选取10个重点项目开展财政重点绩效评价，</w:t>
      </w:r>
      <w:r>
        <w:rPr>
          <w:rFonts w:hint="eastAsia" w:ascii="仿宋_GB2312" w:hAnsi="仿宋_GB2312" w:eastAsia="仿宋_GB2312" w:cs="仿宋_GB2312"/>
          <w:sz w:val="32"/>
          <w:szCs w:val="32"/>
          <w:lang w:eastAsia="zh-CN"/>
        </w:rPr>
        <w:t>涉及资金18665.85万</w:t>
      </w:r>
      <w:r>
        <w:rPr>
          <w:rFonts w:hint="eastAsia" w:ascii="仿宋_GB2312" w:hAnsi="仿宋_GB2312" w:eastAsia="仿宋_GB2312" w:cs="仿宋_GB2312"/>
          <w:sz w:val="32"/>
          <w:szCs w:val="32"/>
          <w:lang w:val="en-US" w:eastAsia="zh-CN"/>
        </w:rPr>
        <w:t>元；按五年一轮全覆盖要求，对13个预算单位实施部门整体支出绩效评价，同步推动绩效评价范围从一般公共预算延伸至政府性基金、国有资本经营预算、政府采购、政府债券等领域，实现绩效监管全覆盖。</w:t>
      </w:r>
      <w:r>
        <w:rPr>
          <w:rFonts w:hint="eastAsia" w:ascii="仿宋_GB2312" w:hAnsi="仿宋_GB2312" w:eastAsia="仿宋_GB2312" w:cs="仿宋_GB2312"/>
          <w:b/>
          <w:bCs/>
          <w:sz w:val="32"/>
          <w:szCs w:val="32"/>
          <w:lang w:val="en-US" w:eastAsia="zh-CN"/>
        </w:rPr>
        <w:t>三是严格绩效评价结果运用。</w:t>
      </w:r>
      <w:r>
        <w:rPr>
          <w:rFonts w:hint="eastAsia" w:ascii="仿宋_GB2312" w:hAnsi="仿宋_GB2312" w:eastAsia="仿宋_GB2312" w:cs="仿宋_GB2312"/>
          <w:sz w:val="32"/>
          <w:szCs w:val="32"/>
          <w:lang w:val="en-US" w:eastAsia="zh-CN"/>
        </w:rPr>
        <w:t>出台《黑水县县级预算绩效结果与预算安排挂钩实施细则》，建立“优、良、中、差”四档挂钩机制。对2024年度绩效评价结果为“良”“中”“差”的8家预算单位，分别按1%、2%、3%的比例核减2025年度公用经费，累计扣减10.49万元，切实增强绩效管理约束力与权威性。</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（五）聚焦改革创新，管理效能不断提升</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坚持以改革创新为动力，推动财政管理向规范化、精细化、高效化转型，有效提升财政资源配置效率与资金使用效益。</w:t>
      </w:r>
      <w:r>
        <w:rPr>
          <w:rFonts w:hint="eastAsia" w:ascii="仿宋_GB2312" w:hAnsi="仿宋_GB2312" w:eastAsia="仿宋_GB2312" w:cs="仿宋_GB2312"/>
          <w:b/>
          <w:bCs/>
          <w:sz w:val="32"/>
          <w:szCs w:val="32"/>
          <w:lang w:val="en-US" w:eastAsia="zh-CN"/>
        </w:rPr>
        <w:t>一是全面深化零基预算改革。</w:t>
      </w:r>
      <w:r>
        <w:rPr>
          <w:rFonts w:hint="eastAsia" w:ascii="仿宋_GB2312" w:hAnsi="仿宋_GB2312" w:eastAsia="仿宋_GB2312" w:cs="仿宋_GB2312"/>
          <w:sz w:val="32"/>
          <w:szCs w:val="32"/>
          <w:lang w:val="en-US" w:eastAsia="zh-CN"/>
        </w:rPr>
        <w:t>打破支出基数依赖与固化格局，严格遵循“先定事项、后定资金”原则，大力压减非刚性、非重点支出，取消低效无效项目，提升预算编制科学性、精准性与可持续性，使财政资金更精准聚焦全县重点任务和民生实事。投入低保、五保户等困难群众救助补助资金3179万元、农村公路应急抢险资金210万元。</w:t>
      </w:r>
      <w:r>
        <w:rPr>
          <w:rFonts w:hint="eastAsia" w:ascii="仿宋_GB2312" w:hAnsi="仿宋_GB2312" w:eastAsia="仿宋_GB2312" w:cs="仿宋_GB2312"/>
          <w:b/>
          <w:bCs/>
          <w:sz w:val="32"/>
          <w:szCs w:val="32"/>
          <w:lang w:val="en-US" w:eastAsia="zh-CN"/>
        </w:rPr>
        <w:t>二是推动政府采购提质增效。</w:t>
      </w:r>
      <w:r>
        <w:rPr>
          <w:rFonts w:hint="eastAsia" w:ascii="仿宋_GB2312" w:hAnsi="仿宋_GB2312" w:eastAsia="仿宋_GB2312" w:cs="仿宋_GB2312"/>
          <w:sz w:val="32"/>
          <w:szCs w:val="32"/>
          <w:lang w:val="en-US" w:eastAsia="zh-CN"/>
        </w:rPr>
        <w:t>严格执行采购预算管理，杜绝无预算、超预算采购行为。已完成采购备案112个，计划采购金额19134.04万元，实际采购金额18021.42万元，节约资金1112.62万元，平均节约率达5.8%。公开发布采购意向116条，依法处理投诉举报19起，开展专项检查2次，持续提升采购透明度和规范性，进一步优化市场竞争环境。</w:t>
      </w:r>
      <w:r>
        <w:rPr>
          <w:rFonts w:hint="eastAsia" w:ascii="仿宋_GB2312" w:hAnsi="仿宋_GB2312" w:eastAsia="仿宋_GB2312" w:cs="仿宋_GB2312"/>
          <w:b/>
          <w:bCs/>
          <w:sz w:val="32"/>
          <w:szCs w:val="32"/>
          <w:lang w:val="en-US" w:eastAsia="zh-CN"/>
        </w:rPr>
        <w:t>三是规范财政评审工作。</w:t>
      </w:r>
      <w:r>
        <w:rPr>
          <w:rFonts w:hint="eastAsia" w:ascii="仿宋_GB2312" w:hAnsi="仿宋_GB2312" w:eastAsia="仿宋_GB2312" w:cs="仿宋_GB2312"/>
          <w:sz w:val="32"/>
          <w:szCs w:val="32"/>
          <w:lang w:val="en-US" w:eastAsia="zh-CN"/>
        </w:rPr>
        <w:t>强化财政评审在成本控制、资金节约方面的重要作用，制定《黑水县财政局关于政府投资项目建设成本控制存在的问题及下一步工作措施》《黑水县财政评审管理办法》《黑水县政府投资建设项目结算审核机制》，推动财政评审范围由单一类型拓展至工程、政府采购、拆迁补偿、预算追加等项目；评审方式从“室内评审”转向“室内与室外相结合”，并引入中介驻场现场踏勘。完成招标控制价评审152个，评审金额6.99亿元，审减资金4908.26万元、审减率7.02%；完成预算支出和采购项目预审105个，预算金额1.72亿元，审减资金2782.67万元、审减率16.17%；送审竣工决算项目43个，完成审核资金2.43亿元。</w:t>
      </w:r>
      <w:r>
        <w:rPr>
          <w:rFonts w:hint="eastAsia" w:ascii="仿宋_GB2312" w:hAnsi="仿宋_GB2312" w:eastAsia="仿宋_GB2312" w:cs="仿宋_GB2312"/>
          <w:b/>
          <w:bCs/>
          <w:sz w:val="32"/>
          <w:szCs w:val="32"/>
          <w:lang w:val="en-US" w:eastAsia="zh-CN"/>
        </w:rPr>
        <w:t>四是深化国企改革工作。</w:t>
      </w:r>
      <w:r>
        <w:rPr>
          <w:rFonts w:hint="eastAsia" w:ascii="仿宋_GB2312" w:hAnsi="仿宋_GB2312" w:eastAsia="仿宋_GB2312" w:cs="仿宋_GB2312"/>
          <w:sz w:val="32"/>
          <w:szCs w:val="32"/>
          <w:lang w:val="en-US" w:eastAsia="zh-CN"/>
        </w:rPr>
        <w:t>形成以增强县国投公司经营核心竞争力为主，加快藏香猪、冷水鱼、矿（山）泉水产业发展及三奥雪山景区开发利用为辅的“1+N”实施方案，推动国有资本做大做优做强；制定《黑水县国资监管机构履行出资人职责监管事项权责清单（2025年）》，明确出资人、主管部门及县属国有企业职责；根据新《公司法》要求，县国投公司、县三奥自来水厂有序完成监事会改革，同步修订公司章程。推动县国投公司完善内部管理制度，修订“三重一大”决策制度及董事会议事规则，持续健全企业内控体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（六）聚焦风险防控，安全底线筑牢夯实</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一是从紧从严管理政府债务。</w:t>
      </w:r>
      <w:r>
        <w:rPr>
          <w:rFonts w:hint="eastAsia" w:ascii="仿宋_GB2312" w:hAnsi="仿宋_GB2312" w:eastAsia="仿宋_GB2312" w:cs="仿宋_GB2312"/>
          <w:sz w:val="32"/>
          <w:szCs w:val="32"/>
          <w:lang w:val="en-US" w:eastAsia="zh-CN"/>
        </w:rPr>
        <w:t>严格执行政府债务限额管理制度，健全政府债券“借、用、管、还”全生命周期管理机制，对58042.4万元债务实施全生命周期监控；常态化开展债务风险监测预警，确保政府法定债务率保持在绿色安全范围。</w:t>
      </w:r>
      <w:r>
        <w:rPr>
          <w:rFonts w:hint="eastAsia" w:ascii="仿宋_GB2312" w:hAnsi="仿宋_GB2312" w:eastAsia="仿宋_GB2312" w:cs="仿宋_GB2312"/>
          <w:b/>
          <w:bCs/>
          <w:sz w:val="32"/>
          <w:szCs w:val="32"/>
          <w:lang w:val="en-US" w:eastAsia="zh-CN"/>
        </w:rPr>
        <w:t>二是持续强化财经纪律约束。</w:t>
      </w:r>
      <w:r>
        <w:rPr>
          <w:rFonts w:hint="eastAsia" w:ascii="仿宋_GB2312" w:hAnsi="仿宋_GB2312" w:eastAsia="仿宋_GB2312" w:cs="仿宋_GB2312"/>
          <w:sz w:val="32"/>
          <w:szCs w:val="32"/>
          <w:lang w:val="en-US" w:eastAsia="zh-CN"/>
        </w:rPr>
        <w:t>印发《黑水县2025年度会计监督检查工作方案》，围绕行政事业单位和国有企业财务规范，选取2家行政事业单位及1家国有企业，开展2024年度执行国家财经法规及内部控制等情况专项核查，发现问题49个；建立整改台账，逐一下达整改通知书，实行“清单管理、对账销号”，压实整改主体责任，强化财经纪律刚性约束。</w:t>
      </w:r>
      <w:r>
        <w:rPr>
          <w:rFonts w:hint="eastAsia" w:ascii="仿宋_GB2312" w:hAnsi="仿宋_GB2312" w:eastAsia="仿宋_GB2312" w:cs="仿宋_GB2312"/>
          <w:b/>
          <w:bCs/>
          <w:sz w:val="32"/>
          <w:szCs w:val="32"/>
          <w:lang w:val="en-US" w:eastAsia="zh-CN"/>
        </w:rPr>
        <w:t>三是构建资金支付全程闭环监控。</w:t>
      </w:r>
      <w:r>
        <w:rPr>
          <w:rFonts w:hint="eastAsia" w:ascii="仿宋_GB2312" w:hAnsi="仿宋_GB2312" w:eastAsia="仿宋_GB2312" w:cs="仿宋_GB2312"/>
          <w:sz w:val="32"/>
          <w:szCs w:val="32"/>
          <w:lang w:val="en-US" w:eastAsia="zh-CN"/>
        </w:rPr>
        <w:t>严格执行“无预算不拨款、无计划不支付、程序不合规不审批”原则，依托预算管理一体化系统对财政资金支付实行全流程监控。全年纳入国库集中支付监控资金总量230170.68万元，处理项目监控预警291笔、支付预警604笔，实现动态预警、及时拦截、快速处置，筑牢资金支付安全防线。</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总的来看，2025年，我县财政预算执行情况总体平稳，在有保有压的前提下，有力支撑了县域经济高质量发展，交出了一份“总体平稳、稳中有进”的答卷。这些成绩的取得，得益于县委、县政府的正确领导，离不开县人大、县政协的监督支持，也凝聚着全县人民的心血与全体财税干部的汗水。同时，财政工作也还存在一些困难问题和短板弱项。主要体现在：</w:t>
      </w:r>
      <w:r>
        <w:rPr>
          <w:rFonts w:hint="eastAsia" w:ascii="仿宋_GB2312" w:hAnsi="仿宋_GB2312" w:eastAsia="仿宋_GB2312" w:cs="仿宋_GB2312"/>
          <w:b/>
          <w:bCs/>
          <w:sz w:val="32"/>
          <w:szCs w:val="32"/>
          <w:lang w:eastAsia="zh-CN"/>
        </w:rPr>
        <w:t>一是财源增长后劲不足，刚性支出不断加大。</w:t>
      </w:r>
      <w:r>
        <w:rPr>
          <w:rFonts w:hint="eastAsia" w:ascii="仿宋_GB2312" w:hAnsi="仿宋_GB2312" w:eastAsia="仿宋_GB2312" w:cs="仿宋_GB2312"/>
          <w:sz w:val="32"/>
          <w:szCs w:val="32"/>
          <w:lang w:eastAsia="zh-CN"/>
        </w:rPr>
        <w:t>财政收入增长基础尚不稳固，传统税源支撑作用减弱，新兴财源培育成效未充分显现，税收结构优化升级步伐需加快；“三保”刚性支出需求持续增长，教育、医疗、社保等基本公共服务保障压力加大，县级财政承压运行，部分项目资金难以足额保障。</w:t>
      </w:r>
      <w:r>
        <w:rPr>
          <w:rFonts w:hint="eastAsia" w:ascii="仿宋_GB2312" w:hAnsi="仿宋_GB2312" w:eastAsia="仿宋_GB2312" w:cs="仿宋_GB2312"/>
          <w:b/>
          <w:bCs/>
          <w:sz w:val="32"/>
          <w:szCs w:val="32"/>
          <w:lang w:eastAsia="zh-CN"/>
        </w:rPr>
        <w:t>二是绩效目标设定不优，结果运用挂钩不紧。</w:t>
      </w:r>
      <w:r>
        <w:rPr>
          <w:rFonts w:hint="eastAsia" w:ascii="仿宋_GB2312" w:hAnsi="仿宋_GB2312" w:eastAsia="仿宋_GB2312" w:cs="仿宋_GB2312"/>
          <w:sz w:val="32"/>
          <w:szCs w:val="32"/>
          <w:lang w:eastAsia="zh-CN"/>
        </w:rPr>
        <w:t>部分部门和项目在绩效目标设定方面存在指标泛化、量化不足等问题，绩效运行监控的及时性与有效性需提升；绩效评价结果与预算安排的实质性挂钩机制未完全落地，评价结果运用刚性不足，“优绩优效”导向作用未充分发挥。</w:t>
      </w:r>
      <w:r>
        <w:rPr>
          <w:rFonts w:hint="eastAsia" w:ascii="仿宋_GB2312" w:hAnsi="仿宋_GB2312" w:eastAsia="仿宋_GB2312" w:cs="仿宋_GB2312"/>
          <w:b/>
          <w:bCs/>
          <w:sz w:val="32"/>
          <w:szCs w:val="32"/>
          <w:lang w:eastAsia="zh-CN"/>
        </w:rPr>
        <w:t>三是预算编制前瞻性不足，预算执行效率不高。</w:t>
      </w:r>
      <w:r>
        <w:rPr>
          <w:rFonts w:hint="eastAsia" w:ascii="仿宋_GB2312" w:hAnsi="仿宋_GB2312" w:eastAsia="仿宋_GB2312" w:cs="仿宋_GB2312"/>
          <w:sz w:val="32"/>
          <w:szCs w:val="32"/>
          <w:lang w:eastAsia="zh-CN"/>
        </w:rPr>
        <w:t>预算编制环节，部分单位项目储备不足，前期论证不充分，预算编制与事业发展规划、年度重点工作衔接不够紧密，影响预算编制准确性与前瞻性；预算执行环节，部分项目支出进度缓慢，“钱等项目”现象依然存在，影响财政资金及时发挥效益。</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snapToGrid w:val="0"/>
          <w:color w:val="auto"/>
          <w:sz w:val="32"/>
          <w:szCs w:val="32"/>
          <w:highlight w:val="none"/>
          <w:lang w:val="en-US" w:eastAsia="zh-CN" w:bidi="ar-SA"/>
        </w:rPr>
      </w:pPr>
      <w:r>
        <w:rPr>
          <w:rFonts w:hint="eastAsia" w:ascii="黑体" w:hAnsi="黑体" w:eastAsia="黑体" w:cs="黑体"/>
          <w:snapToGrid w:val="0"/>
          <w:color w:val="auto"/>
          <w:sz w:val="32"/>
          <w:szCs w:val="32"/>
          <w:highlight w:val="none"/>
          <w:lang w:val="en-US" w:eastAsia="zh-CN" w:bidi="ar-SA"/>
        </w:rPr>
        <w:t>三、2026年财政预算草案</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我们将坚决贯彻中省州决策部署，紧扣州委“1610”系列部署和县委“一地三县六区”战略目标，持续按照量入为出、收支平衡的原则，加强财政研判与资金统筹、强化绩效结果运用，打好财政“组合拳”，全力保障财政稳健运行，为奋力谱写民族地区高质量发展阿坝典范黑水新篇章贡献财政力量。</w:t>
      </w:r>
    </w:p>
    <w:p>
      <w:pPr>
        <w:keepNext w:val="0"/>
        <w:keepLines w:val="0"/>
        <w:pageBreakBefore w:val="0"/>
        <w:widowControl w:val="0"/>
        <w:kinsoku/>
        <w:wordWrap/>
        <w:overflowPunct w:val="0"/>
        <w:topLinePunct w:val="0"/>
        <w:autoSpaceDE/>
        <w:autoSpaceDN/>
        <w:adjustRightInd/>
        <w:snapToGrid/>
        <w:spacing w:line="56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（一）2026年财政收支形势分析。</w:t>
      </w:r>
      <w:r>
        <w:rPr>
          <w:rFonts w:hint="eastAsia" w:ascii="仿宋_GB2312" w:hAnsi="仿宋_GB2312" w:eastAsia="仿宋_GB2312" w:cs="仿宋_GB2312"/>
          <w:b/>
          <w:bCs/>
          <w:sz w:val="32"/>
          <w:szCs w:val="32"/>
          <w:lang w:val="en-US" w:eastAsia="zh-CN"/>
        </w:rPr>
        <w:t>收入端，</w:t>
      </w:r>
      <w:r>
        <w:rPr>
          <w:rFonts w:hint="eastAsia" w:ascii="仿宋_GB2312" w:hAnsi="仿宋_GB2312" w:eastAsia="仿宋_GB2312" w:cs="仿宋_GB2312"/>
          <w:sz w:val="32"/>
          <w:szCs w:val="32"/>
          <w:lang w:val="en-US" w:eastAsia="zh-CN"/>
        </w:rPr>
        <w:t>我县税源结构仍然较为单一，对水电行业依赖依然过重，尚未形成多点多极税源支撑体系，财政收入增长基础不稳。</w:t>
      </w:r>
      <w:r>
        <w:rPr>
          <w:rFonts w:hint="eastAsia" w:ascii="仿宋_GB2312" w:hAnsi="仿宋_GB2312" w:eastAsia="仿宋_GB2312" w:cs="仿宋_GB2312"/>
          <w:b/>
          <w:bCs/>
          <w:sz w:val="32"/>
          <w:szCs w:val="32"/>
          <w:lang w:val="en-US" w:eastAsia="zh-CN"/>
        </w:rPr>
        <w:t>支出端，</w:t>
      </w:r>
      <w:r>
        <w:rPr>
          <w:rFonts w:hint="eastAsia" w:ascii="仿宋_GB2312" w:hAnsi="仿宋_GB2312" w:eastAsia="仿宋_GB2312" w:cs="仿宋_GB2312"/>
          <w:sz w:val="32"/>
          <w:szCs w:val="32"/>
          <w:lang w:val="en-US" w:eastAsia="zh-CN"/>
        </w:rPr>
        <w:t>民生保障、乡村振兴、生态环保等重点领域刚性支出压力仍然巨大。收支矛盾突出，财政运行处于“紧平衡”状态。为此，我们必须坚定信心，强化统筹，坚持“有保有压、量力而行”原则，集中财力保障全县重大战略实施，确保财政可持续运行。</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（二）2026年财政预算编制总体要求。</w:t>
      </w:r>
      <w:r>
        <w:rPr>
          <w:rFonts w:hint="eastAsia" w:ascii="仿宋_GB2312" w:hAnsi="仿宋_GB2312" w:eastAsia="仿宋_GB2312" w:cs="仿宋_GB2312"/>
          <w:sz w:val="32"/>
          <w:szCs w:val="32"/>
          <w:lang w:val="en-US" w:eastAsia="zh-CN"/>
        </w:rPr>
        <w:t>持续将党政机关过“紧日子”要求落实到预算编制中，厉行勤俭节约，严控一般性和“三公”经费支出。进一步强化重大政策和重大项目财政可承受能力评估，硬化预算绩效约束，实施项目全生命周期管理，完善支出标准体系建设。坚决守牢“三保”底线，降低行政运行成本，严肃财经纪律，深化财税改革，确保资金用在紧要处、发挥最大效益。</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（三）一般公共预算收入和支出安排。</w:t>
      </w:r>
      <w:r>
        <w:rPr>
          <w:rFonts w:hint="eastAsia" w:ascii="仿宋_GB2312" w:hAnsi="仿宋_GB2312" w:eastAsia="仿宋_GB2312" w:cs="仿宋_GB2312"/>
          <w:sz w:val="32"/>
          <w:szCs w:val="32"/>
          <w:lang w:val="en-US" w:eastAsia="zh-CN"/>
        </w:rPr>
        <w:t xml:space="preserve">2026年，一般公共预算收入137977万元，同比增加30153万元。其中：地方一般公共预算收入12800万元（税收收入9880万元，非税收入2920万元）；上级补助收入87528万元（返还性收入-177万元、一般性转移支付收入87705万元）；上年结余37141万元；动用预算稳定调节基金508万元。按照收支平衡原则，结合2026年财力和各部门支出需求情况综合考虑，安排2026年一般公共预算支出137977万元。  </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_GBK" w:cs="Times New Roman"/>
          <w:sz w:val="32"/>
          <w:szCs w:val="32"/>
          <w:lang w:val="en-US" w:eastAsia="zh-CN"/>
        </w:rPr>
      </w:pPr>
      <w:r>
        <w:rPr>
          <w:rFonts w:hint="eastAsia" w:ascii="楷体_GB2312" w:hAnsi="楷体_GB2312" w:eastAsia="楷体_GB2312" w:cs="楷体_GB2312"/>
          <w:b/>
          <w:bCs/>
          <w:sz w:val="32"/>
          <w:szCs w:val="32"/>
          <w:lang w:val="en-US" w:eastAsia="zh-CN"/>
        </w:rPr>
        <w:t>（四）政府性基金预算收入和支出安排。</w:t>
      </w:r>
      <w:r>
        <w:rPr>
          <w:rFonts w:hint="eastAsia" w:ascii="仿宋_GB2312" w:hAnsi="仿宋_GB2312" w:eastAsia="仿宋_GB2312" w:cs="仿宋_GB2312"/>
          <w:sz w:val="32"/>
          <w:szCs w:val="32"/>
          <w:lang w:val="en-US" w:eastAsia="zh-CN"/>
        </w:rPr>
        <w:t>2026年，政府性基金预算收入为3114万元,其中：国有土地使用权出让金160万元，国有土地收益基金10万元，农业土地开发资金30万元，上年结余2914万元，按照收支平衡和对应安排原则，政府性基金预算支出为3114万元。</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（五）国有资本经营预算收入和支出安排。</w:t>
      </w:r>
      <w:r>
        <w:rPr>
          <w:rFonts w:hint="eastAsia" w:ascii="仿宋_GB2312" w:hAnsi="仿宋_GB2312" w:eastAsia="仿宋_GB2312" w:cs="仿宋_GB2312"/>
          <w:sz w:val="32"/>
          <w:szCs w:val="32"/>
          <w:lang w:val="en-US" w:eastAsia="zh-CN"/>
        </w:rPr>
        <w:t>2026年，国有资本经营预算上级补助收入为1万元，按照收支平衡和对应安排原则，国有资本经营预算支出为1万元。因3家县属国有企业均无经营利润，县级国有资本经营预算收支为零。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s="黑体"/>
          <w:snapToGrid w:val="0"/>
          <w:color w:val="auto"/>
          <w:sz w:val="32"/>
          <w:szCs w:val="32"/>
          <w:highlight w:val="none"/>
          <w:lang w:val="en-US" w:eastAsia="zh-CN" w:bidi="ar-SA"/>
        </w:rPr>
      </w:pPr>
      <w:r>
        <w:rPr>
          <w:rFonts w:hint="eastAsia" w:ascii="黑体" w:hAnsi="黑体" w:eastAsia="黑体" w:cs="黑体"/>
          <w:snapToGrid w:val="0"/>
          <w:color w:val="auto"/>
          <w:sz w:val="32"/>
          <w:szCs w:val="32"/>
          <w:highlight w:val="none"/>
          <w:lang w:val="en-US" w:eastAsia="zh-CN" w:bidi="ar-SA"/>
        </w:rPr>
        <w:t>四、2026年财政重点工作安排</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（一）聚力增收拓源，筑牢财政运行根基</w:t>
      </w:r>
    </w:p>
    <w:p>
      <w:pPr>
        <w:keepNext w:val="0"/>
        <w:keepLines w:val="0"/>
        <w:pageBreakBefore w:val="0"/>
        <w:widowControl w:val="0"/>
        <w:kinsoku/>
        <w:wordWrap/>
        <w:overflowPunct w:val="0"/>
        <w:topLinePunct w:val="0"/>
        <w:autoSpaceDE/>
        <w:autoSpaceDN/>
        <w:adjustRightInd/>
        <w:snapToGrid/>
        <w:spacing w:line="560" w:lineRule="exact"/>
        <w:ind w:left="0" w:firstLine="482" w:firstLineChars="150"/>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一是健全收入协同征管机制。</w:t>
      </w:r>
      <w:r>
        <w:rPr>
          <w:rFonts w:hint="eastAsia" w:ascii="仿宋_GB2312" w:hAnsi="仿宋_GB2312" w:eastAsia="仿宋_GB2312" w:cs="仿宋_GB2312"/>
          <w:sz w:val="32"/>
          <w:szCs w:val="32"/>
          <w:lang w:val="en-US" w:eastAsia="zh-CN"/>
        </w:rPr>
        <w:t>继续落实财税部门联席会议制度，动态研判收入形势，精准排查组织收入中的难点堵点；强化上下联动、横向协同的综合征收机制，全流程抓实收入组织工作，确保2026年地方一般公共预算收入完成12800万元。</w:t>
      </w:r>
      <w:r>
        <w:rPr>
          <w:rFonts w:hint="eastAsia" w:ascii="仿宋_GB2312" w:hAnsi="仿宋_GB2312" w:eastAsia="仿宋_GB2312" w:cs="仿宋_GB2312"/>
          <w:b/>
          <w:bCs/>
          <w:sz w:val="32"/>
          <w:szCs w:val="32"/>
          <w:lang w:val="en-US" w:eastAsia="zh-CN"/>
        </w:rPr>
        <w:t>二是提升税源税基管理精度。</w:t>
      </w:r>
      <w:r>
        <w:rPr>
          <w:rFonts w:hint="eastAsia" w:ascii="仿宋_GB2312" w:hAnsi="仿宋_GB2312" w:eastAsia="仿宋_GB2312" w:cs="仿宋_GB2312"/>
          <w:sz w:val="32"/>
          <w:szCs w:val="32"/>
          <w:lang w:val="en-US" w:eastAsia="zh-CN"/>
        </w:rPr>
        <w:t>加强对重点税源、重点行业动态监测与服务，严厉防范税收“跑冒滴漏”；规范盘活政府存量资源资产，依法依规组织非税收入，保障各类收入及时足额入库。</w:t>
      </w:r>
      <w:r>
        <w:rPr>
          <w:rFonts w:hint="eastAsia" w:ascii="仿宋_GB2312" w:hAnsi="仿宋_GB2312" w:eastAsia="仿宋_GB2312" w:cs="仿宋_GB2312"/>
          <w:b/>
          <w:bCs/>
          <w:sz w:val="32"/>
          <w:szCs w:val="32"/>
          <w:lang w:val="en-US" w:eastAsia="zh-CN"/>
        </w:rPr>
        <w:t>三是强化优质财源培育。</w:t>
      </w:r>
      <w:r>
        <w:rPr>
          <w:rFonts w:hint="eastAsia" w:ascii="仿宋_GB2312" w:hAnsi="仿宋_GB2312" w:eastAsia="仿宋_GB2312" w:cs="仿宋_GB2312"/>
          <w:sz w:val="32"/>
          <w:szCs w:val="32"/>
          <w:lang w:val="en-US" w:eastAsia="zh-CN"/>
        </w:rPr>
        <w:t xml:space="preserve">全面落实减税降费及产业扶持政策，优化财政资金投入方式，发挥财政资金引导撬动作用，支持新兴产业培育和市场壮大，夯实长期增收基础。  </w:t>
      </w:r>
      <w:r>
        <w:rPr>
          <w:rFonts w:hint="eastAsia" w:ascii="仿宋_GB2312" w:hAnsi="仿宋_GB2312" w:eastAsia="仿宋_GB2312" w:cs="仿宋_GB2312"/>
          <w:color w:val="auto"/>
          <w:kern w:val="2"/>
          <w:sz w:val="32"/>
          <w:szCs w:val="32"/>
          <w:lang w:val="en-US" w:eastAsia="zh-CN" w:bidi="ar-SA"/>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（二）优化支出结构，提高财政资源配置效能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一是严格落实过“紧日子”要求。</w:t>
      </w:r>
      <w:r>
        <w:rPr>
          <w:rFonts w:hint="eastAsia" w:ascii="仿宋_GB2312" w:hAnsi="仿宋_GB2312" w:eastAsia="仿宋_GB2312" w:cs="仿宋_GB2312"/>
          <w:sz w:val="32"/>
          <w:szCs w:val="32"/>
          <w:lang w:val="en-US" w:eastAsia="zh-CN"/>
        </w:rPr>
        <w:t>从严管控“三公”经费，强化预算刚性约束，严控非刚性、非重点、非急需项目支出，坚决削减低效、无效资金，坚持“小钱小气、大钱大方”的支出原则。2026年“三公”经费和一般性支出均力争压减5%。</w:t>
      </w:r>
      <w:r>
        <w:rPr>
          <w:rFonts w:hint="eastAsia" w:ascii="仿宋_GB2312" w:hAnsi="仿宋_GB2312" w:eastAsia="仿宋_GB2312" w:cs="仿宋_GB2312"/>
          <w:b/>
          <w:bCs/>
          <w:sz w:val="32"/>
          <w:szCs w:val="32"/>
          <w:lang w:val="en-US" w:eastAsia="zh-CN"/>
        </w:rPr>
        <w:t>二是优先保障“三保”与民生重点。</w:t>
      </w:r>
      <w:r>
        <w:rPr>
          <w:rFonts w:hint="eastAsia" w:ascii="仿宋_GB2312" w:hAnsi="仿宋_GB2312" w:eastAsia="仿宋_GB2312" w:cs="仿宋_GB2312"/>
          <w:sz w:val="32"/>
          <w:szCs w:val="32"/>
          <w:lang w:val="en-US" w:eastAsia="zh-CN"/>
        </w:rPr>
        <w:t>将“三保”支出作为优先项，足额编列预算，科学调度库款，压实主体责任，确保有限资金向发展紧要处，民生急需领域倾斜。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（三）强化监督管理，守牢财政资金安全底线</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一是织密财会监督网络。</w:t>
      </w:r>
      <w:r>
        <w:rPr>
          <w:rFonts w:hint="eastAsia" w:ascii="仿宋_GB2312" w:hAnsi="仿宋_GB2312" w:eastAsia="仿宋_GB2312" w:cs="仿宋_GB2312"/>
          <w:sz w:val="32"/>
          <w:szCs w:val="32"/>
          <w:lang w:val="en-US" w:eastAsia="zh-CN"/>
        </w:rPr>
        <w:t>聚焦财政资金分配、使用等重点领域和关键环节，扎实开展2026年会计监督检查；建立问题整改台账与销号管理制度，强化典型案例通报曝光，形成监督震慑力。</w:t>
      </w:r>
      <w:r>
        <w:rPr>
          <w:rFonts w:hint="eastAsia" w:ascii="仿宋_GB2312" w:hAnsi="仿宋_GB2312" w:eastAsia="仿宋_GB2312" w:cs="仿宋_GB2312"/>
          <w:b/>
          <w:bCs/>
          <w:sz w:val="32"/>
          <w:szCs w:val="32"/>
          <w:lang w:val="en-US" w:eastAsia="zh-CN"/>
        </w:rPr>
        <w:t>二是强化绩效结果应用。</w:t>
      </w:r>
      <w:r>
        <w:rPr>
          <w:rFonts w:hint="eastAsia" w:ascii="仿宋_GB2312" w:hAnsi="仿宋_GB2312" w:eastAsia="仿宋_GB2312" w:cs="仿宋_GB2312"/>
          <w:sz w:val="32"/>
          <w:szCs w:val="32"/>
          <w:lang w:val="en-US" w:eastAsia="zh-CN"/>
        </w:rPr>
        <w:t>将绩效管理贯穿预算编制、执行、监督全过程，2026年计划选取10个重点项目、20个预算单位开展重点绩效评价。推动评价结果与预算安排、政策调整硬挂钩。</w:t>
      </w:r>
      <w:r>
        <w:rPr>
          <w:rFonts w:hint="eastAsia" w:ascii="仿宋_GB2312" w:hAnsi="仿宋_GB2312" w:eastAsia="仿宋_GB2312" w:cs="仿宋_GB2312"/>
          <w:b/>
          <w:bCs/>
          <w:sz w:val="32"/>
          <w:szCs w:val="32"/>
          <w:lang w:val="en-US" w:eastAsia="zh-CN"/>
        </w:rPr>
        <w:t>三是规范政府采购与财政评审。</w:t>
      </w:r>
      <w:r>
        <w:rPr>
          <w:rFonts w:hint="eastAsia" w:ascii="仿宋_GB2312" w:hAnsi="仿宋_GB2312" w:eastAsia="仿宋_GB2312" w:cs="仿宋_GB2312"/>
          <w:sz w:val="32"/>
          <w:szCs w:val="32"/>
          <w:lang w:val="en-US" w:eastAsia="zh-CN"/>
        </w:rPr>
        <w:t>全面推行政府采购意向公开，强化采购需求标准管理，严禁超预算、无预算采购，全年开展政府采购专项检查不少于1次；前移财政评审关口，加强对项目可行性论证与投资概算评审，切实节约政府投资成本。</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（四）深化改革创新，激发财政内生发展动力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一是推进零基预算改革走深走实。</w:t>
      </w:r>
      <w:r>
        <w:rPr>
          <w:rFonts w:hint="eastAsia" w:ascii="仿宋_GB2312" w:hAnsi="仿宋_GB2312" w:eastAsia="仿宋_GB2312" w:cs="仿宋_GB2312"/>
          <w:sz w:val="32"/>
          <w:szCs w:val="32"/>
          <w:lang w:val="en-US" w:eastAsia="zh-CN"/>
        </w:rPr>
        <w:t>严格遵循“资金跟着项目走、项目跟着规划走”原则。结合项目需求、绩效情况科学编制预算，提升资金配置精准度。</w:t>
      </w:r>
      <w:r>
        <w:rPr>
          <w:rFonts w:hint="eastAsia" w:ascii="仿宋_GB2312" w:hAnsi="仿宋_GB2312" w:eastAsia="仿宋_GB2312" w:cs="仿宋_GB2312"/>
          <w:b/>
          <w:bCs/>
          <w:sz w:val="32"/>
          <w:szCs w:val="32"/>
          <w:lang w:val="en-US" w:eastAsia="zh-CN"/>
        </w:rPr>
        <w:t>二是深化国资国企改革。</w:t>
      </w:r>
      <w:r>
        <w:rPr>
          <w:rFonts w:hint="eastAsia" w:ascii="仿宋_GB2312" w:hAnsi="仿宋_GB2312" w:eastAsia="仿宋_GB2312" w:cs="仿宋_GB2312"/>
          <w:sz w:val="32"/>
          <w:szCs w:val="32"/>
          <w:lang w:val="en-US" w:eastAsia="zh-CN"/>
        </w:rPr>
        <w:t>完善以管资本为主的国资监管体系，强化国有企业经营业绩考核与薪酬分配挂钩机制。支持县国投公司加快藏香猪标准化养殖基地、三奥雪山景区游客服务中心升级等核心产业项目建设，提升国企经营效益与服务县域发展能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（五）精准谋划项目，蓄积县域发展势能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一是精准对接上级政策导向。</w:t>
      </w:r>
      <w:r>
        <w:rPr>
          <w:rFonts w:hint="eastAsia" w:ascii="仿宋_GB2312" w:hAnsi="仿宋_GB2312" w:eastAsia="仿宋_GB2312" w:cs="仿宋_GB2312"/>
          <w:sz w:val="32"/>
          <w:szCs w:val="32"/>
          <w:lang w:val="en-US" w:eastAsia="zh-CN"/>
        </w:rPr>
        <w:t>协同县发改经信商务局深入研究国家、省级政策导向，结合县域发展实际精准谋划项目，确保项目申报与政策导向高度契合、靶向精准。</w:t>
      </w:r>
      <w:r>
        <w:rPr>
          <w:rFonts w:hint="eastAsia" w:ascii="仿宋_GB2312" w:hAnsi="仿宋_GB2312" w:eastAsia="仿宋_GB2312" w:cs="仿宋_GB2312"/>
          <w:b/>
          <w:bCs/>
          <w:sz w:val="32"/>
          <w:szCs w:val="32"/>
          <w:lang w:val="en-US" w:eastAsia="zh-CN"/>
        </w:rPr>
        <w:t>二是做深做实项目前期工作。</w:t>
      </w:r>
      <w:r>
        <w:rPr>
          <w:rFonts w:hint="eastAsia" w:ascii="仿宋_GB2312" w:hAnsi="仿宋_GB2312" w:eastAsia="仿宋_GB2312" w:cs="仿宋_GB2312"/>
          <w:sz w:val="32"/>
          <w:szCs w:val="32"/>
          <w:lang w:val="en-US" w:eastAsia="zh-CN"/>
        </w:rPr>
        <w:t>督促项目单位在深入调研基础上引入专业力量，强化项目必要性、可行性、收益性和合规性论证，完善项目申报支撑材料，提升项目成熟度。</w:t>
      </w:r>
      <w:r>
        <w:rPr>
          <w:rFonts w:hint="eastAsia" w:ascii="仿宋_GB2312" w:hAnsi="仿宋_GB2312" w:eastAsia="仿宋_GB2312" w:cs="仿宋_GB2312"/>
          <w:b/>
          <w:bCs/>
          <w:sz w:val="32"/>
          <w:szCs w:val="32"/>
          <w:lang w:val="en-US" w:eastAsia="zh-CN"/>
        </w:rPr>
        <w:t>三是全力争取上级资金支持。</w:t>
      </w:r>
      <w:r>
        <w:rPr>
          <w:rFonts w:hint="eastAsia" w:ascii="仿宋_GB2312" w:hAnsi="仿宋_GB2312" w:eastAsia="仿宋_GB2312" w:cs="仿宋_GB2312"/>
          <w:sz w:val="32"/>
          <w:szCs w:val="32"/>
          <w:lang w:val="en-US" w:eastAsia="zh-CN"/>
        </w:rPr>
        <w:t>健全跨部门协同机制，常态化召开项目工作调度会，压实主管部门、行业部门主体责任，推动储备项目达到“对上可申报、对外可招商”标准。做好2026年专项债券项目申报，全力争取中央、省州转移支付资金。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（六）聚焦民生福祉，提升财政保障温度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一是保持民生领域支出强度。</w:t>
      </w:r>
      <w:r>
        <w:rPr>
          <w:rFonts w:hint="eastAsia" w:ascii="仿宋_GB2312" w:hAnsi="仿宋_GB2312" w:eastAsia="仿宋_GB2312" w:cs="仿宋_GB2312"/>
          <w:sz w:val="32"/>
          <w:szCs w:val="32"/>
          <w:lang w:val="en-US" w:eastAsia="zh-CN"/>
        </w:rPr>
        <w:t>持续加大民生领域投入，优化民生支出结构，2026年力争民生支出占一般公共预算支出比重达70%以上。</w:t>
      </w:r>
      <w:r>
        <w:rPr>
          <w:rFonts w:hint="eastAsia" w:ascii="仿宋_GB2312" w:hAnsi="仿宋_GB2312" w:eastAsia="仿宋_GB2312" w:cs="仿宋_GB2312"/>
          <w:b/>
          <w:bCs/>
          <w:sz w:val="32"/>
          <w:szCs w:val="32"/>
          <w:lang w:val="en-US" w:eastAsia="zh-CN"/>
        </w:rPr>
        <w:t>二是强化民生领域保障。</w:t>
      </w:r>
      <w:r>
        <w:rPr>
          <w:rFonts w:hint="eastAsia" w:ascii="仿宋_GB2312" w:hAnsi="仿宋_GB2312" w:eastAsia="仿宋_GB2312" w:cs="仿宋_GB2312"/>
          <w:sz w:val="32"/>
          <w:szCs w:val="32"/>
          <w:lang w:val="en-US" w:eastAsia="zh-CN"/>
        </w:rPr>
        <w:t>以群众工作“石榴籽”工程“六大行动”和“三个专项工作”资金保障为重点，优先保障就业创业、帮困助弱、健康保障等群众急难愁盼领域资金需求，协同行业主管部门向上争取专项支持。</w:t>
      </w:r>
      <w:r>
        <w:rPr>
          <w:rFonts w:hint="eastAsia" w:ascii="仿宋_GB2312" w:hAnsi="仿宋_GB2312" w:eastAsia="仿宋_GB2312" w:cs="仿宋_GB2312"/>
          <w:b/>
          <w:bCs/>
          <w:sz w:val="32"/>
          <w:szCs w:val="32"/>
          <w:lang w:val="en-US" w:eastAsia="zh-CN"/>
        </w:rPr>
        <w:t>三是助力乡村全面振兴。</w:t>
      </w:r>
      <w:r>
        <w:rPr>
          <w:rFonts w:hint="eastAsia" w:ascii="仿宋_GB2312" w:hAnsi="仿宋_GB2312" w:eastAsia="仿宋_GB2312" w:cs="仿宋_GB2312"/>
          <w:sz w:val="32"/>
          <w:szCs w:val="32"/>
          <w:lang w:val="en-US" w:eastAsia="zh-CN"/>
        </w:rPr>
        <w:t>进一步管好用好各级衔接推进乡村振兴补助资金，全力支持产业发展、促进就业和乡村建设等重点工作。</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sz w:val="32"/>
          <w:szCs w:val="32"/>
          <w:lang w:val="en-US" w:eastAsia="zh-CN"/>
        </w:rPr>
        <w:t>各位代表：2026年，面对机遇与挑战交织叠加的财政大环境，我们将始终以习近平新时代中国特色社会主义思想为根本遵循，在县委、县政府的坚强领导下，在州财政局的精心指导下，自觉接受县人大的法律监督与县政协的民主监督，努力做到知责于心、担责于身、履责于行，以最优的工作状态、最实的服务举措、最强的履职成效，为奋力谱写民族地区高质量发展阿坝典范黑水新篇章贡献更多财政力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57EBE"/>
    <w:rsid w:val="26F57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qFormat/>
    <w:uiPriority w:val="0"/>
    <w:pPr>
      <w:adjustRightInd w:val="0"/>
      <w:snapToGrid w:val="0"/>
      <w:spacing w:after="200"/>
      <w:jc w:val="left"/>
    </w:pPr>
    <w:rPr>
      <w:rFonts w:ascii="Tahoma" w:hAnsi="Tahoma" w:eastAsia="微软雅黑" w:cs="Times New Roman"/>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2026-03-13T06:34:00Z</dcterms:created>
  <dc:creator>冻结</dc:creator>
  <cp:lastModifiedBy>冻结</cp:lastModifiedBy>
  <dcterms:modified xsi:type="dcterms:W3CDTF">2026-03-13T06:40:30Z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