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592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中共广元市昭化区委组织部</w:t>
      </w:r>
    </w:p>
    <w:p w14:paraId="74F751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2026年部门预算编制说明</w:t>
      </w:r>
    </w:p>
    <w:p w14:paraId="3444A9AC">
      <w:pPr>
        <w:jc w:val="center"/>
        <w:rPr>
          <w:rFonts w:hint="eastAsia" w:ascii="黑体" w:hAnsi="黑体" w:eastAsia="黑体" w:cs="黑体"/>
          <w:b/>
          <w:bCs/>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目   录</w:t>
      </w:r>
    </w:p>
    <w:p w14:paraId="0938A4DF">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一、基本职能及主要工作..............................( 1</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1AA373BD">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（一）单位职能简介..................................(</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1 )</w:t>
      </w:r>
    </w:p>
    <w:p w14:paraId="5CCB2343">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（二）单位2026年重点工作...........................( 1</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7D330963">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二、部门预算单位构成................................(</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2 )</w:t>
      </w:r>
    </w:p>
    <w:p w14:paraId="6DD70ACF">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三、收支预算情况说明................................( 3</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1D2ADEA6">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（一）收入预算情况..................................( 3</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7392F7D2">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（二）支出预算情况..................................(</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3 )</w:t>
      </w:r>
    </w:p>
    <w:p w14:paraId="36ABEA61">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四、财政拨款收支预算情况说明........................(</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3 )</w:t>
      </w:r>
    </w:p>
    <w:p w14:paraId="1628C69C">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五、一般公共预算当年拨款情况说明....................( 4</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534ACCB3">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（一）一般公共预算当年拨款规模变化情况..............( 4</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40930552">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（二）一般公共预算当年拨款结构情况..................(</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4 )</w:t>
      </w:r>
    </w:p>
    <w:p w14:paraId="507B1BC8">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（三）一般公共预算当年拨款具体使用情况..............(</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4 )</w:t>
      </w:r>
    </w:p>
    <w:p w14:paraId="085EE6B6">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六、一般公共预算基本支出情况说明....................( 6</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67B5BBB4">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七、“三公”经费财政拨款预算安排情况说明............( 6</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1A690DA3">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八、政府性基金预算支出情况说明......................( 7</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559BC4C0">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九、国有资本经营预算支出情况说明....................(</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7 )</w:t>
      </w:r>
    </w:p>
    <w:p w14:paraId="494796F0">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sectPr>
          <w:footerReference r:id="rId3" w:type="default"/>
          <w:pgSz w:w="11906" w:h="16838"/>
          <w:pgMar w:top="2098" w:right="1474" w:bottom="1984" w:left="1587" w:header="720" w:footer="1559" w:gutter="0"/>
          <w:pgNumType w:fmt="decimal"/>
          <w:cols w:space="720" w:num="1"/>
          <w:docGrid w:type="lines" w:linePitch="312" w:charSpace="0"/>
        </w:sectPr>
      </w:pPr>
    </w:p>
    <w:p w14:paraId="52E8BA85">
      <w:pPr>
        <w:jc w:val="both"/>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十、其他重要事项的情况说明........................( 7</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w:t>
      </w:r>
    </w:p>
    <w:p w14:paraId="5D578151">
      <w:pPr>
        <w:jc w:val="both"/>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十一、名词解释....................................(</w:t>
      </w:r>
      <w:r>
        <w:rPr>
          <w:rFonts w:hint="default"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 </w:t>
      </w:r>
      <w:r>
        <w:rPr>
          <w:rFonts w:hint="eastAsia" w:ascii="仿宋_GB2312" w:hAnsi="仿宋_GB2312" w:eastAsia="仿宋_GB2312" w:cs="仿宋_GB2312"/>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8 )</w:t>
      </w:r>
    </w:p>
    <w:p w14:paraId="7C0A26C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12C49DA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7780508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5261B21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14FE4A3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03E5DBC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601E6E6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30DF2B6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56DEB49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5C22684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0542A01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3399799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2FC8CBA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12052E0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0E6DDDA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30" w:beforeAutospacing="0" w:after="0" w:afterAutospacing="0" w:line="580" w:lineRule="atLeast"/>
        <w:ind w:left="0" w:right="0" w:firstLine="560" w:firstLineChars="200"/>
        <w:jc w:val="both"/>
        <w:rPr>
          <w:rFonts w:hint="eastAsia" w:ascii="宋体" w:hAnsi="宋体" w:eastAsia="宋体" w:cs="宋体"/>
          <w:i w:val="0"/>
          <w:caps w:val="0"/>
          <w:color w:val="000000" w:themeColor="text1"/>
          <w:spacing w:val="0"/>
          <w:kern w:val="0"/>
          <w:sz w:val="28"/>
          <w:szCs w:val="28"/>
          <w:highlight w:val="none"/>
          <w:shd w:val="clear" w:color="auto" w:fill="FFFFFF"/>
          <w:lang w:val="en-US" w:eastAsia="zh-CN" w:bidi="ar"/>
          <w14:textFill>
            <w14:solidFill>
              <w14:schemeClr w14:val="tx1"/>
            </w14:solidFill>
          </w14:textFill>
        </w:rPr>
      </w:pPr>
    </w:p>
    <w:p w14:paraId="291FB5D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sectPr>
          <w:footerReference r:id="rId4" w:type="default"/>
          <w:pgSz w:w="11906" w:h="16838"/>
          <w:pgMar w:top="2098" w:right="1474" w:bottom="1984" w:left="1587" w:header="720" w:footer="1559" w:gutter="0"/>
          <w:pgNumType w:fmt="decimal" w:start="1"/>
          <w:cols w:space="720" w:num="1"/>
          <w:docGrid w:type="lines" w:linePitch="312" w:charSpace="0"/>
        </w:sectPr>
      </w:pPr>
    </w:p>
    <w:p w14:paraId="117469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一、基本职能及主要工作</w:t>
      </w:r>
    </w:p>
    <w:p w14:paraId="2953E18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（一）职能简介</w:t>
      </w:r>
    </w:p>
    <w:p w14:paraId="0BE9B6EC">
      <w:pPr>
        <w:pStyle w:val="13"/>
        <w:keepNext w:val="0"/>
        <w:keepLines w:val="0"/>
        <w:pageBreakBefore w:val="0"/>
        <w:widowControl w:val="0"/>
        <w:kinsoku/>
        <w:wordWrap/>
        <w:topLinePunct w:val="0"/>
        <w:autoSpaceDE/>
        <w:autoSpaceDN/>
        <w:bidi w:val="0"/>
        <w:adjustRightInd/>
        <w:snapToGrid/>
        <w:spacing w:line="576" w:lineRule="exact"/>
        <w:jc w:val="both"/>
        <w:textAlignment w:val="auto"/>
        <w:rPr>
          <w:rFonts w:hint="eastAsia" w:ascii="楷体_GB2312" w:hAnsi="楷体_GB2312" w:eastAsia="楷体_GB2312" w:cs="楷体_GB2312"/>
          <w:sz w:val="32"/>
          <w:szCs w:val="32"/>
        </w:rPr>
      </w:pPr>
      <w:r>
        <w:rPr>
          <w:rFonts w:hint="default" w:ascii="Times New Roman" w:hAnsi="Times New Roman" w:eastAsia="仿宋_GB2312" w:cs="Times New Roman"/>
          <w:b/>
          <w:bCs/>
          <w:color w:val="000000"/>
          <w:sz w:val="32"/>
          <w:szCs w:val="24"/>
          <w:highlight w:val="none"/>
          <w:lang w:val="en-US"/>
        </w:rPr>
        <w:t>区委组织部贯彻新时代党的建设总要求和新时代党的组织路线，落实区委相关决策部署。1.负责全区党的组织体系、组织制度建设，负责基层党组织建设规划指导和党员队伍管理，指导开展党员教育工作</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2.负责全区领导班子和干部队伍建设的总体规划和管理等</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3.负责管理全区公务员工作等</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4.负责全区人才工作的指导、组织协调和督促检查等</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5.负责全区干部教育培训工作的指导、政策规划、组织协调和督查检查，负责区重点培训项目的策划、实施和管理等</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6.负责全区干部监督工作的指导和综合协调等</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7.归口管理区委机构编制委员会办公室，统一管理区直属机关党建和老干部工作</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8.承担区委党建工作领导小组、</w:t>
      </w:r>
      <w:r>
        <w:rPr>
          <w:rFonts w:hint="eastAsia" w:ascii="Times New Roman" w:hAnsi="Times New Roman" w:eastAsia="仿宋_GB2312" w:cs="Times New Roman"/>
          <w:b/>
          <w:bCs/>
          <w:color w:val="000000"/>
          <w:sz w:val="32"/>
          <w:szCs w:val="24"/>
          <w:highlight w:val="none"/>
          <w:lang w:val="en-US" w:eastAsia="zh-CN"/>
        </w:rPr>
        <w:t>区委</w:t>
      </w:r>
      <w:r>
        <w:rPr>
          <w:rFonts w:hint="default" w:ascii="Times New Roman" w:hAnsi="Times New Roman" w:eastAsia="仿宋_GB2312" w:cs="Times New Roman"/>
          <w:b/>
          <w:bCs/>
          <w:color w:val="000000"/>
          <w:sz w:val="32"/>
          <w:szCs w:val="24"/>
          <w:highlight w:val="none"/>
          <w:lang w:val="en-US"/>
        </w:rPr>
        <w:t>人才工作领导小组的日常工作</w:t>
      </w:r>
      <w:r>
        <w:rPr>
          <w:rFonts w:hint="eastAsia" w:ascii="Times New Roman" w:hAnsi="Times New Roman" w:eastAsia="仿宋_GB2312" w:cs="Times New Roman"/>
          <w:b/>
          <w:bCs/>
          <w:color w:val="000000"/>
          <w:sz w:val="32"/>
          <w:szCs w:val="24"/>
          <w:highlight w:val="none"/>
          <w:lang w:val="en-US" w:eastAsia="zh-CN"/>
        </w:rPr>
        <w:t>；</w:t>
      </w:r>
      <w:r>
        <w:rPr>
          <w:rFonts w:hint="default" w:ascii="Times New Roman" w:hAnsi="Times New Roman" w:eastAsia="仿宋_GB2312" w:cs="Times New Roman"/>
          <w:b/>
          <w:bCs/>
          <w:color w:val="000000"/>
          <w:sz w:val="32"/>
          <w:szCs w:val="24"/>
          <w:highlight w:val="none"/>
          <w:lang w:val="en-US"/>
        </w:rPr>
        <w:t>9.完成区委交办的其他任务。</w:t>
      </w:r>
    </w:p>
    <w:p w14:paraId="674C088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val="en-US" w:eastAsia="zh-CN"/>
        </w:rPr>
        <w:t>2026</w:t>
      </w:r>
      <w:r>
        <w:rPr>
          <w:rFonts w:hint="eastAsia" w:ascii="楷体_GB2312" w:hAnsi="楷体_GB2312" w:eastAsia="楷体_GB2312" w:cs="楷体_GB2312"/>
          <w:b/>
          <w:bCs/>
          <w:sz w:val="32"/>
          <w:szCs w:val="32"/>
        </w:rPr>
        <w:t>年重点工作</w:t>
      </w:r>
    </w:p>
    <w:p w14:paraId="390383A2">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u w:val="none"/>
          <w:lang w:val="en-US" w:eastAsia="zh-CN"/>
        </w:rPr>
        <w:t>持续以思想破冰促破题、以选任导向聚力量、以人才势能添动能、以基础坚定护稳定，为昭化区高质量发展贡献组工力量。一是聚焦凝心铸魂抓实创新理论武装。建立“原著精读+专题辅</w:t>
      </w:r>
      <w:r>
        <w:rPr>
          <w:rFonts w:hint="eastAsia" w:ascii="仿宋_GB2312" w:hAnsi="仿宋_GB2312" w:eastAsia="仿宋_GB2312" w:cs="仿宋_GB2312"/>
          <w:b/>
          <w:bCs/>
          <w:sz w:val="32"/>
          <w:szCs w:val="32"/>
          <w:lang w:val="en-US" w:eastAsia="zh-CN"/>
        </w:rPr>
        <w:t>导+案例研讨”三位一体理论教学模式，全覆盖开展中央及省委、市委、区委全会精神轮训，加强换届后领导班子和新任职领导干部履职能力培训，深化“理论铸魂、党性淬炼、实践历练”系统性教学模式，优化“行业部门订单、党员干部点单、组织部门下单”干训供给，提档升级家居产业城、“王家贡米”研发中心等实训基地，推动理论学习常态化、履职培训精准化、实践验学系统化。二是聚焦事业发展锻造堪当重任铁军。聚焦高质量完成区镇换届，全面开展领导班子“解剖式”分析研判，实施“储薪火育新人”系列行动，同步开展政治素质考察、离任审计和环保督察，以高标准任期目标管理促进高质量变动交接。分领域重构考核指标，采取“蹲点调研+嵌入考察+横评纵比”方式考准实绩，构建新录用公务员“入职培训、轮岗锻炼、领题攻坚”全周期培养链条，动态充盈“蓄水池”。整合监督力量开展政绩观表现追溯评价，探索“八小时外”特邀监督员机制，细化干部正反表现清单明确“下”的标准、“上”的渠道。</w:t>
      </w:r>
      <w:bookmarkStart w:id="0" w:name="OLE_LINK2"/>
      <w:r>
        <w:rPr>
          <w:rFonts w:hint="eastAsia" w:ascii="仿宋_GB2312" w:hAnsi="仿宋_GB2312" w:eastAsia="仿宋_GB2312" w:cs="仿宋_GB2312"/>
          <w:b/>
          <w:bCs/>
          <w:sz w:val="32"/>
          <w:szCs w:val="32"/>
          <w:lang w:val="en-US" w:eastAsia="zh-CN"/>
        </w:rPr>
        <w:t>三是聚焦先行先试打造产才融合高地。高标准编制“十五五”人才发展规划，</w:t>
      </w:r>
      <w:r>
        <w:rPr>
          <w:rFonts w:hint="eastAsia" w:ascii="仿宋_GB2312" w:hAnsi="仿宋_GB2312" w:eastAsia="仿宋_GB2312" w:cs="仿宋_GB2312"/>
          <w:b/>
          <w:bCs/>
          <w:caps w:val="0"/>
          <w:strike w:val="0"/>
          <w:dstrike w:val="0"/>
          <w:color w:val="000000" w:themeColor="text1"/>
          <w:spacing w:val="0"/>
          <w:w w:val="100"/>
          <w:kern w:val="2"/>
          <w:sz w:val="32"/>
          <w:szCs w:val="32"/>
          <w:u w:val="none"/>
          <w:lang w:val="en-US" w:eastAsia="zh-CN" w:bidi="ar-SA"/>
          <w14:textFill>
            <w14:solidFill>
              <w14:schemeClr w14:val="tx1"/>
            </w14:solidFill>
          </w14:textFill>
        </w:rPr>
        <w:t>扎实推进省级人才入乡“新农人”试点，不断建强人才进阶、素质提升、生态发展“全链条”制度支撑。紧扣产业发展需求，探索实施“高能级专家带土移植”“青年英才归巢行动”等引才新模式。实施“飞地研发”升级计划，持续扩大人才自主评价覆盖面，探索“政产学研金服用”生态强化工程，为高质量发展提供人才保障。</w:t>
      </w:r>
      <w:bookmarkEnd w:id="0"/>
      <w:bookmarkStart w:id="1" w:name="OLE_LINK3"/>
      <w:r>
        <w:rPr>
          <w:rFonts w:hint="eastAsia" w:ascii="仿宋_GB2312" w:hAnsi="仿宋_GB2312" w:eastAsia="仿宋_GB2312" w:cs="仿宋_GB2312"/>
          <w:b/>
          <w:bCs/>
          <w:sz w:val="32"/>
          <w:szCs w:val="32"/>
          <w:lang w:val="en-US" w:eastAsia="zh-CN"/>
        </w:rPr>
        <w:t>四是聚焦赋能增效夯实事业发展基础。稳妥推进村（居）民委员会换届，扎实开展村社干部提能促效、提薪促干、提标促管行动。探索开展“机关带系统”党建行动，全面建立机关党建“三级五岗”责任清单。充分发挥产业发展联盟引领作用，完善社区“五治融合”体系，释放振兴善治效能。推行党员“原单位+常住地”双向共管，实施党员发展“定向育苗”行动，提升各领域党员管理教育质效。</w:t>
      </w:r>
      <w:bookmarkEnd w:id="1"/>
    </w:p>
    <w:p w14:paraId="4E2346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二、部门预算单位构成</w:t>
      </w:r>
    </w:p>
    <w:p w14:paraId="7730326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下属单位4个，其中行政单位0个，参照公务员法管理的事业单位1个，其他事业单位3个。主要包括：区党员教育服务中心、区直属机关党建事务中心、区干部人事档案管理中心、区高层次人才服务中心。以上单位均未独立预算。</w:t>
      </w:r>
    </w:p>
    <w:p w14:paraId="66E745A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三、收支预算情况说明</w:t>
      </w:r>
    </w:p>
    <w:p w14:paraId="3F821F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eastAsia="zh-CN"/>
        </w:rPr>
        <w:t>按照综合预算的原则，区委组织部所有收入和支出均纳入部门预算管理。收入均为一般公共预算拨款收入；支出包括：一般公共服务支出、社会保障和就业支出、卫生健康支出、住房保障支出。区委组织部2026年收支预算总数817.78万元,比2025年收支预算总数增加130.32万元，主要原因是2026人员数较2025年增加了7人，人员经费预算增加。</w:t>
      </w:r>
    </w:p>
    <w:p w14:paraId="3086A00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（一）收入预算情况</w:t>
      </w:r>
    </w:p>
    <w:p w14:paraId="11C48CB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区委组织部2026年收入预算817.78万元，一般公共预算拨款收入817.78万元，占100%。</w:t>
      </w:r>
    </w:p>
    <w:p w14:paraId="357CD09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（二）支出预算情况</w:t>
      </w:r>
    </w:p>
    <w:p w14:paraId="31926E2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区委组织部2026年支出预算817.78万元，其中：基本支出559.66万元，占68.4%；项目支出258.12万元，占31.6%。</w:t>
      </w:r>
    </w:p>
    <w:p w14:paraId="76F993D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四、财政拨款收支预算情况说明</w:t>
      </w:r>
    </w:p>
    <w:p w14:paraId="4887E7C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区委组织部2026年财政拨款收支预算总数817.78万元,比2025年财政拨款收支预算总数增加130.32万元，主要原因是2026人员数较2025年增加了7人，人员经费预算增加。</w:t>
      </w:r>
    </w:p>
    <w:p w14:paraId="3B27030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收入包括：本年一般公共预算拨款收入817.78万元；支出包括：一般公共服务支出694.35万元、社会保障和就业支出61.28万元、卫生健康支出19.91万元、住房保障支出42.24万元。</w:t>
      </w:r>
    </w:p>
    <w:p w14:paraId="6E14BBA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五、一般公共预算当年拨款情况说明</w:t>
      </w:r>
    </w:p>
    <w:p w14:paraId="627D6D5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（一）一般公共预算当年拨款规模变化情况</w:t>
      </w:r>
    </w:p>
    <w:p w14:paraId="12A45F5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区委组织部2026年一般公共预算当年拨款817.78万元，比2025年预算数增加130.32万元，主要原因是2026人员数较2025年增加了7人，人员经费预算增加。</w:t>
      </w:r>
    </w:p>
    <w:p w14:paraId="66B26BE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（二）一般公共预算当年拨款结构情况</w:t>
      </w:r>
    </w:p>
    <w:p w14:paraId="29984F5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一般公共服务支出694.35万元，占85%；社会保障和就业支出61.28万元，占7.5%；卫生健康支出19.91万元，占2.4%；住房保障支出42.24万元，占5.1%。</w:t>
      </w:r>
    </w:p>
    <w:p w14:paraId="73EF09D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（三）一般公共预算当年拨款具体使用情况</w:t>
      </w:r>
    </w:p>
    <w:p w14:paraId="1050224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一般公共服务（类）组织事务（款）行政运行（项）2026年预算数为308.53万元，主要用于：行政</w:t>
      </w:r>
      <w:r>
        <w:rPr>
          <w:rFonts w:hint="eastAsia" w:ascii="仿宋_GB2312" w:hAnsi="仿宋_GB2312" w:eastAsia="仿宋_GB2312"/>
          <w:b/>
          <w:bCs/>
          <w:color w:val="000000"/>
          <w:sz w:val="32"/>
          <w:szCs w:val="24"/>
          <w:lang w:val="en-US" w:eastAsia="zh-CN"/>
        </w:rPr>
        <w:t>单位（包括实行公务员管理的事业单位）的基本支出</w:t>
      </w:r>
      <w:r>
        <w:rPr>
          <w:rFonts w:hint="eastAsia" w:ascii="仿宋_GB2312" w:hAnsi="仿宋_GB2312" w:eastAsia="仿宋_GB2312" w:cs="仿宋_GB2312"/>
          <w:b/>
          <w:bCs/>
          <w:sz w:val="32"/>
          <w:szCs w:val="32"/>
          <w:lang w:val="en-US" w:eastAsia="zh-CN"/>
        </w:rPr>
        <w:t>。</w:t>
      </w:r>
    </w:p>
    <w:p w14:paraId="073EB30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一般公共服务（类）组织事务（款）一般行政管理事务2026年预算数为229.92万元，主要用于：行政单位（包括实行公务员管理的事业单位）未单位设置项级科目的其他项目支出。</w:t>
      </w:r>
    </w:p>
    <w:p w14:paraId="2923B21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en-US" w:eastAsia="zh-CN"/>
        </w:rPr>
        <w:t>一般公共服务（类）组织事务（款）事业运行（项）2026年预算数为127.7万元，主要用于：事业单位的基本支出。</w:t>
      </w:r>
    </w:p>
    <w:p w14:paraId="4E56FF7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b/>
          <w:bCs/>
          <w:lang w:val="en-US" w:eastAsia="zh-CN"/>
        </w:rPr>
      </w:pPr>
      <w:r>
        <w:rPr>
          <w:rFonts w:hint="eastAsia" w:ascii="仿宋_GB2312" w:hAnsi="仿宋_GB2312" w:eastAsia="仿宋_GB2312" w:cs="仿宋_GB2312"/>
          <w:b/>
          <w:bCs/>
          <w:sz w:val="32"/>
          <w:szCs w:val="32"/>
          <w:lang w:val="en-US" w:eastAsia="zh-CN"/>
        </w:rPr>
        <w:t>4.一般公共服务（类）组织事务（款）其他组织事务（项）2026年预算数为28.2万元，主要用于：除行政运行、一般行政管理事务、机关服务、公务员事务和事业运行以外其他用于中国共产党组织部门的事务支出。</w:t>
      </w:r>
    </w:p>
    <w:p w14:paraId="7E93FBC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5.社会保障和就业（类）行政事业单位养老支出（款）行政单位离退休（项）2026年预算数为4万元，主要用于：机关及参公管理事业单位离退休人员经费支出。</w:t>
      </w:r>
    </w:p>
    <w:p w14:paraId="64B827D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6.社会保障和就业（类）行政事业单位养老支出（款）机关事业单位基本养老保险缴费支出（项）2026年预算数为56.32万元，主要用于：实施养老保险制度由单位缴纳的基本养老保险支出。</w:t>
      </w:r>
    </w:p>
    <w:p w14:paraId="6889181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7.社会保障和就业（类）其他社会保障和就业支出（款）其他社会保障和就业支出（项）2026年预算数为0.97万元，主要用于：其他社会保障和就业方面的支出。</w:t>
      </w:r>
    </w:p>
    <w:p w14:paraId="32233FD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8.卫生健康（类）行政事业单位医疗（款）行政单位医疗（项）2026年预算数为13.84万元，主要用于：机关及参公管理事业单位按规定由单位缴纳的基本医疗保险支出。</w:t>
      </w:r>
    </w:p>
    <w:p w14:paraId="66BC997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9.卫生健康（类）行政事业单位医疗（款）事业单位医疗（项）2026年预算数为6.07万元，主要用于：事业单位按规定由单位缴纳的基本医疗保险支出。</w:t>
      </w:r>
    </w:p>
    <w:p w14:paraId="3DE9246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10.住房保障（类）住房改革支出（款）住房公积金（项）2026年预算数为42.24万元，主要用于：部门按规定为职工缴纳的住房公积金支出。</w:t>
      </w:r>
    </w:p>
    <w:p w14:paraId="56EEA13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六、一般公共预算基本支出情况说明</w:t>
      </w:r>
    </w:p>
    <w:p w14:paraId="4236FA6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区委组织部2026年一般公共预算基本支出559.66万元，其中：</w:t>
      </w:r>
    </w:p>
    <w:p w14:paraId="6BC896D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人员经费487.76万元，主要包括：基本工资、津贴补贴、奖金、社会保险缴费、对个人和家庭的补助、住房公积金等支出。</w:t>
      </w:r>
    </w:p>
    <w:p w14:paraId="346A8C6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公用经费71.9万元，主要包括：办公费、印刷费、水费、邮电费、差旅费、劳务费、工会经费、其他交通费用、其他商品和服务支出等支出。</w:t>
      </w:r>
    </w:p>
    <w:p w14:paraId="328C8DC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七、“三公”经费财政拨款预算安排情况说明</w:t>
      </w:r>
    </w:p>
    <w:p w14:paraId="23D49CB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区委组织部2026年“三公”经费财政拨款预算数8.73万元，其中：公务接待费8.73万元，公务用车购置及运行维护费0万元，因公出国（境）经费0万元。</w:t>
      </w:r>
    </w:p>
    <w:p w14:paraId="013A283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（一）公务接待费</w:t>
      </w:r>
      <w:bookmarkStart w:id="2" w:name="_GoBack"/>
      <w:bookmarkEnd w:id="2"/>
    </w:p>
    <w:p w14:paraId="4EAE119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2026年公务接待费与2025年预算相比持平，计划用于执行接待考察调研、检查指导等公务活动开支的交通费、住宿费、用餐费等。</w:t>
      </w:r>
    </w:p>
    <w:p w14:paraId="508D4C56">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公务用车购置及运行维护费</w:t>
      </w:r>
    </w:p>
    <w:p w14:paraId="2E864AF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区委组织部现有公务用车0辆，2026年未安排公务用车购置费和公务用车运行维护费，公务用车购置及运行维护费与2025年预算相比持平。</w:t>
      </w:r>
    </w:p>
    <w:p w14:paraId="5634B985">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eastAsia" w:ascii="楷体_GB2312" w:hAnsi="楷体_GB2312" w:eastAsia="楷体_GB2312" w:cs="楷体_GB2312"/>
          <w:b/>
          <w:bCs/>
          <w:sz w:val="32"/>
          <w:szCs w:val="32"/>
          <w:lang w:val="en-US" w:eastAsia="zh-CN"/>
        </w:rPr>
        <w:t>三）因公出国（境）经费</w:t>
      </w:r>
    </w:p>
    <w:p w14:paraId="68458DE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因公出国（境）经费与2025年预算相比持平。</w:t>
      </w:r>
    </w:p>
    <w:p w14:paraId="55D71EF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八、政府性基金预算支出情况说明</w:t>
      </w:r>
    </w:p>
    <w:p w14:paraId="763E4A4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区委组织部2026年无政府性基金预算拨款安排的支出。</w:t>
      </w:r>
    </w:p>
    <w:p w14:paraId="08E26DC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九、国有资本经营预算支出情况说明</w:t>
      </w:r>
    </w:p>
    <w:p w14:paraId="07EA9E1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区委组织部2026年无国有资本经营预算拨款安排的支出。</w:t>
      </w:r>
    </w:p>
    <w:p w14:paraId="3827C1A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十、其他重要事项的情况说明</w:t>
      </w:r>
    </w:p>
    <w:p w14:paraId="4EC52EA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（一）机关运行经费</w:t>
      </w:r>
    </w:p>
    <w:p w14:paraId="277DD89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2026年，区委组织部下属部机关1家行政单位、区党员教育服务中心1家参公管理事业单位和区直属机关党建事务中心等3家事业单位的机关运行经费财政拨款预算为71.9万元，比2025年预算增加10.5万元，增长25%。主要原因是2026人员数较2025年增加了7人，人员经费预算增加。</w:t>
      </w:r>
    </w:p>
    <w:p w14:paraId="1731038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（二）政府采购情况</w:t>
      </w:r>
    </w:p>
    <w:p w14:paraId="3BEA4E7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2026年，区委组织部未安排政府采购预算。</w:t>
      </w:r>
    </w:p>
    <w:p w14:paraId="63B3C64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（三）国有资产占有使用情况</w:t>
      </w:r>
    </w:p>
    <w:p w14:paraId="7914F9F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截至2025年底，区委组织部车辆0辆，单位无价值200万元以上大型设备。</w:t>
      </w:r>
    </w:p>
    <w:p w14:paraId="2628737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2026年部门预算未安排车辆购置经费和大型设备购置经费。</w:t>
      </w:r>
    </w:p>
    <w:p w14:paraId="347240E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（四）绩效目标设置情况</w:t>
      </w:r>
    </w:p>
    <w:p w14:paraId="26975F0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2026年区委组织部开展绩效目标管理的项目15个，涉及预算330.02万元。其中：人员类项目2个，涉及预算 28.2万元；运转类项目13个，涉及预算301.82万元。因部分项目内容涉密，不予公开。</w:t>
      </w:r>
    </w:p>
    <w:p w14:paraId="5EA026C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十一、名词解释</w:t>
      </w:r>
    </w:p>
    <w:p w14:paraId="1584580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bCs/>
          <w:sz w:val="32"/>
          <w:szCs w:val="32"/>
          <w:lang w:val="en-US" w:eastAsia="zh-CN"/>
        </w:rPr>
        <w:t>（一）财政拨款收入</w:t>
      </w:r>
      <w:r>
        <w:rPr>
          <w:rFonts w:hint="default" w:ascii="楷体_GB2312" w:hAnsi="楷体_GB2312" w:eastAsia="楷体_GB2312" w:cs="楷体_GB2312"/>
          <w:b/>
          <w:bCs/>
          <w:sz w:val="32"/>
          <w:szCs w:val="32"/>
          <w:lang w:val="en-US" w:eastAsia="zh-CN"/>
        </w:rPr>
        <w:t>:</w:t>
      </w:r>
      <w:r>
        <w:rPr>
          <w:rFonts w:hint="eastAsia" w:ascii="仿宋_GB2312" w:hAnsi="仿宋_GB2312" w:eastAsia="仿宋_GB2312" w:cs="仿宋_GB2312"/>
          <w:b/>
          <w:bCs/>
          <w:sz w:val="32"/>
          <w:szCs w:val="32"/>
          <w:lang w:val="en-US" w:eastAsia="zh-CN"/>
        </w:rPr>
        <w:t>指区财政当年安排的财政预算收入。按现行管理制度</w:t>
      </w:r>
      <w:r>
        <w:rPr>
          <w:rFonts w:hint="default"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部门预算中反映的财政拨款包括一般公共预算拨款和政府性基金预算拨款。</w:t>
      </w:r>
    </w:p>
    <w:p w14:paraId="31DEAB60">
      <w:pPr>
        <w:keepNext w:val="0"/>
        <w:keepLines w:val="0"/>
        <w:pageBreakBefore w:val="0"/>
        <w:widowControl w:val="0"/>
        <w:kinsoku/>
        <w:wordWrap/>
        <w:overflowPunct w:val="0"/>
        <w:topLinePunct/>
        <w:autoSpaceDE w:val="0"/>
        <w:autoSpaceDN w:val="0"/>
        <w:bidi w:val="0"/>
        <w:adjustRightInd w:val="0"/>
        <w:snapToGrid/>
        <w:spacing w:beforeLines="0" w:afterLines="0" w:line="576" w:lineRule="exact"/>
        <w:ind w:firstLine="643" w:firstLineChars="200"/>
        <w:jc w:val="both"/>
        <w:textAlignment w:val="auto"/>
        <w:rPr>
          <w:rFonts w:hint="eastAsia" w:ascii="仿宋_GB2312" w:hAnsi="仿宋_GB2312" w:eastAsia="仿宋_GB2312"/>
          <w:b/>
          <w:bCs/>
          <w:color w:val="000000"/>
          <w:kern w:val="2"/>
          <w:sz w:val="32"/>
          <w:szCs w:val="24"/>
        </w:rPr>
      </w:pPr>
      <w:r>
        <w:rPr>
          <w:rFonts w:hint="eastAsia" w:ascii="楷体_GB2312" w:hAnsi="楷体_GB2312" w:eastAsia="楷体_GB2312" w:cs="楷体_GB2312"/>
          <w:b/>
          <w:bCs/>
          <w:sz w:val="32"/>
          <w:szCs w:val="32"/>
          <w:lang w:val="en-US" w:eastAsia="zh-CN"/>
        </w:rPr>
        <w:t>（二）</w:t>
      </w:r>
      <w:r>
        <w:rPr>
          <w:rFonts w:hint="eastAsia" w:ascii="仿宋_GB2312" w:hAnsi="仿宋_GB2312" w:eastAsia="仿宋_GB2312" w:cs="仿宋_GB2312"/>
          <w:b/>
          <w:bCs/>
          <w:sz w:val="32"/>
          <w:szCs w:val="32"/>
          <w:lang w:val="en-US" w:eastAsia="zh-CN"/>
        </w:rPr>
        <w:t>一般公共服务（类）组织事务（款）行政运行（项）</w:t>
      </w:r>
      <w:r>
        <w:rPr>
          <w:rFonts w:hint="eastAsia" w:ascii="楷体_GB2312" w:hAnsi="楷体_GB2312" w:eastAsia="楷体_GB2312" w:cs="楷体_GB2312"/>
          <w:b/>
          <w:bCs/>
          <w:sz w:val="32"/>
          <w:szCs w:val="32"/>
          <w:lang w:val="en-US" w:eastAsia="zh-CN"/>
        </w:rPr>
        <w:t>：</w:t>
      </w:r>
      <w:r>
        <w:rPr>
          <w:rFonts w:hint="eastAsia" w:ascii="仿宋_GB2312" w:hAnsi="仿宋_GB2312" w:eastAsia="仿宋_GB2312" w:cs="仿宋_GB2312"/>
          <w:b/>
          <w:bCs/>
          <w:sz w:val="32"/>
          <w:szCs w:val="32"/>
          <w:lang w:val="en-US" w:eastAsia="zh-CN"/>
        </w:rPr>
        <w:t>指机关单位用于保障机构正常运行、开展日常工作的基本支出。</w:t>
      </w:r>
      <w:r>
        <w:rPr>
          <w:rFonts w:hint="eastAsia" w:ascii="仿宋_GB2312" w:hAnsi="仿宋_GB2312" w:eastAsia="仿宋_GB2312" w:cs="仿宋_GB2312"/>
          <w:b/>
          <w:bCs/>
          <w:sz w:val="32"/>
          <w:szCs w:val="32"/>
          <w:lang w:val="en-US" w:eastAsia="zh-CN"/>
        </w:rPr>
        <w:br w:type="textWrapping"/>
      </w:r>
      <w:r>
        <w:rPr>
          <w:rFonts w:hint="eastAsia" w:ascii="楷体_GB2312" w:hAnsi="楷体_GB2312" w:eastAsia="楷体_GB2312" w:cs="楷体_GB2312"/>
          <w:b/>
          <w:bCs/>
          <w:sz w:val="32"/>
          <w:szCs w:val="32"/>
          <w:lang w:val="en-US" w:eastAsia="zh-CN"/>
        </w:rPr>
        <w:t>　　（三）</w:t>
      </w:r>
      <w:r>
        <w:rPr>
          <w:rFonts w:hint="eastAsia" w:ascii="仿宋_GB2312" w:hAnsi="仿宋_GB2312" w:eastAsia="仿宋_GB2312"/>
          <w:b/>
          <w:bCs/>
          <w:color w:val="000000"/>
          <w:kern w:val="2"/>
          <w:sz w:val="32"/>
          <w:szCs w:val="24"/>
        </w:rPr>
        <w:t>一般公共服务支出（类）组织事务（款）一般行政管理事务（项）</w:t>
      </w:r>
      <w:r>
        <w:rPr>
          <w:rFonts w:hint="eastAsia" w:ascii="仿宋_GB2312" w:hAnsi="仿宋_GB2312" w:eastAsia="仿宋_GB2312"/>
          <w:b/>
          <w:bCs/>
          <w:color w:val="000000"/>
          <w:sz w:val="32"/>
          <w:szCs w:val="24"/>
        </w:rPr>
        <w:t>：指</w:t>
      </w:r>
      <w:r>
        <w:rPr>
          <w:rFonts w:hint="eastAsia" w:ascii="仿宋_GB2312" w:hAnsi="仿宋_GB2312" w:eastAsia="仿宋_GB2312"/>
          <w:b/>
          <w:bCs/>
          <w:color w:val="000000"/>
          <w:sz w:val="32"/>
          <w:szCs w:val="24"/>
          <w:lang w:val="en-US" w:eastAsia="zh-CN"/>
        </w:rPr>
        <w:t>反映行政单位（包括实行公务员管理的事业单位）未单独设置项级科目的其他项目支出</w:t>
      </w:r>
      <w:r>
        <w:rPr>
          <w:rFonts w:hint="eastAsia" w:ascii="仿宋_GB2312" w:hAnsi="仿宋_GB2312" w:eastAsia="仿宋_GB2312"/>
          <w:b/>
          <w:bCs/>
          <w:color w:val="000000"/>
          <w:kern w:val="2"/>
          <w:sz w:val="32"/>
          <w:szCs w:val="24"/>
        </w:rPr>
        <w:t>。</w:t>
      </w:r>
    </w:p>
    <w:p w14:paraId="298D584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b/>
          <w:bCs/>
          <w:color w:val="000000"/>
          <w:kern w:val="2"/>
          <w:sz w:val="32"/>
          <w:szCs w:val="24"/>
          <w:lang w:eastAsia="zh-CN"/>
        </w:rPr>
      </w:pPr>
      <w:r>
        <w:rPr>
          <w:rFonts w:hint="eastAsia" w:ascii="楷体_GB2312" w:hAnsi="楷体_GB2312" w:eastAsia="楷体_GB2312" w:cs="楷体_GB2312"/>
          <w:b/>
          <w:bCs/>
          <w:sz w:val="32"/>
          <w:szCs w:val="32"/>
          <w:lang w:val="en-US" w:eastAsia="zh-CN"/>
        </w:rPr>
        <w:t>（四）</w:t>
      </w:r>
      <w:r>
        <w:rPr>
          <w:rFonts w:hint="eastAsia" w:ascii="仿宋_GB2312" w:hAnsi="仿宋_GB2312" w:eastAsia="仿宋_GB2312" w:cs="仿宋_GB2312"/>
          <w:b/>
          <w:bCs/>
          <w:sz w:val="32"/>
          <w:szCs w:val="32"/>
          <w:lang w:val="en-US" w:eastAsia="zh-CN"/>
        </w:rPr>
        <w:t>一般公共服务（类）组织事务（款）事业运行（项）:指反映事业单位的基本支出。</w:t>
      </w:r>
    </w:p>
    <w:p w14:paraId="142B4A21">
      <w:pPr>
        <w:keepNext w:val="0"/>
        <w:keepLines w:val="0"/>
        <w:pageBreakBefore w:val="0"/>
        <w:widowControl w:val="0"/>
        <w:kinsoku/>
        <w:wordWrap/>
        <w:overflowPunct w:val="0"/>
        <w:topLinePunct/>
        <w:autoSpaceDE w:val="0"/>
        <w:autoSpaceDN w:val="0"/>
        <w:bidi w:val="0"/>
        <w:adjustRightInd w:val="0"/>
        <w:snapToGrid/>
        <w:spacing w:beforeLines="0" w:afterLines="0" w:line="576" w:lineRule="exact"/>
        <w:ind w:firstLine="643" w:firstLineChars="200"/>
        <w:jc w:val="both"/>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rPr>
        <w:t>（五）</w:t>
      </w:r>
      <w:r>
        <w:rPr>
          <w:rFonts w:hint="eastAsia" w:ascii="仿宋_GB2312" w:hAnsi="仿宋_GB2312" w:eastAsia="仿宋_GB2312"/>
          <w:b/>
          <w:bCs/>
          <w:color w:val="000000"/>
          <w:kern w:val="2"/>
          <w:sz w:val="32"/>
          <w:szCs w:val="24"/>
          <w:lang w:val="en-US" w:eastAsia="zh-CN"/>
        </w:rPr>
        <w:t>一般公共服务支出（类）组织事务（款）其他组织事务支出（项）</w:t>
      </w:r>
      <w:r>
        <w:rPr>
          <w:rFonts w:hint="eastAsia" w:ascii="仿宋_GB2312" w:hAnsi="仿宋_GB2312" w:eastAsia="仿宋_GB2312"/>
          <w:b/>
          <w:bCs/>
          <w:color w:val="000000"/>
          <w:sz w:val="32"/>
          <w:szCs w:val="24"/>
        </w:rPr>
        <w:t>：指</w:t>
      </w:r>
      <w:r>
        <w:rPr>
          <w:rFonts w:hint="eastAsia" w:ascii="仿宋_GB2312" w:hAnsi="仿宋_GB2312" w:eastAsia="仿宋_GB2312"/>
          <w:b/>
          <w:bCs/>
          <w:color w:val="000000"/>
          <w:sz w:val="32"/>
          <w:szCs w:val="24"/>
          <w:lang w:val="en-US" w:eastAsia="zh-CN"/>
        </w:rPr>
        <w:t>反映除上述项目以外其他用于中国共产党组织部门的事务支出</w:t>
      </w:r>
      <w:r>
        <w:rPr>
          <w:rFonts w:hint="eastAsia" w:ascii="仿宋_GB2312" w:hAnsi="仿宋_GB2312" w:eastAsia="仿宋_GB2312"/>
          <w:b/>
          <w:bCs/>
          <w:color w:val="000000"/>
          <w:kern w:val="2"/>
          <w:sz w:val="32"/>
          <w:szCs w:val="24"/>
        </w:rPr>
        <w:t>。</w:t>
      </w:r>
      <w:r>
        <w:rPr>
          <w:rFonts w:hint="eastAsia" w:ascii="仿宋_GB2312" w:hAnsi="仿宋_GB2312" w:eastAsia="仿宋_GB2312" w:cs="仿宋_GB2312"/>
          <w:b/>
          <w:bCs/>
          <w:sz w:val="32"/>
          <w:szCs w:val="32"/>
          <w:lang w:val="en-US" w:eastAsia="zh-CN"/>
        </w:rPr>
        <w:br w:type="textWrapping"/>
      </w:r>
      <w:r>
        <w:rPr>
          <w:rFonts w:hint="eastAsia" w:ascii="楷体_GB2312" w:hAnsi="楷体_GB2312" w:eastAsia="楷体_GB2312" w:cs="楷体_GB2312"/>
          <w:b/>
          <w:bCs/>
          <w:sz w:val="32"/>
          <w:szCs w:val="32"/>
          <w:lang w:val="en-US" w:eastAsia="zh-CN"/>
        </w:rPr>
        <w:t>　　（六）社会保障和就业（类）行政事业单位养老支出（款）行政单位离退休（项）：</w:t>
      </w:r>
      <w:r>
        <w:rPr>
          <w:rFonts w:hint="eastAsia" w:ascii="仿宋_GB2312" w:hAnsi="仿宋_GB2312" w:eastAsia="仿宋_GB2312" w:cs="仿宋_GB2312"/>
          <w:b/>
          <w:bCs/>
          <w:sz w:val="32"/>
          <w:szCs w:val="32"/>
          <w:lang w:val="en-US" w:eastAsia="zh-CN"/>
        </w:rPr>
        <w:t>指行政及参公管理事业单位离退休人员的支出。</w:t>
      </w:r>
      <w:r>
        <w:rPr>
          <w:rFonts w:hint="eastAsia" w:ascii="仿宋_GB2312" w:hAnsi="仿宋_GB2312" w:eastAsia="仿宋_GB2312" w:cs="仿宋_GB2312"/>
          <w:b/>
          <w:bCs/>
          <w:sz w:val="32"/>
          <w:szCs w:val="32"/>
          <w:lang w:val="en-US" w:eastAsia="zh-CN"/>
        </w:rPr>
        <w:br w:type="textWrapping"/>
      </w:r>
      <w:r>
        <w:rPr>
          <w:rFonts w:hint="eastAsia" w:ascii="楷体_GB2312" w:hAnsi="楷体_GB2312" w:eastAsia="楷体_GB2312" w:cs="楷体_GB2312"/>
          <w:b/>
          <w:bCs/>
          <w:sz w:val="32"/>
          <w:szCs w:val="32"/>
          <w:lang w:val="en-US" w:eastAsia="zh-CN"/>
        </w:rPr>
        <w:t>　　（七）社会保障和就业（类）行政事业单位养老支出（款）机关事业单位基本养老保险缴费支出（项）：</w:t>
      </w:r>
      <w:r>
        <w:rPr>
          <w:rFonts w:hint="eastAsia" w:ascii="仿宋_GB2312" w:hAnsi="仿宋_GB2312" w:eastAsia="仿宋_GB2312" w:cs="仿宋_GB2312"/>
          <w:b/>
          <w:bCs/>
          <w:sz w:val="32"/>
          <w:szCs w:val="32"/>
          <w:lang w:val="en-US" w:eastAsia="zh-CN"/>
        </w:rPr>
        <w:t>指部门实施养老保险制度由单位缴纳的养老保险的支出。</w:t>
      </w:r>
      <w:r>
        <w:rPr>
          <w:rFonts w:hint="eastAsia" w:ascii="仿宋_GB2312" w:hAnsi="仿宋_GB2312" w:eastAsia="仿宋_GB2312" w:cs="仿宋_GB2312"/>
          <w:b/>
          <w:bCs/>
          <w:sz w:val="32"/>
          <w:szCs w:val="32"/>
          <w:lang w:val="en-US" w:eastAsia="zh-CN"/>
        </w:rPr>
        <w:br w:type="textWrapping"/>
      </w:r>
      <w:r>
        <w:rPr>
          <w:rFonts w:hint="eastAsia" w:ascii="仿宋_GB2312" w:hAnsi="仿宋_GB2312" w:eastAsia="仿宋_GB2312" w:cs="仿宋_GB2312"/>
          <w:b/>
          <w:bCs/>
          <w:sz w:val="32"/>
          <w:szCs w:val="32"/>
          <w:lang w:val="en-US" w:eastAsia="zh-CN"/>
        </w:rPr>
        <w:t>　　</w:t>
      </w:r>
      <w:r>
        <w:rPr>
          <w:rFonts w:hint="eastAsia" w:ascii="楷体_GB2312" w:hAnsi="楷体_GB2312" w:eastAsia="楷体_GB2312" w:cs="楷体_GB2312"/>
          <w:b/>
          <w:bCs/>
          <w:sz w:val="32"/>
          <w:szCs w:val="32"/>
          <w:lang w:val="en-US" w:eastAsia="zh-CN"/>
        </w:rPr>
        <w:t>（八）卫生健康（类）行政事业单位医疗（款）行政单位医疗（项）：</w:t>
      </w:r>
      <w:r>
        <w:rPr>
          <w:rFonts w:hint="eastAsia" w:ascii="仿宋_GB2312" w:hAnsi="仿宋_GB2312" w:eastAsia="仿宋_GB2312" w:cs="仿宋_GB2312"/>
          <w:b/>
          <w:bCs/>
          <w:sz w:val="32"/>
          <w:szCs w:val="32"/>
          <w:lang w:val="en-US" w:eastAsia="zh-CN"/>
        </w:rPr>
        <w:t>指机关及参公管理事业单位用于单位应缴纳基本医疗保险支出。</w:t>
      </w:r>
      <w:r>
        <w:rPr>
          <w:rFonts w:hint="eastAsia" w:ascii="仿宋_GB2312" w:hAnsi="仿宋_GB2312" w:eastAsia="仿宋_GB2312" w:cs="仿宋_GB2312"/>
          <w:b/>
          <w:bCs/>
          <w:sz w:val="32"/>
          <w:szCs w:val="32"/>
          <w:lang w:val="en-US" w:eastAsia="zh-CN"/>
        </w:rPr>
        <w:br w:type="textWrapping"/>
      </w:r>
      <w:r>
        <w:rPr>
          <w:rFonts w:hint="eastAsia" w:ascii="仿宋_GB2312" w:hAnsi="仿宋_GB2312" w:eastAsia="仿宋_GB2312" w:cs="仿宋_GB2312"/>
          <w:b/>
          <w:bCs/>
          <w:sz w:val="32"/>
          <w:szCs w:val="32"/>
          <w:lang w:val="en-US" w:eastAsia="zh-CN"/>
        </w:rPr>
        <w:t>　　</w:t>
      </w:r>
      <w:r>
        <w:rPr>
          <w:rFonts w:hint="eastAsia" w:ascii="楷体_GB2312" w:hAnsi="楷体_GB2312" w:eastAsia="楷体_GB2312" w:cs="楷体_GB2312"/>
          <w:b/>
          <w:bCs/>
          <w:sz w:val="32"/>
          <w:szCs w:val="32"/>
          <w:lang w:val="en-US" w:eastAsia="zh-CN"/>
        </w:rPr>
        <w:t>（九）卫生健康（类）行政事业单位医疗（款）事业单位医疗（项）：</w:t>
      </w:r>
      <w:r>
        <w:rPr>
          <w:rFonts w:hint="eastAsia" w:ascii="仿宋_GB2312" w:hAnsi="仿宋_GB2312" w:eastAsia="仿宋_GB2312" w:cs="仿宋_GB2312"/>
          <w:b/>
          <w:bCs/>
          <w:sz w:val="32"/>
          <w:szCs w:val="32"/>
          <w:lang w:val="en-US" w:eastAsia="zh-CN"/>
        </w:rPr>
        <w:t>指事业单位用于单位应缴纳基本医疗保险支出。</w:t>
      </w:r>
    </w:p>
    <w:p w14:paraId="6A9B96F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rPr>
        <w:t>（十）住房保障（类）住房改革支出（款）住房公积金（项）：</w:t>
      </w:r>
      <w:r>
        <w:rPr>
          <w:rFonts w:hint="eastAsia" w:ascii="仿宋_GB2312" w:hAnsi="仿宋_GB2312" w:eastAsia="仿宋_GB2312" w:cs="仿宋_GB2312"/>
          <w:b/>
          <w:bCs/>
          <w:sz w:val="32"/>
          <w:szCs w:val="32"/>
          <w:lang w:val="en-US" w:eastAsia="zh-CN"/>
        </w:rPr>
        <w:t>指按照《住房公积金管理条例》的规定，由单位及其在职职工缴存的长期住房储金。</w:t>
      </w:r>
      <w:r>
        <w:rPr>
          <w:rFonts w:hint="eastAsia" w:ascii="仿宋_GB2312" w:hAnsi="仿宋_GB2312" w:eastAsia="仿宋_GB2312" w:cs="仿宋_GB2312"/>
          <w:b/>
          <w:bCs/>
          <w:sz w:val="32"/>
          <w:szCs w:val="32"/>
          <w:lang w:val="en-US" w:eastAsia="zh-CN"/>
        </w:rPr>
        <w:br w:type="textWrapping"/>
      </w:r>
      <w:r>
        <w:rPr>
          <w:rFonts w:hint="eastAsia" w:ascii="仿宋_GB2312" w:hAnsi="仿宋_GB2312" w:eastAsia="仿宋_GB2312" w:cs="仿宋_GB2312"/>
          <w:b/>
          <w:bCs/>
          <w:sz w:val="32"/>
          <w:szCs w:val="32"/>
          <w:lang w:val="en-US" w:eastAsia="zh-CN"/>
        </w:rPr>
        <w:t>　　</w:t>
      </w:r>
      <w:r>
        <w:rPr>
          <w:rFonts w:hint="eastAsia" w:ascii="楷体_GB2312" w:hAnsi="楷体_GB2312" w:eastAsia="楷体_GB2312" w:cs="楷体_GB2312"/>
          <w:b/>
          <w:bCs/>
          <w:sz w:val="32"/>
          <w:szCs w:val="32"/>
          <w:lang w:val="en-US" w:eastAsia="zh-CN"/>
        </w:rPr>
        <w:t>（十一）基本支出：</w:t>
      </w:r>
      <w:r>
        <w:rPr>
          <w:rFonts w:hint="eastAsia" w:ascii="仿宋_GB2312" w:hAnsi="仿宋_GB2312" w:eastAsia="仿宋_GB2312" w:cs="仿宋_GB2312"/>
          <w:b/>
          <w:bCs/>
          <w:sz w:val="32"/>
          <w:szCs w:val="32"/>
          <w:lang w:val="en-US" w:eastAsia="zh-CN"/>
        </w:rPr>
        <w:t>指为保证机构正常运转，完成日常工作任务而发生的人员支出和公用支出。</w:t>
      </w:r>
      <w:r>
        <w:rPr>
          <w:rFonts w:hint="eastAsia" w:ascii="仿宋_GB2312" w:hAnsi="仿宋_GB2312" w:eastAsia="仿宋_GB2312" w:cs="仿宋_GB2312"/>
          <w:b/>
          <w:bCs/>
          <w:sz w:val="32"/>
          <w:szCs w:val="32"/>
          <w:lang w:val="en-US" w:eastAsia="zh-CN"/>
        </w:rPr>
        <w:br w:type="textWrapping"/>
      </w:r>
      <w:r>
        <w:rPr>
          <w:rFonts w:hint="eastAsia" w:ascii="仿宋_GB2312" w:hAnsi="仿宋_GB2312" w:eastAsia="仿宋_GB2312" w:cs="仿宋_GB2312"/>
          <w:b/>
          <w:bCs/>
          <w:sz w:val="32"/>
          <w:szCs w:val="32"/>
          <w:lang w:val="en-US" w:eastAsia="zh-CN"/>
        </w:rPr>
        <w:t>　　</w:t>
      </w:r>
      <w:r>
        <w:rPr>
          <w:rFonts w:hint="eastAsia" w:ascii="楷体_GB2312" w:hAnsi="楷体_GB2312" w:eastAsia="楷体_GB2312" w:cs="楷体_GB2312"/>
          <w:b/>
          <w:bCs/>
          <w:sz w:val="32"/>
          <w:szCs w:val="32"/>
          <w:lang w:val="en-US" w:eastAsia="zh-CN"/>
        </w:rPr>
        <w:t>（十二）项目支出：</w:t>
      </w:r>
      <w:r>
        <w:rPr>
          <w:rFonts w:hint="eastAsia" w:ascii="仿宋_GB2312" w:hAnsi="仿宋_GB2312" w:eastAsia="仿宋_GB2312" w:cs="仿宋_GB2312"/>
          <w:b/>
          <w:bCs/>
          <w:sz w:val="32"/>
          <w:szCs w:val="32"/>
          <w:lang w:val="en-US" w:eastAsia="zh-CN"/>
        </w:rPr>
        <w:t>指在基本支出之外为完成特定行政任务和事业发展目标所发生的支出。</w:t>
      </w:r>
    </w:p>
    <w:p w14:paraId="40FF3C7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bCs/>
          <w:sz w:val="32"/>
          <w:szCs w:val="32"/>
          <w:lang w:val="en-US" w:eastAsia="zh-CN"/>
        </w:rPr>
        <w:t>（十三）“三公”经费：</w:t>
      </w:r>
      <w:r>
        <w:rPr>
          <w:rFonts w:hint="eastAsia" w:ascii="仿宋_GB2312" w:hAnsi="仿宋_GB2312" w:eastAsia="仿宋_GB2312" w:cs="仿宋_GB2312"/>
          <w:b/>
          <w:bCs/>
          <w:sz w:val="32"/>
          <w:szCs w:val="32"/>
          <w:lang w:val="en-US" w:eastAsia="zh-CN"/>
        </w:rPr>
        <w:t>纳入市级财政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仿宋_GB2312" w:eastAsia="仿宋_GB2312" w:cs="仿宋_GB2312"/>
          <w:b/>
          <w:bCs/>
          <w:sz w:val="32"/>
          <w:szCs w:val="32"/>
          <w:lang w:val="en-US" w:eastAsia="zh-CN"/>
        </w:rPr>
        <w:br w:type="textWrapping"/>
      </w:r>
      <w:r>
        <w:rPr>
          <w:rFonts w:hint="eastAsia" w:ascii="仿宋_GB2312" w:hAnsi="仿宋_GB2312" w:eastAsia="仿宋_GB2312" w:cs="仿宋_GB2312"/>
          <w:b/>
          <w:bCs/>
          <w:sz w:val="32"/>
          <w:szCs w:val="32"/>
          <w:lang w:val="en-US" w:eastAsia="zh-CN"/>
        </w:rPr>
        <w:t xml:space="preserve">    </w:t>
      </w:r>
      <w:r>
        <w:rPr>
          <w:rFonts w:hint="eastAsia" w:ascii="楷体_GB2312" w:hAnsi="楷体_GB2312" w:eastAsia="楷体_GB2312" w:cs="楷体_GB2312"/>
          <w:b/>
          <w:bCs/>
          <w:sz w:val="32"/>
          <w:szCs w:val="32"/>
          <w:lang w:val="en-US" w:eastAsia="zh-CN"/>
        </w:rPr>
        <w:t>（十四）机关运行经费：</w:t>
      </w:r>
      <w:r>
        <w:rPr>
          <w:rFonts w:hint="eastAsia" w:ascii="仿宋_GB2312" w:hAnsi="仿宋_GB2312" w:eastAsia="仿宋_GB2312" w:cs="仿宋_GB2312"/>
          <w:b/>
          <w:bCs/>
          <w:sz w:val="32"/>
          <w:szCs w:val="32"/>
          <w:lang w:val="en-US" w:eastAsia="zh-CN"/>
        </w:rPr>
        <w:t>为保障行政单位（包括参照公务员法管理的事业单位）运行用于购买货物和服务的各项资金，包括办公及印刷费、邮电费、差旅费、会议费、培训费、福利费、日常维修费、专用材料及一般设备购置费、办公用房水电费、办公用房物业管理费、公务用车运行维护费以及其他费用。</w:t>
      </w:r>
    </w:p>
    <w:p w14:paraId="49345E6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p>
    <w:p w14:paraId="3558EFE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附件：1.部门预算公开表</w:t>
      </w:r>
    </w:p>
    <w:p w14:paraId="5A2C211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0" w:leftChars="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2.项目支出绩效目标表</w:t>
      </w:r>
    </w:p>
    <w:p w14:paraId="0A6CD11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600" w:leftChars="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3.部门整体支出绩效目标表</w:t>
      </w:r>
    </w:p>
    <w:p w14:paraId="7F39C55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lang w:eastAsia="zh-CN"/>
        </w:rPr>
      </w:pPr>
    </w:p>
    <w:sectPr>
      <w:footerReference r:id="rId5" w:type="default"/>
      <w:pgSz w:w="11906" w:h="16838"/>
      <w:pgMar w:top="2098" w:right="1474" w:bottom="1984" w:left="1587" w:header="720" w:footer="1559"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Vijaya"/>
    <w:panose1 w:val="020B0604020202020204"/>
    <w:charset w:val="00"/>
    <w:family w:val="swiss"/>
    <w:pitch w:val="default"/>
    <w:sig w:usb0="00000000" w:usb1="00000000" w:usb2="00000000" w:usb3="00000000" w:csb0="6000009F" w:csb1="DFD70000"/>
  </w:font>
  <w:font w:name="Vijaya">
    <w:panose1 w:val="020B0604020202020204"/>
    <w:charset w:val="00"/>
    <w:family w:val="auto"/>
    <w:pitch w:val="default"/>
    <w:sig w:usb0="00100003" w:usb1="00000000" w:usb2="00000000" w:usb3="00000000" w:csb0="0000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F25E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E879C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FE879C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D744">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0B06E">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F3491D">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14:paraId="59F3491D">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FCE1D6"/>
    <w:multiLevelType w:val="singleLevel"/>
    <w:tmpl w:val="5BFCE1D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YmQ3N2FhZmE1Yjg0OGFkNTU5NTg3M2QzNjJlMDgifQ=="/>
  </w:docVars>
  <w:rsids>
    <w:rsidRoot w:val="00000000"/>
    <w:rsid w:val="012352D1"/>
    <w:rsid w:val="037D5332"/>
    <w:rsid w:val="0B131714"/>
    <w:rsid w:val="118D6EE7"/>
    <w:rsid w:val="18ED5660"/>
    <w:rsid w:val="1F7BF06F"/>
    <w:rsid w:val="1FEE4B73"/>
    <w:rsid w:val="23CE9849"/>
    <w:rsid w:val="39F304DD"/>
    <w:rsid w:val="52C74B96"/>
    <w:rsid w:val="54244390"/>
    <w:rsid w:val="54662A63"/>
    <w:rsid w:val="567E6ADE"/>
    <w:rsid w:val="58064E12"/>
    <w:rsid w:val="5ADF7263"/>
    <w:rsid w:val="5BFEE015"/>
    <w:rsid w:val="63EDCF55"/>
    <w:rsid w:val="63FBFBCF"/>
    <w:rsid w:val="669360FD"/>
    <w:rsid w:val="68FF6A83"/>
    <w:rsid w:val="6D125276"/>
    <w:rsid w:val="6FBBC9CF"/>
    <w:rsid w:val="72BDE561"/>
    <w:rsid w:val="72E1566E"/>
    <w:rsid w:val="78462278"/>
    <w:rsid w:val="7997EA6C"/>
    <w:rsid w:val="7AEAE675"/>
    <w:rsid w:val="7BAFCE5D"/>
    <w:rsid w:val="7C523723"/>
    <w:rsid w:val="7D46598C"/>
    <w:rsid w:val="7DFB240B"/>
    <w:rsid w:val="7E0935ED"/>
    <w:rsid w:val="7FCF2AF7"/>
    <w:rsid w:val="9FEF033D"/>
    <w:rsid w:val="A27FF1E5"/>
    <w:rsid w:val="AFDEB5A7"/>
    <w:rsid w:val="AFEA7FBF"/>
    <w:rsid w:val="B27365B7"/>
    <w:rsid w:val="B83F4767"/>
    <w:rsid w:val="BF930F07"/>
    <w:rsid w:val="BFCE8436"/>
    <w:rsid w:val="C3F7EB7A"/>
    <w:rsid w:val="CFF5FEEC"/>
    <w:rsid w:val="D3DD9064"/>
    <w:rsid w:val="D6F76A0C"/>
    <w:rsid w:val="D7ECE8D2"/>
    <w:rsid w:val="DFDD4FB5"/>
    <w:rsid w:val="E7F748B5"/>
    <w:rsid w:val="EE5F3713"/>
    <w:rsid w:val="EFC9D62C"/>
    <w:rsid w:val="F6BE9755"/>
    <w:rsid w:val="F6FFA89B"/>
    <w:rsid w:val="FAE4EFE1"/>
    <w:rsid w:val="FB9B6F12"/>
    <w:rsid w:val="FBB66A4A"/>
    <w:rsid w:val="FDEE6989"/>
    <w:rsid w:val="FF5E7DB8"/>
    <w:rsid w:val="FF698BD6"/>
    <w:rsid w:val="FF77E367"/>
    <w:rsid w:val="FFD576EB"/>
    <w:rsid w:val="FFFBE8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caption"/>
    <w:basedOn w:val="1"/>
    <w:autoRedefine/>
    <w:qFormat/>
    <w:uiPriority w:val="0"/>
    <w:pPr>
      <w:widowControl w:val="0"/>
      <w:suppressLineNumbers/>
      <w:suppressAutoHyphens/>
      <w:spacing w:before="120" w:after="120"/>
    </w:pPr>
    <w:rPr>
      <w:i/>
      <w:iCs/>
      <w:sz w:val="24"/>
      <w:szCs w:val="24"/>
    </w:rPr>
  </w:style>
  <w:style w:type="paragraph" w:styleId="3">
    <w:name w:val="Body Text"/>
    <w:basedOn w:val="1"/>
    <w:autoRedefine/>
    <w:qFormat/>
    <w:uiPriority w:val="0"/>
    <w:pPr>
      <w:spacing w:before="0" w:after="140" w:line="276" w:lineRule="auto"/>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autoRedefine/>
    <w:qFormat/>
    <w:uiPriority w:val="0"/>
  </w:style>
  <w:style w:type="paragraph" w:styleId="7">
    <w:name w:val="Normal (Web)"/>
    <w:basedOn w:val="1"/>
    <w:autoRedefine/>
    <w:qFormat/>
    <w:uiPriority w:val="0"/>
    <w:rPr>
      <w:sz w:val="24"/>
    </w:rPr>
  </w:style>
  <w:style w:type="character" w:customStyle="1" w:styleId="10">
    <w:name w:val="默认段落字体1"/>
    <w:autoRedefine/>
    <w:qFormat/>
    <w:uiPriority w:val="0"/>
  </w:style>
  <w:style w:type="paragraph" w:customStyle="1" w:styleId="11">
    <w:name w:val="Heading"/>
    <w:basedOn w:val="1"/>
    <w:next w:val="3"/>
    <w:autoRedefine/>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2">
    <w:name w:val="Index"/>
    <w:basedOn w:val="1"/>
    <w:autoRedefine/>
    <w:qFormat/>
    <w:uiPriority w:val="0"/>
    <w:pPr>
      <w:widowControl w:val="0"/>
      <w:suppressLineNumbers/>
      <w:suppressAutoHyphens/>
    </w:pPr>
  </w:style>
  <w:style w:type="paragraph" w:customStyle="1" w:styleId="13">
    <w:name w:val="正文-公1"/>
    <w:basedOn w:val="14"/>
    <w:next w:val="1"/>
    <w:qFormat/>
    <w:uiPriority w:val="0"/>
    <w:pPr>
      <w:ind w:firstLine="200" w:firstLine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3"/>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4795</Words>
  <Characters>5589</Characters>
  <TotalTime>9</TotalTime>
  <ScaleCrop>false</ScaleCrop>
  <LinksUpToDate>false</LinksUpToDate>
  <CharactersWithSpaces>5651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2018-11-30T01:47:00Z</dcterms:created>
  <dc:creator>admin</dc:creator>
  <cp:lastModifiedBy>Fishgirl</cp:lastModifiedBy>
  <dcterms:modified xsi:type="dcterms:W3CDTF">2026-04-09T02:01:41Z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2AD6248123E94810AF496038424630E9_13</vt:lpwstr>
  </property>
  <property fmtid="{D5CDD505-2E9C-101B-9397-08002B2CF9AE}" pid="4" name="KSOTemplateDocerSaveRecord">
    <vt:lpwstr>eyJoZGlkIjoiMzA2ZTI1MGRlMWRmN2NhNDQwYjIxOTBiZTkyNzVhMGIiLCJ1c2VySWQiOiIyNzY1MDE3NTYifQ==</vt:lpwstr>
  </property>
</Properties>
</file>