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46430">
      <w:pPr>
        <w:spacing w:line="560" w:lineRule="exact"/>
        <w:rPr>
          <w:rFonts w:ascii="黑体" w:hAnsi="黑体" w:eastAsia="黑体" w:cs="黑体"/>
          <w:spacing w:val="15"/>
          <w:sz w:val="32"/>
          <w:szCs w:val="32"/>
        </w:rPr>
      </w:pPr>
    </w:p>
    <w:p w14:paraId="7CCB48DF">
      <w:pPr>
        <w:spacing w:line="560" w:lineRule="exact"/>
        <w:jc w:val="center"/>
        <w:rPr>
          <w:rFonts w:ascii="方正小标宋简体" w:hAnsi="方正小标宋简体" w:eastAsia="方正小标宋简体" w:cs="方正小标宋简体"/>
          <w:spacing w:val="15"/>
          <w:sz w:val="44"/>
          <w:szCs w:val="44"/>
        </w:rPr>
      </w:pPr>
    </w:p>
    <w:p w14:paraId="7D653AF0">
      <w:pPr>
        <w:spacing w:line="560" w:lineRule="exact"/>
        <w:jc w:val="center"/>
        <w:rPr>
          <w:rFonts w:ascii="方正小标宋简体" w:hAnsi="方正小标宋简体" w:eastAsia="方正小标宋简体" w:cs="方正小标宋简体"/>
          <w:bCs/>
          <w:spacing w:val="15"/>
          <w:sz w:val="44"/>
          <w:szCs w:val="44"/>
        </w:rPr>
      </w:pPr>
    </w:p>
    <w:p w14:paraId="5A7B64A7">
      <w:pPr>
        <w:spacing w:line="560" w:lineRule="exact"/>
        <w:jc w:val="center"/>
        <w:rPr>
          <w:rFonts w:ascii="方正小标宋简体" w:hAnsi="方正小标宋简体" w:eastAsia="方正小标宋简体" w:cs="方正小标宋简体"/>
          <w:bCs/>
          <w:spacing w:val="15"/>
          <w:sz w:val="44"/>
          <w:szCs w:val="44"/>
        </w:rPr>
      </w:pPr>
    </w:p>
    <w:p w14:paraId="3D17A51B">
      <w:pPr>
        <w:spacing w:line="560" w:lineRule="exact"/>
        <w:jc w:val="center"/>
        <w:rPr>
          <w:rFonts w:ascii="方正小标宋简体" w:hAnsi="方正小标宋简体" w:eastAsia="方正小标宋简体" w:cs="方正小标宋简体"/>
          <w:bCs/>
          <w:spacing w:val="15"/>
          <w:sz w:val="44"/>
          <w:szCs w:val="44"/>
        </w:rPr>
      </w:pPr>
    </w:p>
    <w:p w14:paraId="1134FDE4">
      <w:pPr>
        <w:spacing w:line="560" w:lineRule="exact"/>
        <w:jc w:val="center"/>
        <w:rPr>
          <w:rFonts w:ascii="方正小标宋简体" w:hAnsi="方正小标宋简体" w:eastAsia="方正小标宋简体" w:cs="方正小标宋简体"/>
          <w:bCs/>
          <w:spacing w:val="15"/>
          <w:sz w:val="44"/>
          <w:szCs w:val="44"/>
        </w:rPr>
      </w:pPr>
    </w:p>
    <w:p w14:paraId="7BEF3D86">
      <w:pPr>
        <w:spacing w:line="560" w:lineRule="exact"/>
        <w:jc w:val="center"/>
        <w:rPr>
          <w:rFonts w:ascii="方正小标宋简体" w:hAnsi="方正小标宋简体" w:eastAsia="方正小标宋简体" w:cs="方正小标宋简体"/>
          <w:bCs/>
          <w:spacing w:val="15"/>
          <w:sz w:val="44"/>
          <w:szCs w:val="44"/>
        </w:rPr>
      </w:pPr>
    </w:p>
    <w:p w14:paraId="3A9FE3FE">
      <w:pPr>
        <w:spacing w:line="560" w:lineRule="exact"/>
        <w:jc w:val="center"/>
        <w:rPr>
          <w:rFonts w:ascii="方正小标宋简体" w:hAnsi="方正小标宋简体" w:eastAsia="方正小标宋简体" w:cs="方正小标宋简体"/>
          <w:bCs/>
          <w:spacing w:val="15"/>
          <w:sz w:val="44"/>
          <w:szCs w:val="44"/>
        </w:rPr>
      </w:pPr>
    </w:p>
    <w:p w14:paraId="654F81A0">
      <w:pPr>
        <w:spacing w:line="560" w:lineRule="exact"/>
        <w:jc w:val="center"/>
        <w:rPr>
          <w:rFonts w:ascii="方正小标宋简体" w:hAnsi="方正小标宋简体" w:eastAsia="方正小标宋简体" w:cs="方正小标宋简体"/>
          <w:bCs/>
          <w:spacing w:val="15"/>
          <w:sz w:val="44"/>
          <w:szCs w:val="44"/>
        </w:rPr>
      </w:pPr>
    </w:p>
    <w:p w14:paraId="42F9D4B7">
      <w:pPr>
        <w:spacing w:line="560" w:lineRule="exact"/>
        <w:jc w:val="center"/>
        <w:rPr>
          <w:rFonts w:ascii="方正小标宋简体" w:hAnsi="方正小标宋简体" w:eastAsia="方正小标宋简体" w:cs="方正小标宋简体"/>
          <w:bCs/>
          <w:spacing w:val="15"/>
          <w:sz w:val="44"/>
          <w:szCs w:val="44"/>
        </w:rPr>
      </w:pPr>
      <w:r>
        <w:rPr>
          <w:rFonts w:ascii="方正小标宋简体" w:hAnsi="方正小标宋简体" w:eastAsia="方正小标宋简体" w:cs="方正小标宋简体"/>
          <w:bCs/>
          <w:spacing w:val="15"/>
          <w:sz w:val="44"/>
          <w:szCs w:val="44"/>
        </w:rPr>
        <w:t>中共浦江县委党校</w:t>
      </w:r>
      <w:r>
        <w:rPr>
          <w:rFonts w:hint="eastAsia" w:ascii="方正小标宋简体" w:hAnsi="方正小标宋简体" w:eastAsia="方正小标宋简体" w:cs="方正小标宋简体"/>
          <w:bCs/>
          <w:spacing w:val="15"/>
          <w:sz w:val="44"/>
          <w:szCs w:val="44"/>
          <w:lang w:eastAsia="zh-CN"/>
        </w:rPr>
        <w:t>2026年</w:t>
      </w:r>
      <w:r>
        <w:rPr>
          <w:rFonts w:hint="eastAsia" w:ascii="方正小标宋简体" w:hAnsi="方正小标宋简体" w:eastAsia="方正小标宋简体" w:cs="方正小标宋简体"/>
          <w:bCs/>
          <w:spacing w:val="15"/>
          <w:sz w:val="44"/>
          <w:szCs w:val="44"/>
        </w:rPr>
        <w:t>单位预算</w:t>
      </w:r>
    </w:p>
    <w:p w14:paraId="1B7CDCA8">
      <w:pPr>
        <w:spacing w:line="560" w:lineRule="exact"/>
        <w:ind w:firstLine="590" w:firstLineChars="196"/>
        <w:rPr>
          <w:rStyle w:val="9"/>
          <w:color w:val="000000"/>
          <w:sz w:val="30"/>
          <w:szCs w:val="30"/>
        </w:rPr>
      </w:pPr>
    </w:p>
    <w:p w14:paraId="4B31D90B">
      <w:pPr>
        <w:spacing w:line="520" w:lineRule="exact"/>
        <w:ind w:firstLine="627" w:firstLineChars="196"/>
        <w:jc w:val="center"/>
        <w:rPr>
          <w:rStyle w:val="9"/>
          <w:rFonts w:ascii="黑体" w:eastAsia="黑体"/>
          <w:b w:val="0"/>
          <w:color w:val="000000"/>
          <w:sz w:val="32"/>
          <w:szCs w:val="32"/>
        </w:rPr>
      </w:pPr>
    </w:p>
    <w:p w14:paraId="0A062A49">
      <w:pPr>
        <w:spacing w:line="520" w:lineRule="exact"/>
        <w:ind w:firstLine="627" w:firstLineChars="196"/>
        <w:jc w:val="center"/>
        <w:rPr>
          <w:rStyle w:val="9"/>
          <w:rFonts w:ascii="黑体" w:eastAsia="黑体"/>
          <w:b w:val="0"/>
          <w:color w:val="000000"/>
          <w:sz w:val="32"/>
          <w:szCs w:val="32"/>
        </w:rPr>
      </w:pPr>
    </w:p>
    <w:p w14:paraId="7A5372BD">
      <w:pPr>
        <w:spacing w:line="520" w:lineRule="exact"/>
        <w:ind w:firstLine="627" w:firstLineChars="196"/>
        <w:jc w:val="center"/>
        <w:rPr>
          <w:rStyle w:val="9"/>
          <w:rFonts w:ascii="黑体" w:eastAsia="黑体"/>
          <w:b w:val="0"/>
          <w:color w:val="000000"/>
          <w:sz w:val="32"/>
          <w:szCs w:val="32"/>
        </w:rPr>
      </w:pPr>
    </w:p>
    <w:p w14:paraId="7EC85711">
      <w:pPr>
        <w:spacing w:line="520" w:lineRule="exact"/>
        <w:ind w:firstLine="627" w:firstLineChars="196"/>
        <w:jc w:val="center"/>
        <w:rPr>
          <w:rStyle w:val="9"/>
          <w:rFonts w:ascii="黑体" w:eastAsia="黑体"/>
          <w:b w:val="0"/>
          <w:color w:val="000000"/>
          <w:sz w:val="32"/>
          <w:szCs w:val="32"/>
        </w:rPr>
      </w:pPr>
    </w:p>
    <w:p w14:paraId="47442203">
      <w:pPr>
        <w:spacing w:line="520" w:lineRule="exact"/>
        <w:ind w:firstLine="627" w:firstLineChars="196"/>
        <w:jc w:val="center"/>
        <w:rPr>
          <w:rStyle w:val="9"/>
          <w:rFonts w:ascii="黑体" w:eastAsia="黑体"/>
          <w:b w:val="0"/>
          <w:color w:val="000000"/>
          <w:sz w:val="32"/>
          <w:szCs w:val="32"/>
        </w:rPr>
      </w:pPr>
    </w:p>
    <w:p w14:paraId="77E2126B">
      <w:pPr>
        <w:spacing w:line="520" w:lineRule="exact"/>
        <w:ind w:firstLine="627" w:firstLineChars="196"/>
        <w:jc w:val="center"/>
        <w:rPr>
          <w:rStyle w:val="9"/>
          <w:rFonts w:ascii="黑体" w:eastAsia="黑体"/>
          <w:b w:val="0"/>
          <w:color w:val="000000"/>
          <w:sz w:val="32"/>
          <w:szCs w:val="32"/>
        </w:rPr>
      </w:pPr>
    </w:p>
    <w:p w14:paraId="4449FC41">
      <w:pPr>
        <w:spacing w:line="520" w:lineRule="exact"/>
        <w:ind w:firstLine="627" w:firstLineChars="196"/>
        <w:jc w:val="center"/>
        <w:rPr>
          <w:rStyle w:val="9"/>
          <w:rFonts w:ascii="黑体" w:eastAsia="黑体"/>
          <w:b w:val="0"/>
          <w:color w:val="000000"/>
          <w:sz w:val="32"/>
          <w:szCs w:val="32"/>
        </w:rPr>
      </w:pPr>
    </w:p>
    <w:p w14:paraId="734F7A2A">
      <w:pPr>
        <w:spacing w:line="520" w:lineRule="exact"/>
        <w:ind w:firstLine="627" w:firstLineChars="196"/>
        <w:jc w:val="center"/>
        <w:rPr>
          <w:rStyle w:val="9"/>
          <w:rFonts w:ascii="黑体" w:eastAsia="黑体"/>
          <w:b w:val="0"/>
          <w:color w:val="000000"/>
          <w:sz w:val="32"/>
          <w:szCs w:val="32"/>
        </w:rPr>
      </w:pPr>
    </w:p>
    <w:p w14:paraId="29529B1A">
      <w:pPr>
        <w:spacing w:line="520" w:lineRule="exact"/>
        <w:ind w:firstLine="627" w:firstLineChars="196"/>
        <w:jc w:val="center"/>
        <w:rPr>
          <w:rStyle w:val="9"/>
          <w:rFonts w:ascii="黑体" w:eastAsia="黑体"/>
          <w:b w:val="0"/>
          <w:color w:val="000000"/>
          <w:sz w:val="32"/>
          <w:szCs w:val="32"/>
        </w:rPr>
      </w:pPr>
    </w:p>
    <w:p w14:paraId="064B0926">
      <w:pPr>
        <w:spacing w:line="520" w:lineRule="exact"/>
        <w:ind w:firstLine="627" w:firstLineChars="196"/>
        <w:jc w:val="center"/>
        <w:rPr>
          <w:rStyle w:val="9"/>
          <w:rFonts w:ascii="黑体" w:eastAsia="黑体"/>
          <w:b w:val="0"/>
          <w:color w:val="000000"/>
          <w:sz w:val="32"/>
          <w:szCs w:val="32"/>
        </w:rPr>
      </w:pPr>
    </w:p>
    <w:p w14:paraId="18AFDD1A">
      <w:pPr>
        <w:spacing w:line="520" w:lineRule="exact"/>
        <w:ind w:firstLine="627" w:firstLineChars="196"/>
        <w:jc w:val="center"/>
        <w:rPr>
          <w:rStyle w:val="9"/>
          <w:rFonts w:ascii="黑体" w:eastAsia="黑体"/>
          <w:b w:val="0"/>
          <w:color w:val="000000"/>
          <w:sz w:val="32"/>
          <w:szCs w:val="32"/>
        </w:rPr>
      </w:pPr>
    </w:p>
    <w:p w14:paraId="0F1FB2CA">
      <w:pPr>
        <w:spacing w:line="520" w:lineRule="exact"/>
        <w:ind w:firstLine="627" w:firstLineChars="196"/>
        <w:jc w:val="center"/>
        <w:rPr>
          <w:rStyle w:val="9"/>
          <w:rFonts w:ascii="黑体" w:eastAsia="黑体"/>
          <w:b w:val="0"/>
          <w:color w:val="000000"/>
          <w:sz w:val="32"/>
          <w:szCs w:val="32"/>
        </w:rPr>
      </w:pPr>
    </w:p>
    <w:p w14:paraId="3C222493">
      <w:pPr>
        <w:spacing w:line="520" w:lineRule="exact"/>
        <w:ind w:firstLine="627" w:firstLineChars="196"/>
        <w:jc w:val="center"/>
        <w:rPr>
          <w:rStyle w:val="9"/>
          <w:rFonts w:ascii="黑体" w:eastAsia="黑体"/>
          <w:b w:val="0"/>
          <w:color w:val="000000"/>
          <w:sz w:val="32"/>
          <w:szCs w:val="32"/>
        </w:rPr>
      </w:pPr>
    </w:p>
    <w:p w14:paraId="24596CD2">
      <w:pPr>
        <w:spacing w:line="520" w:lineRule="exact"/>
        <w:rPr>
          <w:rStyle w:val="9"/>
          <w:rFonts w:ascii="黑体" w:eastAsia="黑体"/>
          <w:b w:val="0"/>
          <w:color w:val="000000"/>
          <w:sz w:val="32"/>
          <w:szCs w:val="32"/>
        </w:rPr>
      </w:pPr>
    </w:p>
    <w:p w14:paraId="4411E5EB">
      <w:pPr>
        <w:spacing w:line="520" w:lineRule="exact"/>
        <w:ind w:firstLine="627" w:firstLineChars="196"/>
        <w:jc w:val="center"/>
        <w:rPr>
          <w:rStyle w:val="9"/>
          <w:rFonts w:hint="eastAsia" w:ascii="黑体" w:eastAsia="黑体"/>
          <w:b w:val="0"/>
          <w:color w:val="000000"/>
          <w:sz w:val="32"/>
          <w:szCs w:val="32"/>
        </w:rPr>
        <w:sectPr>
          <w:headerReference r:id="rId5" w:type="first"/>
          <w:footerReference r:id="rId7" w:type="first"/>
          <w:headerReference r:id="rId3" w:type="default"/>
          <w:headerReference r:id="rId4" w:type="even"/>
          <w:footerReference r:id="rId6" w:type="even"/>
          <w:pgSz w:w="11906" w:h="16838"/>
          <w:pgMar w:top="1440" w:right="1800" w:bottom="1440" w:left="1800" w:header="851" w:footer="992" w:gutter="0"/>
          <w:pgNumType w:fmt="decimal" w:start="6"/>
          <w:cols w:space="425" w:num="1"/>
          <w:docGrid w:type="lines" w:linePitch="312" w:charSpace="0"/>
        </w:sectPr>
      </w:pPr>
    </w:p>
    <w:p w14:paraId="0B9EEDDA">
      <w:pPr>
        <w:spacing w:line="520" w:lineRule="exact"/>
        <w:ind w:firstLine="627" w:firstLineChars="196"/>
        <w:jc w:val="center"/>
        <w:rPr>
          <w:rStyle w:val="9"/>
          <w:rFonts w:ascii="黑体" w:eastAsia="黑体"/>
          <w:b w:val="0"/>
          <w:color w:val="000000"/>
          <w:sz w:val="32"/>
          <w:szCs w:val="32"/>
        </w:rPr>
      </w:pPr>
      <w:r>
        <w:rPr>
          <w:rStyle w:val="9"/>
          <w:rFonts w:hint="eastAsia" w:ascii="黑体" w:eastAsia="黑体"/>
          <w:b w:val="0"/>
          <w:color w:val="000000"/>
          <w:sz w:val="32"/>
          <w:szCs w:val="32"/>
        </w:rPr>
        <w:t>目录</w:t>
      </w:r>
    </w:p>
    <w:p w14:paraId="3A06DD9E">
      <w:pPr>
        <w:keepNext w:val="0"/>
        <w:keepLines w:val="0"/>
        <w:pageBreakBefore w:val="0"/>
        <w:tabs>
          <w:tab w:val="left" w:leader="dot" w:pos="8400"/>
          <w:tab w:val="left" w:leader="dot" w:pos="8820"/>
        </w:tabs>
        <w:kinsoku/>
        <w:wordWrap/>
        <w:overflowPunct/>
        <w:topLinePunct w:val="0"/>
        <w:bidi w:val="0"/>
        <w:snapToGrid/>
        <w:spacing w:line="520" w:lineRule="exact"/>
        <w:textAlignment w:val="auto"/>
        <w:rPr>
          <w:rFonts w:hint="eastAsia" w:eastAsia="黑体"/>
          <w:sz w:val="32"/>
          <w:lang w:val="en-US" w:eastAsia="zh-CN"/>
        </w:rPr>
      </w:pPr>
      <w:r>
        <w:rPr>
          <w:rFonts w:hint="eastAsia" w:ascii="黑体" w:eastAsia="黑体"/>
          <w:color w:val="000000"/>
          <w:sz w:val="32"/>
          <w:highlight w:val="white"/>
        </w:rPr>
        <w:t>一、单位</w:t>
      </w:r>
      <w:r>
        <w:rPr>
          <w:rStyle w:val="9"/>
          <w:rFonts w:hint="eastAsia" w:ascii="黑体" w:eastAsia="黑体"/>
          <w:b w:val="0"/>
          <w:color w:val="000000"/>
          <w:sz w:val="32"/>
          <w:szCs w:val="32"/>
        </w:rPr>
        <w:t>概况</w:t>
      </w:r>
      <w:r>
        <w:rPr>
          <w:rStyle w:val="9"/>
          <w:rFonts w:hint="eastAsia" w:ascii="黑体" w:eastAsia="黑体"/>
          <w:b w:val="0"/>
          <w:color w:val="000000"/>
          <w:sz w:val="32"/>
          <w:szCs w:val="32"/>
          <w:lang w:val="en-US" w:eastAsia="zh-CN"/>
        </w:rPr>
        <w:tab/>
      </w:r>
      <w:r>
        <w:rPr>
          <w:rStyle w:val="9"/>
          <w:rFonts w:hint="eastAsia" w:ascii="黑体" w:eastAsia="黑体"/>
          <w:b w:val="0"/>
          <w:color w:val="000000"/>
          <w:sz w:val="32"/>
          <w:szCs w:val="32"/>
          <w:lang w:val="en-US" w:eastAsia="zh-CN"/>
        </w:rPr>
        <w:t>1</w:t>
      </w:r>
    </w:p>
    <w:p w14:paraId="4DC76EE9">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（一）主要职能</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1</w:t>
      </w:r>
    </w:p>
    <w:p w14:paraId="0C3E305E">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（二）单位机构设置情况</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1</w:t>
      </w:r>
    </w:p>
    <w:p w14:paraId="690BA1D0">
      <w:pPr>
        <w:keepNext w:val="0"/>
        <w:keepLines w:val="0"/>
        <w:pageBreakBefore w:val="0"/>
        <w:tabs>
          <w:tab w:val="left" w:leader="dot" w:pos="8400"/>
          <w:tab w:val="left" w:leader="dot" w:pos="8820"/>
        </w:tabs>
        <w:kinsoku/>
        <w:wordWrap/>
        <w:overflowPunct/>
        <w:topLinePunct w:val="0"/>
        <w:bidi w:val="0"/>
        <w:snapToGrid/>
        <w:spacing w:line="520" w:lineRule="exact"/>
        <w:textAlignment w:val="auto"/>
        <w:rPr>
          <w:rStyle w:val="9"/>
          <w:rFonts w:hint="eastAsia" w:ascii="黑体" w:eastAsia="黑体"/>
          <w:b w:val="0"/>
          <w:color w:val="000000"/>
          <w:sz w:val="32"/>
          <w:szCs w:val="32"/>
          <w:lang w:val="en-US" w:eastAsia="zh-CN"/>
        </w:rPr>
      </w:pPr>
      <w:r>
        <w:rPr>
          <w:rStyle w:val="9"/>
          <w:rFonts w:hint="eastAsia" w:ascii="黑体" w:eastAsia="黑体"/>
          <w:b w:val="0"/>
          <w:color w:val="000000"/>
          <w:sz w:val="32"/>
          <w:szCs w:val="32"/>
        </w:rPr>
        <w:t>二、</w:t>
      </w:r>
      <w:r>
        <w:rPr>
          <w:rStyle w:val="9"/>
          <w:rFonts w:hint="eastAsia" w:ascii="黑体" w:eastAsia="黑体"/>
          <w:b w:val="0"/>
          <w:color w:val="000000"/>
          <w:sz w:val="32"/>
          <w:szCs w:val="32"/>
          <w:lang w:eastAsia="zh-CN"/>
        </w:rPr>
        <w:t>2025年</w:t>
      </w:r>
      <w:r>
        <w:rPr>
          <w:rStyle w:val="9"/>
          <w:rFonts w:hint="eastAsia" w:ascii="黑体" w:eastAsia="黑体"/>
          <w:b w:val="0"/>
          <w:color w:val="000000"/>
          <w:sz w:val="32"/>
          <w:szCs w:val="32"/>
        </w:rPr>
        <w:t>中共浦江县委党校单位预算安排情况说明</w:t>
      </w:r>
      <w:r>
        <w:rPr>
          <w:rStyle w:val="9"/>
          <w:rFonts w:hint="eastAsia" w:ascii="黑体" w:eastAsia="黑体"/>
          <w:b w:val="0"/>
          <w:color w:val="000000"/>
          <w:sz w:val="32"/>
          <w:szCs w:val="32"/>
          <w:lang w:val="en-US" w:eastAsia="zh-CN"/>
        </w:rPr>
        <w:tab/>
      </w:r>
      <w:r>
        <w:rPr>
          <w:rStyle w:val="9"/>
          <w:rFonts w:hint="eastAsia" w:ascii="黑体" w:eastAsia="黑体"/>
          <w:b w:val="0"/>
          <w:color w:val="000000"/>
          <w:sz w:val="32"/>
          <w:szCs w:val="32"/>
          <w:lang w:val="en-US" w:eastAsia="zh-CN"/>
        </w:rPr>
        <w:t>1</w:t>
      </w:r>
    </w:p>
    <w:p w14:paraId="3D827FFE">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（一）关于中共浦江县委党校</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收支预算情况的总体说明</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1</w:t>
      </w:r>
    </w:p>
    <w:p w14:paraId="25CF9ECE">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（二）关于中共浦江县委党校</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收入预算情况说明</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2</w:t>
      </w:r>
    </w:p>
    <w:p w14:paraId="154C94C4">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（三）关于中共浦江县委党校</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支出预算情况说明</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2</w:t>
      </w:r>
      <w:r>
        <w:rPr>
          <w:rFonts w:hint="eastAsia" w:ascii="楷体_GB2312" w:hAnsi="楷体_GB2312" w:eastAsia="楷体_GB2312" w:cs="楷体_GB2312"/>
          <w:bCs/>
          <w:sz w:val="32"/>
          <w:szCs w:val="32"/>
        </w:rPr>
        <w:br w:type="textWrapping"/>
      </w:r>
      <w:r>
        <w:rPr>
          <w:rFonts w:hint="eastAsia" w:ascii="楷体_GB2312" w:hAnsi="楷体_GB2312" w:eastAsia="楷体_GB2312" w:cs="楷体_GB2312"/>
          <w:bCs/>
          <w:sz w:val="32"/>
          <w:szCs w:val="32"/>
        </w:rPr>
        <w:t>（四）关于中共浦江县委党校</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财政拨款收支预算情况的总体说明</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2</w:t>
      </w:r>
    </w:p>
    <w:p w14:paraId="1127C7E8">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（五）关于中共浦江县委党校</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一般公共预算拨款情况说明</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2</w:t>
      </w:r>
    </w:p>
    <w:p w14:paraId="7DCFBF4D">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（六）关于中共浦江县委党校</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一般公共预算基本支出情况说明</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4</w:t>
      </w:r>
    </w:p>
    <w:p w14:paraId="79956DE9">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（七）关于中共浦江县委党校</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政府性基金预算支出情况说明</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4</w:t>
      </w:r>
    </w:p>
    <w:p w14:paraId="6D41DC6A">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（八）关于中共浦江县委党校</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国有资本经营预算支出情况说明</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5</w:t>
      </w:r>
    </w:p>
    <w:p w14:paraId="7141D07F">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（九）关于中共浦江县委党校</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一般公共预算“三公”经费预算情况说明</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5</w:t>
      </w:r>
    </w:p>
    <w:p w14:paraId="1BA8E2A3">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（十）其他重要事项的情况说明</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5</w:t>
      </w:r>
    </w:p>
    <w:p w14:paraId="0EDE171F">
      <w:pPr>
        <w:pStyle w:val="16"/>
        <w:keepNext w:val="0"/>
        <w:keepLines w:val="0"/>
        <w:pageBreakBefore w:val="0"/>
        <w:tabs>
          <w:tab w:val="left" w:leader="dot" w:pos="8400"/>
          <w:tab w:val="left" w:leader="dot" w:pos="8820"/>
        </w:tabs>
        <w:kinsoku/>
        <w:wordWrap/>
        <w:overflowPunct/>
        <w:topLinePunct w:val="0"/>
        <w:bidi w:val="0"/>
        <w:snapToGrid/>
        <w:spacing w:line="520" w:lineRule="exact"/>
        <w:textAlignment w:val="auto"/>
        <w:rPr>
          <w:rStyle w:val="9"/>
          <w:rFonts w:hint="eastAsia" w:ascii="黑体" w:hAnsi="Calibri" w:eastAsia="黑体"/>
          <w:b w:val="0"/>
          <w:color w:val="000000"/>
          <w:kern w:val="2"/>
          <w:sz w:val="32"/>
          <w:szCs w:val="32"/>
          <w:lang w:val="en-US" w:eastAsia="zh-CN"/>
        </w:rPr>
      </w:pPr>
      <w:r>
        <w:rPr>
          <w:rStyle w:val="9"/>
          <w:rFonts w:hint="eastAsia" w:ascii="黑体" w:hAnsi="Calibri" w:eastAsia="黑体"/>
          <w:b w:val="0"/>
          <w:color w:val="000000"/>
          <w:kern w:val="2"/>
          <w:sz w:val="32"/>
          <w:szCs w:val="32"/>
        </w:rPr>
        <w:t>三、名词解释</w:t>
      </w:r>
      <w:r>
        <w:rPr>
          <w:rStyle w:val="9"/>
          <w:rFonts w:hint="eastAsia" w:ascii="黑体" w:hAnsi="Calibri" w:eastAsia="黑体"/>
          <w:b w:val="0"/>
          <w:color w:val="000000"/>
          <w:kern w:val="2"/>
          <w:sz w:val="32"/>
          <w:szCs w:val="32"/>
          <w:lang w:val="en-US" w:eastAsia="zh-CN"/>
        </w:rPr>
        <w:tab/>
      </w:r>
      <w:r>
        <w:rPr>
          <w:rStyle w:val="9"/>
          <w:rFonts w:hint="eastAsia" w:ascii="黑体" w:hAnsi="Calibri" w:eastAsia="黑体"/>
          <w:b w:val="0"/>
          <w:color w:val="000000"/>
          <w:kern w:val="2"/>
          <w:sz w:val="32"/>
          <w:szCs w:val="32"/>
          <w:lang w:val="en-US" w:eastAsia="zh-CN"/>
        </w:rPr>
        <w:t>6</w:t>
      </w:r>
    </w:p>
    <w:p w14:paraId="46039928">
      <w:pPr>
        <w:keepNext w:val="0"/>
        <w:keepLines w:val="0"/>
        <w:pageBreakBefore w:val="0"/>
        <w:tabs>
          <w:tab w:val="left" w:leader="dot" w:pos="8400"/>
          <w:tab w:val="left" w:leader="dot" w:pos="8820"/>
        </w:tabs>
        <w:kinsoku/>
        <w:wordWrap/>
        <w:overflowPunct/>
        <w:topLinePunct w:val="0"/>
        <w:bidi w:val="0"/>
        <w:snapToGrid/>
        <w:spacing w:line="520" w:lineRule="exact"/>
        <w:textAlignment w:val="auto"/>
        <w:rPr>
          <w:rStyle w:val="9"/>
          <w:rFonts w:hint="eastAsia" w:ascii="黑体" w:eastAsia="黑体"/>
          <w:b w:val="0"/>
          <w:color w:val="000000"/>
          <w:sz w:val="32"/>
          <w:szCs w:val="32"/>
        </w:rPr>
        <w:sectPr>
          <w:footerReference r:id="rId8" w:type="default"/>
          <w:pgSz w:w="11906" w:h="16838"/>
          <w:pgMar w:top="1440" w:right="1800" w:bottom="1440" w:left="1800" w:header="851" w:footer="992" w:gutter="0"/>
          <w:pgNumType w:fmt="decimal" w:start="1"/>
          <w:cols w:space="425" w:num="1"/>
          <w:docGrid w:type="lines" w:linePitch="312" w:charSpace="0"/>
        </w:sectPr>
      </w:pPr>
    </w:p>
    <w:p w14:paraId="0F6440BB">
      <w:pPr>
        <w:keepNext w:val="0"/>
        <w:keepLines w:val="0"/>
        <w:pageBreakBefore w:val="0"/>
        <w:tabs>
          <w:tab w:val="left" w:leader="dot" w:pos="8400"/>
          <w:tab w:val="left" w:leader="dot" w:pos="8820"/>
        </w:tabs>
        <w:kinsoku/>
        <w:wordWrap/>
        <w:overflowPunct/>
        <w:topLinePunct w:val="0"/>
        <w:bidi w:val="0"/>
        <w:snapToGrid/>
        <w:spacing w:line="520" w:lineRule="exact"/>
        <w:textAlignment w:val="auto"/>
        <w:rPr>
          <w:rStyle w:val="9"/>
          <w:rFonts w:hint="eastAsia" w:ascii="黑体" w:eastAsia="黑体"/>
          <w:b w:val="0"/>
          <w:color w:val="000000"/>
          <w:sz w:val="32"/>
          <w:szCs w:val="32"/>
          <w:lang w:val="en-US" w:eastAsia="zh-CN"/>
        </w:rPr>
      </w:pPr>
      <w:r>
        <w:rPr>
          <w:rStyle w:val="9"/>
          <w:rFonts w:hint="eastAsia" w:ascii="黑体" w:eastAsia="黑体"/>
          <w:b w:val="0"/>
          <w:color w:val="000000"/>
          <w:sz w:val="32"/>
          <w:szCs w:val="32"/>
        </w:rPr>
        <w:t>四、</w:t>
      </w:r>
      <w:r>
        <w:rPr>
          <w:rStyle w:val="9"/>
          <w:rFonts w:hint="eastAsia" w:ascii="黑体" w:eastAsia="黑体"/>
          <w:b w:val="0"/>
          <w:color w:val="000000"/>
          <w:sz w:val="32"/>
          <w:szCs w:val="32"/>
          <w:lang w:eastAsia="zh-CN"/>
        </w:rPr>
        <w:t>202</w:t>
      </w:r>
      <w:r>
        <w:rPr>
          <w:rStyle w:val="9"/>
          <w:rFonts w:hint="eastAsia" w:ascii="黑体" w:eastAsia="黑体"/>
          <w:b w:val="0"/>
          <w:color w:val="000000"/>
          <w:sz w:val="32"/>
          <w:szCs w:val="32"/>
          <w:lang w:val="en-US" w:eastAsia="zh-CN"/>
        </w:rPr>
        <w:t>6</w:t>
      </w:r>
      <w:r>
        <w:rPr>
          <w:rStyle w:val="9"/>
          <w:rFonts w:hint="eastAsia" w:ascii="黑体" w:eastAsia="黑体"/>
          <w:b w:val="0"/>
          <w:color w:val="000000"/>
          <w:sz w:val="32"/>
          <w:szCs w:val="32"/>
          <w:lang w:eastAsia="zh-CN"/>
        </w:rPr>
        <w:t>年</w:t>
      </w:r>
      <w:r>
        <w:rPr>
          <w:rStyle w:val="9"/>
          <w:rFonts w:hint="eastAsia" w:ascii="黑体" w:eastAsia="黑体"/>
          <w:b w:val="0"/>
          <w:color w:val="000000"/>
          <w:sz w:val="32"/>
          <w:szCs w:val="32"/>
        </w:rPr>
        <w:t>中共浦江县委党校单位预算表</w:t>
      </w:r>
      <w:r>
        <w:rPr>
          <w:rStyle w:val="9"/>
          <w:rFonts w:hint="eastAsia" w:ascii="黑体" w:eastAsia="黑体"/>
          <w:b w:val="0"/>
          <w:color w:val="000000"/>
          <w:sz w:val="32"/>
          <w:szCs w:val="32"/>
          <w:lang w:val="en-US" w:eastAsia="zh-CN"/>
        </w:rPr>
        <w:tab/>
      </w:r>
      <w:r>
        <w:rPr>
          <w:rStyle w:val="9"/>
          <w:rFonts w:hint="eastAsia" w:ascii="黑体" w:eastAsia="黑体"/>
          <w:b w:val="0"/>
          <w:color w:val="000000"/>
          <w:sz w:val="32"/>
          <w:szCs w:val="32"/>
          <w:lang w:val="en-US" w:eastAsia="zh-CN"/>
        </w:rPr>
        <w:t>9</w:t>
      </w:r>
    </w:p>
    <w:p w14:paraId="3567A155">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（一）</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单位收支预算总表</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9</w:t>
      </w:r>
    </w:p>
    <w:p w14:paraId="0AADC860">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（二）</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单位收入预算总表</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9</w:t>
      </w:r>
    </w:p>
    <w:p w14:paraId="56A65E16">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（三）</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单位支出预算总表</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9</w:t>
      </w:r>
    </w:p>
    <w:p w14:paraId="2806F17B">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（四）</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单位财政拨款收支预算总表</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9</w:t>
      </w:r>
    </w:p>
    <w:p w14:paraId="6494B1FA">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（五）</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单位一般公共预算支出表</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9</w:t>
      </w:r>
    </w:p>
    <w:p w14:paraId="6AA85A8E">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（六）</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单位一般公共预算基本支出表</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9</w:t>
      </w:r>
    </w:p>
    <w:p w14:paraId="03230F78">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（七）</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单位一般公共预算“三公”经费支出表</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9</w:t>
      </w:r>
    </w:p>
    <w:p w14:paraId="6A5CA992">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（八）</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单位政府性基金预算支出表</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9</w:t>
      </w:r>
    </w:p>
    <w:p w14:paraId="5D8C27A9">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（九）</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单位国有资本经营预算支出表</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9</w:t>
      </w:r>
    </w:p>
    <w:p w14:paraId="742C4E63">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（十）</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单位项目支出预算表</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9</w:t>
      </w:r>
    </w:p>
    <w:p w14:paraId="5881E888">
      <w:pPr>
        <w:keepNext w:val="0"/>
        <w:keepLines w:val="0"/>
        <w:pageBreakBefore w:val="0"/>
        <w:tabs>
          <w:tab w:val="left" w:leader="dot" w:pos="8400"/>
          <w:tab w:val="left" w:leader="dot" w:pos="8820"/>
        </w:tabs>
        <w:kinsoku/>
        <w:wordWrap/>
        <w:overflowPunct/>
        <w:topLinePunct w:val="0"/>
        <w:autoSpaceDE w:val="0"/>
        <w:autoSpaceDN w:val="0"/>
        <w:bidi w:val="0"/>
        <w:adjustRightInd w:val="0"/>
        <w:snapToGrid/>
        <w:ind w:left="420" w:leftChars="200"/>
        <w:jc w:val="left"/>
        <w:textAlignment w:val="auto"/>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bCs/>
          <w:sz w:val="32"/>
          <w:szCs w:val="32"/>
        </w:rPr>
        <w:t>（十一）</w:t>
      </w:r>
      <w:r>
        <w:rPr>
          <w:rFonts w:hint="eastAsia" w:ascii="楷体_GB2312" w:hAnsi="楷体_GB2312" w:eastAsia="楷体_GB2312" w:cs="楷体_GB2312"/>
          <w:bCs/>
          <w:sz w:val="32"/>
          <w:szCs w:val="32"/>
          <w:lang w:eastAsia="zh-CN"/>
        </w:rPr>
        <w:t>202</w:t>
      </w:r>
      <w:r>
        <w:rPr>
          <w:rFonts w:hint="eastAsia" w:ascii="楷体_GB2312" w:hAnsi="楷体_GB2312" w:eastAsia="楷体_GB2312" w:cs="楷体_GB2312"/>
          <w:bCs/>
          <w:sz w:val="32"/>
          <w:szCs w:val="32"/>
          <w:lang w:val="en-US" w:eastAsia="zh-CN"/>
        </w:rPr>
        <w:t>6</w:t>
      </w:r>
      <w:r>
        <w:rPr>
          <w:rFonts w:hint="eastAsia" w:ascii="楷体_GB2312" w:hAnsi="楷体_GB2312" w:eastAsia="楷体_GB2312" w:cs="楷体_GB2312"/>
          <w:bCs/>
          <w:sz w:val="32"/>
          <w:szCs w:val="32"/>
          <w:lang w:eastAsia="zh-CN"/>
        </w:rPr>
        <w:t>年</w:t>
      </w:r>
      <w:r>
        <w:rPr>
          <w:rFonts w:hint="eastAsia" w:ascii="楷体_GB2312" w:hAnsi="楷体_GB2312" w:eastAsia="楷体_GB2312" w:cs="楷体_GB2312"/>
          <w:bCs/>
          <w:sz w:val="32"/>
          <w:szCs w:val="32"/>
        </w:rPr>
        <w:t>单位项目支出绩效表</w:t>
      </w:r>
      <w:r>
        <w:rPr>
          <w:rFonts w:hint="eastAsia" w:ascii="楷体_GB2312" w:hAnsi="楷体_GB2312" w:eastAsia="楷体_GB2312" w:cs="楷体_GB2312"/>
          <w:bCs/>
          <w:sz w:val="32"/>
          <w:szCs w:val="32"/>
          <w:lang w:val="en-US" w:eastAsia="zh-CN"/>
        </w:rPr>
        <w:tab/>
      </w:r>
      <w:r>
        <w:rPr>
          <w:rFonts w:hint="eastAsia" w:ascii="楷体_GB2312" w:hAnsi="楷体_GB2312" w:eastAsia="楷体_GB2312" w:cs="楷体_GB2312"/>
          <w:bCs/>
          <w:sz w:val="32"/>
          <w:szCs w:val="32"/>
          <w:lang w:val="en-US" w:eastAsia="zh-CN"/>
        </w:rPr>
        <w:t>9</w:t>
      </w:r>
    </w:p>
    <w:p w14:paraId="3C50D296">
      <w:pPr>
        <w:pStyle w:val="11"/>
        <w:tabs>
          <w:tab w:val="left" w:pos="2608"/>
        </w:tabs>
        <w:rPr>
          <w:rStyle w:val="9"/>
          <w:rFonts w:hint="eastAsia" w:ascii="黑体" w:eastAsia="黑体"/>
          <w:b w:val="0"/>
          <w:color w:val="000000"/>
          <w:sz w:val="32"/>
          <w:szCs w:val="32"/>
        </w:rPr>
      </w:pPr>
    </w:p>
    <w:p w14:paraId="2DCB797D">
      <w:pPr>
        <w:pStyle w:val="11"/>
        <w:tabs>
          <w:tab w:val="left" w:pos="2608"/>
        </w:tabs>
        <w:rPr>
          <w:rStyle w:val="9"/>
          <w:rFonts w:hint="eastAsia" w:ascii="黑体" w:eastAsia="黑体"/>
          <w:b w:val="0"/>
          <w:color w:val="000000"/>
          <w:sz w:val="32"/>
          <w:szCs w:val="32"/>
        </w:rPr>
      </w:pPr>
    </w:p>
    <w:p w14:paraId="22634484">
      <w:pPr>
        <w:pStyle w:val="11"/>
        <w:tabs>
          <w:tab w:val="left" w:pos="2608"/>
        </w:tabs>
        <w:rPr>
          <w:rStyle w:val="9"/>
          <w:rFonts w:hint="eastAsia" w:ascii="黑体" w:eastAsia="黑体"/>
          <w:b w:val="0"/>
          <w:color w:val="000000"/>
          <w:sz w:val="32"/>
          <w:szCs w:val="32"/>
        </w:rPr>
      </w:pPr>
    </w:p>
    <w:p w14:paraId="782EFEB1">
      <w:pPr>
        <w:pStyle w:val="11"/>
        <w:tabs>
          <w:tab w:val="left" w:pos="2608"/>
        </w:tabs>
        <w:rPr>
          <w:rStyle w:val="9"/>
          <w:rFonts w:hint="eastAsia" w:ascii="黑体" w:eastAsia="黑体"/>
          <w:b w:val="0"/>
          <w:color w:val="000000"/>
          <w:sz w:val="32"/>
          <w:szCs w:val="32"/>
        </w:rPr>
      </w:pPr>
    </w:p>
    <w:p w14:paraId="2218D526">
      <w:pPr>
        <w:pStyle w:val="11"/>
        <w:tabs>
          <w:tab w:val="left" w:pos="2608"/>
        </w:tabs>
        <w:rPr>
          <w:rStyle w:val="9"/>
          <w:rFonts w:hint="eastAsia" w:ascii="黑体" w:eastAsia="黑体"/>
          <w:b w:val="0"/>
          <w:color w:val="000000"/>
          <w:sz w:val="32"/>
          <w:szCs w:val="32"/>
        </w:rPr>
      </w:pPr>
    </w:p>
    <w:p w14:paraId="75DC9856">
      <w:pPr>
        <w:pStyle w:val="11"/>
        <w:tabs>
          <w:tab w:val="left" w:pos="2608"/>
        </w:tabs>
        <w:rPr>
          <w:rStyle w:val="9"/>
          <w:rFonts w:hint="eastAsia" w:ascii="黑体" w:eastAsia="黑体"/>
          <w:b w:val="0"/>
          <w:color w:val="000000"/>
          <w:sz w:val="32"/>
          <w:szCs w:val="32"/>
        </w:rPr>
      </w:pPr>
    </w:p>
    <w:p w14:paraId="461337F4">
      <w:pPr>
        <w:pStyle w:val="11"/>
        <w:tabs>
          <w:tab w:val="left" w:pos="2608"/>
        </w:tabs>
        <w:rPr>
          <w:rStyle w:val="9"/>
          <w:rFonts w:hint="eastAsia" w:ascii="黑体" w:eastAsia="黑体"/>
          <w:b w:val="0"/>
          <w:color w:val="000000"/>
          <w:sz w:val="32"/>
          <w:szCs w:val="32"/>
        </w:rPr>
      </w:pPr>
    </w:p>
    <w:p w14:paraId="37A29CAE">
      <w:pPr>
        <w:pStyle w:val="11"/>
        <w:tabs>
          <w:tab w:val="left" w:pos="2608"/>
        </w:tabs>
        <w:rPr>
          <w:rStyle w:val="9"/>
          <w:rFonts w:hint="eastAsia" w:ascii="黑体" w:eastAsia="黑体"/>
          <w:b w:val="0"/>
          <w:color w:val="000000"/>
          <w:sz w:val="32"/>
          <w:szCs w:val="32"/>
        </w:rPr>
      </w:pPr>
    </w:p>
    <w:p w14:paraId="5BF7EB06">
      <w:pPr>
        <w:pStyle w:val="11"/>
        <w:tabs>
          <w:tab w:val="left" w:pos="2608"/>
        </w:tabs>
        <w:rPr>
          <w:rStyle w:val="9"/>
          <w:rFonts w:hint="eastAsia" w:ascii="黑体" w:eastAsia="黑体"/>
          <w:b w:val="0"/>
          <w:color w:val="000000"/>
          <w:sz w:val="32"/>
          <w:szCs w:val="32"/>
        </w:rPr>
      </w:pPr>
    </w:p>
    <w:p w14:paraId="7F1A8509">
      <w:pPr>
        <w:pStyle w:val="11"/>
        <w:tabs>
          <w:tab w:val="left" w:pos="2608"/>
        </w:tabs>
        <w:rPr>
          <w:rStyle w:val="9"/>
          <w:rFonts w:hint="eastAsia" w:ascii="黑体" w:eastAsia="黑体"/>
          <w:b w:val="0"/>
          <w:color w:val="000000"/>
          <w:sz w:val="32"/>
          <w:szCs w:val="32"/>
        </w:rPr>
      </w:pPr>
    </w:p>
    <w:p w14:paraId="68EF37C7">
      <w:pPr>
        <w:pStyle w:val="11"/>
        <w:tabs>
          <w:tab w:val="left" w:pos="2608"/>
        </w:tabs>
        <w:rPr>
          <w:rStyle w:val="9"/>
          <w:rFonts w:hint="eastAsia" w:ascii="黑体" w:eastAsia="黑体"/>
          <w:b w:val="0"/>
          <w:color w:val="000000"/>
          <w:sz w:val="32"/>
          <w:szCs w:val="32"/>
        </w:rPr>
        <w:sectPr>
          <w:footerReference r:id="rId9" w:type="default"/>
          <w:pgSz w:w="11906" w:h="16838"/>
          <w:pgMar w:top="1440" w:right="1800" w:bottom="1440" w:left="1800" w:header="851" w:footer="992" w:gutter="0"/>
          <w:pgNumType w:fmt="decimal" w:start="1"/>
          <w:cols w:space="425" w:num="1"/>
          <w:docGrid w:type="lines" w:linePitch="312" w:charSpace="0"/>
        </w:sectPr>
      </w:pPr>
    </w:p>
    <w:p w14:paraId="31A17F8B">
      <w:pPr>
        <w:pStyle w:val="11"/>
        <w:tabs>
          <w:tab w:val="left" w:pos="2608"/>
        </w:tabs>
        <w:rPr>
          <w:rStyle w:val="9"/>
          <w:rFonts w:ascii="黑体" w:eastAsia="黑体"/>
          <w:b w:val="0"/>
          <w:color w:val="000000"/>
          <w:sz w:val="32"/>
          <w:szCs w:val="32"/>
        </w:rPr>
      </w:pPr>
      <w:r>
        <w:rPr>
          <w:rStyle w:val="9"/>
          <w:rFonts w:hint="eastAsia" w:ascii="黑体" w:eastAsia="黑体"/>
          <w:b w:val="0"/>
          <w:color w:val="000000"/>
          <w:sz w:val="32"/>
          <w:szCs w:val="32"/>
        </w:rPr>
        <w:t>一、单位概况</w:t>
      </w:r>
    </w:p>
    <w:p w14:paraId="79356357">
      <w:pPr>
        <w:spacing w:line="520" w:lineRule="exact"/>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（一）主要职能</w:t>
      </w:r>
    </w:p>
    <w:p w14:paraId="0A5D15FE">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lang w:val="en-US" w:eastAsia="zh-CN"/>
        </w:rPr>
        <w:t>1.</w:t>
      </w:r>
      <w:r>
        <w:rPr>
          <w:rFonts w:hint="eastAsia" w:ascii="仿宋_GB2312" w:hAnsi="仿宋_GB2312" w:eastAsia="仿宋_GB2312" w:cs="仿宋_GB2312"/>
          <w:bCs/>
          <w:sz w:val="30"/>
          <w:szCs w:val="30"/>
        </w:rPr>
        <w:t>承担县管干部和中青年干部培训；按要求对县机关部门、乡镇街道干部和村（居）干部及县内党员开展培训。</w:t>
      </w:r>
    </w:p>
    <w:p w14:paraId="03B7C31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lang w:val="en-US" w:eastAsia="zh-CN"/>
        </w:rPr>
        <w:t>2.</w:t>
      </w:r>
      <w:r>
        <w:rPr>
          <w:rFonts w:hint="eastAsia" w:ascii="仿宋_GB2312" w:hAnsi="仿宋_GB2312" w:eastAsia="仿宋_GB2312" w:cs="仿宋_GB2312"/>
          <w:bCs/>
          <w:sz w:val="30"/>
          <w:szCs w:val="30"/>
        </w:rPr>
        <w:t>负责公务员培训、党外干部培训、企业事业单位领导干部和骨干的理论培训。</w:t>
      </w:r>
    </w:p>
    <w:p w14:paraId="1287965D">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lang w:val="en-US" w:eastAsia="zh-CN"/>
        </w:rPr>
        <w:t>3.</w:t>
      </w:r>
      <w:r>
        <w:rPr>
          <w:rFonts w:hint="eastAsia" w:ascii="仿宋_GB2312" w:hAnsi="仿宋_GB2312" w:eastAsia="仿宋_GB2312" w:cs="仿宋_GB2312"/>
          <w:bCs/>
          <w:sz w:val="30"/>
          <w:szCs w:val="30"/>
        </w:rPr>
        <w:t>按照县委部署开展基本路线、形势任务、党员教育；协同有关部门做好创建文明城</w:t>
      </w:r>
      <w:r>
        <w:rPr>
          <w:rFonts w:hint="eastAsia" w:ascii="仿宋_GB2312" w:hAnsi="仿宋_GB2312" w:eastAsia="仿宋_GB2312" w:cs="仿宋_GB2312"/>
          <w:bCs/>
          <w:sz w:val="30"/>
          <w:szCs w:val="30"/>
          <w:lang w:eastAsia="zh-CN"/>
        </w:rPr>
        <w:t>市</w:t>
      </w:r>
      <w:r>
        <w:rPr>
          <w:rFonts w:hint="eastAsia" w:ascii="仿宋_GB2312" w:hAnsi="仿宋_GB2312" w:eastAsia="仿宋_GB2312" w:cs="仿宋_GB2312"/>
          <w:bCs/>
          <w:sz w:val="30"/>
          <w:szCs w:val="30"/>
        </w:rPr>
        <w:t>的思想、道德教育有关工作。</w:t>
      </w:r>
    </w:p>
    <w:p w14:paraId="27EC04B4">
      <w:pPr>
        <w:keepNext w:val="0"/>
        <w:keepLines w:val="0"/>
        <w:pageBreakBefore w:val="0"/>
        <w:kinsoku/>
        <w:wordWrap/>
        <w:overflowPunct/>
        <w:topLinePunct w:val="0"/>
        <w:bidi w:val="0"/>
        <w:spacing w:line="360" w:lineRule="auto"/>
        <w:ind w:firstLine="600" w:firstLineChars="200"/>
        <w:textAlignment w:val="auto"/>
        <w:rPr>
          <w:rFonts w:ascii="仿宋_GB2312" w:eastAsia="仿宋_GB2312"/>
          <w:bCs/>
          <w:sz w:val="32"/>
          <w:szCs w:val="32"/>
        </w:rPr>
      </w:pPr>
      <w:r>
        <w:rPr>
          <w:rFonts w:hint="eastAsia" w:ascii="仿宋_GB2312" w:hAnsi="仿宋_GB2312" w:eastAsia="仿宋_GB2312" w:cs="仿宋_GB2312"/>
          <w:bCs/>
          <w:sz w:val="30"/>
          <w:szCs w:val="30"/>
          <w:lang w:val="en-US" w:eastAsia="zh-CN"/>
        </w:rPr>
        <w:t>4.</w:t>
      </w:r>
      <w:r>
        <w:rPr>
          <w:rFonts w:hint="eastAsia" w:ascii="仿宋_GB2312" w:hAnsi="仿宋_GB2312" w:eastAsia="仿宋_GB2312" w:cs="仿宋_GB2312"/>
          <w:bCs/>
          <w:sz w:val="30"/>
          <w:szCs w:val="30"/>
        </w:rPr>
        <w:t>研究马克思列宁主义、毛泽东思想、邓小平理论、“三个代表”重要思想、科学发展观、习近平新时代中国特色社会主义思想的基本理论，研究社会主义现代化建设中重大现实和战略问题；围绕县委、县政府中心工作开展调查研究，为县委、县政府提供决策服务，开展干部教育研究。</w:t>
      </w:r>
    </w:p>
    <w:p w14:paraId="55815AEC">
      <w:pPr>
        <w:spacing w:line="520" w:lineRule="exact"/>
        <w:ind w:firstLine="627" w:firstLineChars="196"/>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（二）单位机构设置情况</w:t>
      </w:r>
    </w:p>
    <w:p w14:paraId="64731FE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从预算单位构成看，</w:t>
      </w:r>
      <w:r>
        <w:rPr>
          <w:rFonts w:hint="eastAsia" w:ascii="仿宋_GB2312" w:hAnsi="仿宋_GB2312" w:eastAsia="仿宋_GB2312" w:cs="仿宋_GB2312"/>
          <w:bCs/>
          <w:sz w:val="30"/>
          <w:szCs w:val="30"/>
          <w:lang w:eastAsia="zh-CN"/>
        </w:rPr>
        <w:t>中共</w:t>
      </w:r>
      <w:r>
        <w:rPr>
          <w:rFonts w:hint="eastAsia" w:ascii="仿宋_GB2312" w:hAnsi="仿宋_GB2312" w:eastAsia="仿宋_GB2312" w:cs="仿宋_GB2312"/>
          <w:bCs/>
          <w:sz w:val="30"/>
          <w:szCs w:val="30"/>
          <w:lang w:val="zh-CN"/>
        </w:rPr>
        <w:t>浦江县委党校</w:t>
      </w:r>
      <w:r>
        <w:rPr>
          <w:rFonts w:hint="eastAsia" w:ascii="仿宋_GB2312" w:hAnsi="仿宋_GB2312" w:eastAsia="仿宋_GB2312" w:cs="仿宋_GB2312"/>
          <w:bCs/>
          <w:sz w:val="30"/>
          <w:szCs w:val="30"/>
        </w:rPr>
        <w:t>预算包括：本级预算1个</w:t>
      </w:r>
      <w:r>
        <w:rPr>
          <w:rFonts w:hint="eastAsia" w:ascii="仿宋_GB2312" w:hAnsi="仿宋_GB2312" w:eastAsia="仿宋_GB2312" w:cs="仿宋_GB2312"/>
          <w:bCs/>
          <w:sz w:val="30"/>
          <w:szCs w:val="30"/>
          <w:lang w:eastAsia="zh-CN"/>
        </w:rPr>
        <w:t>，</w:t>
      </w:r>
      <w:r>
        <w:rPr>
          <w:rFonts w:hint="eastAsia" w:ascii="仿宋_GB2312" w:hAnsi="仿宋_GB2312" w:eastAsia="仿宋_GB2312" w:cs="仿宋_GB2312"/>
          <w:bCs/>
          <w:sz w:val="30"/>
          <w:szCs w:val="30"/>
        </w:rPr>
        <w:t>全额拨款事业单位。本单位内设：办公室、培训科、宣教科、调研科、后勤科。</w:t>
      </w:r>
    </w:p>
    <w:p w14:paraId="7AA0C387">
      <w:pPr>
        <w:spacing w:line="520" w:lineRule="exact"/>
        <w:rPr>
          <w:rFonts w:ascii="楷体_GB2312" w:hAnsi="楷体_GB2312" w:eastAsia="楷体_GB2312" w:cs="楷体_GB2312"/>
          <w:color w:val="000000"/>
          <w:sz w:val="32"/>
          <w:szCs w:val="32"/>
        </w:rPr>
      </w:pPr>
      <w:r>
        <w:rPr>
          <w:rStyle w:val="9"/>
          <w:rFonts w:hint="eastAsia" w:ascii="黑体" w:eastAsia="黑体"/>
          <w:b w:val="0"/>
          <w:color w:val="000000"/>
          <w:sz w:val="32"/>
          <w:szCs w:val="32"/>
        </w:rPr>
        <w:t>二、</w:t>
      </w:r>
      <w:r>
        <w:rPr>
          <w:rStyle w:val="9"/>
          <w:rFonts w:hint="eastAsia" w:ascii="黑体" w:eastAsia="黑体"/>
          <w:b w:val="0"/>
          <w:color w:val="000000"/>
          <w:sz w:val="32"/>
          <w:szCs w:val="32"/>
          <w:lang w:eastAsia="zh-CN"/>
        </w:rPr>
        <w:t>2026年</w:t>
      </w:r>
      <w:r>
        <w:rPr>
          <w:rStyle w:val="9"/>
          <w:rFonts w:hint="eastAsia" w:ascii="黑体" w:eastAsia="黑体"/>
          <w:b w:val="0"/>
          <w:color w:val="000000"/>
          <w:sz w:val="32"/>
          <w:szCs w:val="32"/>
        </w:rPr>
        <w:t>中共浦江县委党校单位预算安排情况说明</w:t>
      </w:r>
      <w:r>
        <w:rPr>
          <w:rFonts w:hint="eastAsia"/>
          <w:color w:val="000000"/>
          <w:sz w:val="32"/>
          <w:szCs w:val="32"/>
        </w:rPr>
        <w:br w:type="textWrapping"/>
      </w:r>
      <w:r>
        <w:rPr>
          <w:rFonts w:hint="eastAsia" w:ascii="仿宋_GB2312" w:eastAsia="仿宋_GB2312"/>
          <w:b/>
          <w:bCs/>
          <w:color w:val="000000"/>
          <w:sz w:val="32"/>
          <w:szCs w:val="32"/>
        </w:rPr>
        <w:t>　　</w:t>
      </w:r>
      <w:r>
        <w:rPr>
          <w:rFonts w:hint="eastAsia" w:ascii="楷体_GB2312" w:hAnsi="楷体_GB2312" w:eastAsia="楷体_GB2312" w:cs="楷体_GB2312"/>
          <w:color w:val="000000"/>
          <w:sz w:val="32"/>
          <w:szCs w:val="32"/>
        </w:rPr>
        <w:t>（一）关于中共浦江县委党校</w:t>
      </w:r>
      <w:r>
        <w:rPr>
          <w:rStyle w:val="9"/>
          <w:rFonts w:hint="eastAsia" w:ascii="楷体_GB2312" w:hAnsi="楷体_GB2312" w:eastAsia="楷体_GB2312" w:cs="楷体_GB2312"/>
          <w:b w:val="0"/>
          <w:bCs w:val="0"/>
          <w:color w:val="000000"/>
          <w:sz w:val="32"/>
          <w:szCs w:val="32"/>
          <w:lang w:eastAsia="zh-CN"/>
        </w:rPr>
        <w:t>2026年</w:t>
      </w:r>
      <w:r>
        <w:rPr>
          <w:rStyle w:val="9"/>
          <w:rFonts w:hint="eastAsia" w:ascii="楷体_GB2312" w:hAnsi="楷体_GB2312" w:eastAsia="楷体_GB2312" w:cs="楷体_GB2312"/>
          <w:b w:val="0"/>
          <w:bCs w:val="0"/>
          <w:color w:val="000000"/>
          <w:sz w:val="32"/>
          <w:szCs w:val="32"/>
        </w:rPr>
        <w:t>收支预算情况的总体说明</w:t>
      </w:r>
    </w:p>
    <w:p w14:paraId="54EA071D">
      <w:pPr>
        <w:spacing w:line="520" w:lineRule="exact"/>
        <w:rPr>
          <w:rFonts w:ascii="楷体_GB2312" w:hAnsi="楷体_GB2312" w:eastAsia="楷体_GB2312" w:cs="楷体_GB2312"/>
          <w:b/>
          <w:color w:val="000000"/>
          <w:sz w:val="32"/>
          <w:szCs w:val="32"/>
        </w:rPr>
      </w:pPr>
      <w:r>
        <w:rPr>
          <w:rFonts w:hint="eastAsia" w:ascii="仿宋_GB2312" w:eastAsia="仿宋_GB2312"/>
          <w:bCs/>
          <w:color w:val="000000"/>
          <w:sz w:val="32"/>
          <w:szCs w:val="32"/>
        </w:rPr>
        <w:t xml:space="preserve">    按照</w:t>
      </w:r>
      <w:r>
        <w:rPr>
          <w:rFonts w:hint="eastAsia" w:ascii="仿宋_GB2312" w:eastAsia="仿宋_GB2312"/>
          <w:bCs/>
          <w:sz w:val="32"/>
          <w:szCs w:val="32"/>
        </w:rPr>
        <w:t>综合预算的原则，中共浦江县委党校</w:t>
      </w:r>
      <w:r>
        <w:rPr>
          <w:rFonts w:hint="eastAsia" w:ascii="仿宋_GB2312" w:eastAsia="仿宋_GB2312"/>
          <w:color w:val="000000"/>
          <w:sz w:val="32"/>
          <w:szCs w:val="32"/>
        </w:rPr>
        <w:t>所有收入和支出均纳入部门预算管理。收入包括：一般公共预算拨款收入、政府性基金预算收入、财政专户管理资金收入；支出包括：支出包括</w:t>
      </w:r>
      <w:r>
        <w:rPr>
          <w:rFonts w:hint="eastAsia" w:ascii="仿宋_GB2312" w:eastAsia="仿宋_GB2312"/>
          <w:color w:val="000000" w:themeColor="text1"/>
          <w:sz w:val="32"/>
          <w:szCs w:val="32"/>
        </w:rPr>
        <w:t>：教育支出、社会保障和就业支出、卫生健康支出</w:t>
      </w:r>
      <w:r>
        <w:rPr>
          <w:rFonts w:hint="eastAsia" w:ascii="仿宋_GB2312" w:eastAsia="仿宋_GB2312"/>
          <w:color w:val="000000" w:themeColor="text1"/>
          <w:sz w:val="32"/>
          <w:szCs w:val="32"/>
          <w:lang w:eastAsia="zh-CN"/>
        </w:rPr>
        <w:t>、</w:t>
      </w:r>
      <w:r>
        <w:rPr>
          <w:rFonts w:hint="eastAsia" w:ascii="仿宋_GB2312" w:eastAsia="仿宋_GB2312"/>
          <w:color w:val="000000" w:themeColor="text1"/>
          <w:sz w:val="32"/>
          <w:szCs w:val="32"/>
        </w:rPr>
        <w:t>住房保障支出</w:t>
      </w:r>
      <w:r>
        <w:rPr>
          <w:rFonts w:hint="eastAsia" w:ascii="仿宋_GB2312" w:eastAsia="仿宋_GB2312"/>
          <w:color w:val="000000"/>
          <w:sz w:val="32"/>
          <w:szCs w:val="32"/>
        </w:rPr>
        <w:t>。中共浦江县委党校</w:t>
      </w:r>
      <w:r>
        <w:rPr>
          <w:rFonts w:hint="eastAsia" w:ascii="仿宋_GB2312" w:eastAsia="仿宋_GB2312"/>
          <w:color w:val="000000"/>
          <w:sz w:val="32"/>
          <w:szCs w:val="32"/>
          <w:lang w:eastAsia="zh-CN"/>
        </w:rPr>
        <w:t>2026年</w:t>
      </w:r>
      <w:r>
        <w:rPr>
          <w:rFonts w:hint="eastAsia" w:ascii="仿宋_GB2312" w:eastAsia="仿宋_GB2312"/>
          <w:color w:val="000000"/>
          <w:sz w:val="32"/>
          <w:szCs w:val="32"/>
        </w:rPr>
        <w:t>收支总预算774.74万元。</w:t>
      </w:r>
    </w:p>
    <w:p w14:paraId="3F9E6102">
      <w:pPr>
        <w:spacing w:line="520" w:lineRule="exact"/>
        <w:ind w:firstLine="642"/>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（二）关于中共浦江县委党校</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收入预算情况说明</w:t>
      </w:r>
    </w:p>
    <w:p w14:paraId="422F3D09">
      <w:pPr>
        <w:spacing w:line="520" w:lineRule="exact"/>
        <w:ind w:firstLine="642"/>
        <w:rPr>
          <w:rFonts w:ascii="仿宋_GB2312" w:eastAsia="仿宋_GB2312"/>
          <w:color w:val="auto"/>
          <w:sz w:val="32"/>
          <w:szCs w:val="32"/>
          <w:highlight w:val="none"/>
        </w:rPr>
      </w:pPr>
      <w:r>
        <w:rPr>
          <w:rFonts w:hint="eastAsia" w:ascii="仿宋_GB2312" w:hAnsi="仿宋_GB2312" w:eastAsia="仿宋_GB2312" w:cs="仿宋_GB2312"/>
          <w:color w:val="auto"/>
          <w:sz w:val="32"/>
          <w:szCs w:val="32"/>
          <w:highlight w:val="none"/>
        </w:rPr>
        <w:t>中共浦江县委党校</w:t>
      </w:r>
      <w:r>
        <w:rPr>
          <w:rFonts w:hint="eastAsia" w:ascii="仿宋_GB2312" w:hAnsi="仿宋_GB2312" w:eastAsia="仿宋_GB2312" w:cs="仿宋_GB2312"/>
          <w:color w:val="auto"/>
          <w:sz w:val="32"/>
          <w:szCs w:val="32"/>
          <w:highlight w:val="none"/>
          <w:lang w:eastAsia="zh-CN"/>
        </w:rPr>
        <w:t>2026年</w:t>
      </w:r>
      <w:r>
        <w:rPr>
          <w:rFonts w:hint="eastAsia" w:ascii="仿宋_GB2312" w:hAnsi="仿宋_GB2312" w:eastAsia="仿宋_GB2312" w:cs="仿宋_GB2312"/>
          <w:color w:val="auto"/>
          <w:sz w:val="32"/>
          <w:szCs w:val="32"/>
          <w:highlight w:val="none"/>
        </w:rPr>
        <w:t>收入预算774.74万元，比上年执行数</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lang w:val="en-US" w:eastAsia="zh-CN"/>
        </w:rPr>
        <w:t>38.2</w:t>
      </w:r>
      <w:r>
        <w:rPr>
          <w:rFonts w:hint="eastAsia" w:ascii="仿宋_GB2312" w:hAnsi="仿宋_GB2312" w:eastAsia="仿宋_GB2312" w:cs="仿宋_GB2312"/>
          <w:color w:val="auto"/>
          <w:sz w:val="32"/>
          <w:szCs w:val="32"/>
          <w:highlight w:val="none"/>
        </w:rPr>
        <w:t>万元，</w:t>
      </w:r>
      <w:r>
        <w:rPr>
          <w:rFonts w:hint="eastAsia" w:ascii="仿宋_GB2312" w:hAnsi="仿宋_GB2312" w:eastAsia="仿宋_GB2312" w:cs="仿宋_GB2312"/>
          <w:color w:val="auto"/>
          <w:sz w:val="30"/>
          <w:szCs w:val="30"/>
          <w:highlight w:val="none"/>
        </w:rPr>
        <w:t>下降</w:t>
      </w:r>
      <w:r>
        <w:rPr>
          <w:rFonts w:hint="eastAsia" w:ascii="仿宋_GB2312" w:hAnsi="仿宋_GB2312" w:eastAsia="仿宋_GB2312" w:cs="仿宋_GB2312"/>
          <w:color w:val="auto"/>
          <w:sz w:val="30"/>
          <w:szCs w:val="30"/>
          <w:highlight w:val="none"/>
          <w:lang w:val="en-US" w:eastAsia="zh-CN"/>
        </w:rPr>
        <w:t>4.93</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highlight w:val="none"/>
        </w:rPr>
        <w:t>%，</w:t>
      </w:r>
      <w:r>
        <w:rPr>
          <w:rFonts w:hint="eastAsia" w:ascii="仿宋_GB2312" w:hAnsi="仿宋_GB2312" w:eastAsia="仿宋_GB2312" w:cs="仿宋_GB2312"/>
          <w:color w:val="auto"/>
          <w:sz w:val="32"/>
          <w:szCs w:val="32"/>
          <w:highlight w:val="none"/>
        </w:rPr>
        <w:t>主要</w:t>
      </w:r>
      <w:r>
        <w:rPr>
          <w:rFonts w:hint="eastAsia" w:ascii="仿宋_GB2312" w:hAnsi="仿宋_GB2312" w:eastAsia="仿宋_GB2312" w:cs="仿宋_GB2312"/>
          <w:color w:val="auto"/>
          <w:sz w:val="30"/>
          <w:szCs w:val="30"/>
          <w:highlight w:val="none"/>
        </w:rPr>
        <w:t>是</w:t>
      </w:r>
      <w:r>
        <w:rPr>
          <w:rFonts w:hint="eastAsia" w:ascii="仿宋_GB2312" w:hAnsi="仿宋_GB2312" w:eastAsia="仿宋_GB2312" w:cs="仿宋_GB2312"/>
          <w:color w:val="auto"/>
          <w:sz w:val="30"/>
          <w:szCs w:val="30"/>
          <w:highlight w:val="none"/>
          <w:lang w:val="en-US" w:eastAsia="zh-CN"/>
        </w:rPr>
        <w:t>为压缩经费，节约开支</w:t>
      </w:r>
      <w:r>
        <w:rPr>
          <w:rFonts w:hint="eastAsia" w:ascii="仿宋_GB2312" w:hAnsi="仿宋_GB2312" w:eastAsia="仿宋_GB2312" w:cs="仿宋_GB2312"/>
          <w:color w:val="auto"/>
          <w:sz w:val="32"/>
          <w:szCs w:val="32"/>
          <w:highlight w:val="none"/>
        </w:rPr>
        <w:t>。</w:t>
      </w:r>
    </w:p>
    <w:p w14:paraId="46C3A44A">
      <w:pPr>
        <w:spacing w:line="520" w:lineRule="exact"/>
        <w:ind w:firstLine="642"/>
        <w:rPr>
          <w:rFonts w:ascii="仿宋_GB2312" w:eastAsia="仿宋_GB2312"/>
          <w:color w:val="000000"/>
          <w:sz w:val="32"/>
          <w:szCs w:val="32"/>
          <w:highlight w:val="none"/>
        </w:rPr>
      </w:pPr>
      <w:r>
        <w:rPr>
          <w:rFonts w:hint="eastAsia" w:ascii="仿宋_GB2312" w:eastAsia="仿宋_GB2312"/>
          <w:color w:val="000000"/>
          <w:sz w:val="32"/>
          <w:szCs w:val="32"/>
        </w:rPr>
        <w:t>其中：一般公共预算拨款收入</w:t>
      </w:r>
      <w:r>
        <w:rPr>
          <w:rFonts w:ascii="仿宋_GB2312" w:eastAsia="仿宋_GB2312"/>
          <w:color w:val="000000"/>
          <w:sz w:val="32"/>
          <w:szCs w:val="32"/>
        </w:rPr>
        <w:t>648.74</w:t>
      </w:r>
      <w:r>
        <w:rPr>
          <w:rFonts w:hint="eastAsia" w:ascii="仿宋_GB2312" w:eastAsia="仿宋_GB2312"/>
          <w:color w:val="000000"/>
          <w:sz w:val="32"/>
          <w:szCs w:val="32"/>
        </w:rPr>
        <w:t>万元（上年结转3.25万元），占83.7%；专户资金126.00万元，占16.3%。</w:t>
      </w:r>
      <w:r>
        <w:rPr>
          <w:rFonts w:hint="eastAsia" w:ascii="仿宋_GB2312" w:eastAsia="仿宋_GB2312"/>
          <w:color w:val="000000"/>
          <w:sz w:val="32"/>
          <w:szCs w:val="32"/>
        </w:rPr>
        <w:br w:type="textWrapping"/>
      </w:r>
      <w:r>
        <w:rPr>
          <w:rFonts w:hint="eastAsia" w:ascii="楷体_GB2312" w:hAnsi="楷体_GB2312" w:eastAsia="楷体_GB2312" w:cs="楷体_GB2312"/>
          <w:bCs/>
          <w:color w:val="000000"/>
          <w:sz w:val="32"/>
          <w:szCs w:val="32"/>
        </w:rPr>
        <w:t>　　（三）关于中共浦江县委党校</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支出预算情况说明</w:t>
      </w:r>
      <w:r>
        <w:rPr>
          <w:rFonts w:hint="eastAsia" w:ascii="楷体_GB2312" w:hAnsi="楷体_GB2312" w:eastAsia="楷体_GB2312" w:cs="楷体_GB2312"/>
          <w:bCs/>
          <w:color w:val="000000"/>
          <w:sz w:val="32"/>
          <w:szCs w:val="32"/>
        </w:rPr>
        <w:br w:type="textWrapping"/>
      </w:r>
      <w:r>
        <w:rPr>
          <w:rFonts w:hint="eastAsia" w:ascii="仿宋_GB2312" w:eastAsia="仿宋_GB2312"/>
          <w:color w:val="000000"/>
          <w:sz w:val="32"/>
          <w:szCs w:val="32"/>
        </w:rPr>
        <w:t>　</w:t>
      </w:r>
      <w:r>
        <w:rPr>
          <w:rFonts w:hint="eastAsia" w:ascii="仿宋_GB2312" w:hAnsi="仿宋_GB2312" w:eastAsia="仿宋_GB2312" w:cs="仿宋_GB2312"/>
          <w:color w:val="000000"/>
          <w:sz w:val="32"/>
          <w:szCs w:val="32"/>
          <w:highlight w:val="none"/>
        </w:rPr>
        <w:t>　中共浦江县委党校</w:t>
      </w:r>
      <w:r>
        <w:rPr>
          <w:rFonts w:hint="eastAsia" w:ascii="仿宋_GB2312" w:hAnsi="仿宋_GB2312" w:eastAsia="仿宋_GB2312" w:cs="仿宋_GB2312"/>
          <w:color w:val="000000"/>
          <w:sz w:val="32"/>
          <w:szCs w:val="32"/>
          <w:highlight w:val="none"/>
          <w:lang w:eastAsia="zh-CN"/>
        </w:rPr>
        <w:t>2026年</w:t>
      </w:r>
      <w:r>
        <w:rPr>
          <w:rFonts w:hint="eastAsia" w:ascii="仿宋_GB2312" w:hAnsi="仿宋_GB2312" w:eastAsia="仿宋_GB2312" w:cs="仿宋_GB2312"/>
          <w:color w:val="000000"/>
          <w:sz w:val="32"/>
          <w:szCs w:val="32"/>
          <w:highlight w:val="none"/>
        </w:rPr>
        <w:t>支出预算774.74万元，比上年执行数</w:t>
      </w:r>
      <w:r>
        <w:rPr>
          <w:rFonts w:hint="eastAsia" w:ascii="仿宋_GB2312" w:hAnsi="仿宋_GB2312" w:eastAsia="仿宋_GB2312" w:cs="仿宋_GB2312"/>
          <w:color w:val="000000"/>
          <w:sz w:val="32"/>
          <w:szCs w:val="32"/>
          <w:highlight w:val="none"/>
          <w:lang w:eastAsia="zh-CN"/>
        </w:rPr>
        <w:t>减少</w:t>
      </w:r>
      <w:r>
        <w:rPr>
          <w:rFonts w:hint="eastAsia" w:ascii="仿宋_GB2312" w:hAnsi="仿宋_GB2312" w:eastAsia="仿宋_GB2312" w:cs="仿宋_GB2312"/>
          <w:color w:val="000000"/>
          <w:sz w:val="32"/>
          <w:szCs w:val="32"/>
          <w:highlight w:val="none"/>
          <w:lang w:val="en-US" w:eastAsia="zh-CN"/>
        </w:rPr>
        <w:t>38.2</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0"/>
          <w:szCs w:val="30"/>
          <w:highlight w:val="none"/>
        </w:rPr>
        <w:t>下降</w:t>
      </w:r>
      <w:r>
        <w:rPr>
          <w:rFonts w:hint="eastAsia" w:ascii="仿宋_GB2312" w:hAnsi="仿宋_GB2312" w:eastAsia="仿宋_GB2312" w:cs="仿宋_GB2312"/>
          <w:color w:val="000000"/>
          <w:sz w:val="30"/>
          <w:szCs w:val="30"/>
          <w:highlight w:val="none"/>
          <w:lang w:val="en-US" w:eastAsia="zh-CN"/>
        </w:rPr>
        <w:t>4.93</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2"/>
          <w:szCs w:val="32"/>
          <w:highlight w:val="none"/>
        </w:rPr>
        <w:t>主要</w:t>
      </w:r>
      <w:r>
        <w:rPr>
          <w:rFonts w:hint="eastAsia" w:ascii="仿宋_GB2312" w:hAnsi="仿宋_GB2312" w:eastAsia="仿宋_GB2312" w:cs="仿宋_GB2312"/>
          <w:color w:val="000000"/>
          <w:sz w:val="30"/>
          <w:szCs w:val="30"/>
          <w:highlight w:val="none"/>
        </w:rPr>
        <w:t>是</w:t>
      </w:r>
      <w:r>
        <w:rPr>
          <w:rFonts w:hint="eastAsia" w:ascii="仿宋_GB2312" w:hAnsi="仿宋_GB2312" w:eastAsia="仿宋_GB2312" w:cs="仿宋_GB2312"/>
          <w:color w:val="000000"/>
          <w:sz w:val="30"/>
          <w:szCs w:val="30"/>
          <w:highlight w:val="none"/>
          <w:lang w:val="en-US" w:eastAsia="zh-CN"/>
        </w:rPr>
        <w:t>为压缩经费，节约开支</w:t>
      </w:r>
      <w:r>
        <w:rPr>
          <w:rFonts w:hint="eastAsia" w:ascii="仿宋_GB2312" w:hAnsi="仿宋_GB2312" w:eastAsia="仿宋_GB2312" w:cs="仿宋_GB2312"/>
          <w:color w:val="000000"/>
          <w:sz w:val="32"/>
          <w:szCs w:val="32"/>
          <w:highlight w:val="none"/>
        </w:rPr>
        <w:t>。</w:t>
      </w:r>
    </w:p>
    <w:p w14:paraId="07292158">
      <w:pPr>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1.按支出功能分类，包括教育支出643.27万元、社会保障和就业支出60.34万元、社会保险基金支出0.00万元、卫生健康支出20.95万元、农林水支出3.25万元、住房保障支出46.94万元。</w:t>
      </w:r>
    </w:p>
    <w:p w14:paraId="7CC60E74">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2.按支出用途分类，包括人员支出531.51万元，占68.6%；日常公用支出58.98万元，占7.6%；项目支出184.25万元，占23.8%。</w:t>
      </w:r>
    </w:p>
    <w:p w14:paraId="498188B1">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年终结转结余</w:t>
      </w:r>
      <w:r>
        <w:rPr>
          <w:rFonts w:hint="eastAsia" w:ascii="仿宋_GB2312" w:eastAsia="仿宋_GB2312"/>
          <w:color w:val="000000"/>
          <w:sz w:val="32"/>
          <w:szCs w:val="32"/>
          <w:lang w:val="en-US" w:eastAsia="zh-CN"/>
        </w:rPr>
        <w:t>3.25</w:t>
      </w:r>
      <w:r>
        <w:rPr>
          <w:rFonts w:hint="eastAsia" w:ascii="仿宋_GB2312" w:eastAsia="仿宋_GB2312"/>
          <w:color w:val="000000"/>
          <w:sz w:val="32"/>
          <w:szCs w:val="32"/>
        </w:rPr>
        <w:t>万元。</w:t>
      </w:r>
    </w:p>
    <w:p w14:paraId="029806AC">
      <w:pPr>
        <w:spacing w:line="520" w:lineRule="exact"/>
        <w:ind w:firstLine="627" w:firstLineChars="196"/>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（四）关于中共浦江县委党校</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财政拨款收支预算情况的总体说明</w:t>
      </w:r>
    </w:p>
    <w:p w14:paraId="1E689FD9">
      <w:pPr>
        <w:spacing w:line="520" w:lineRule="exact"/>
        <w:ind w:firstLine="640"/>
        <w:rPr>
          <w:rFonts w:ascii="仿宋_GB2312" w:eastAsia="仿宋_GB2312"/>
          <w:color w:val="000000"/>
          <w:sz w:val="32"/>
          <w:szCs w:val="32"/>
        </w:rPr>
      </w:pPr>
      <w:r>
        <w:rPr>
          <w:rFonts w:hint="eastAsia" w:ascii="仿宋_GB2312" w:eastAsia="仿宋_GB2312"/>
          <w:color w:val="000000"/>
          <w:sz w:val="32"/>
          <w:szCs w:val="32"/>
        </w:rPr>
        <w:t>中共浦江县委党校</w:t>
      </w:r>
      <w:r>
        <w:rPr>
          <w:rFonts w:hint="eastAsia" w:ascii="仿宋_GB2312" w:eastAsia="仿宋_GB2312"/>
          <w:color w:val="000000"/>
          <w:sz w:val="32"/>
          <w:szCs w:val="32"/>
          <w:lang w:eastAsia="zh-CN"/>
        </w:rPr>
        <w:t>2026年</w:t>
      </w:r>
      <w:r>
        <w:rPr>
          <w:rFonts w:hint="eastAsia" w:ascii="仿宋_GB2312" w:eastAsia="仿宋_GB2312"/>
          <w:color w:val="000000"/>
          <w:sz w:val="32"/>
          <w:szCs w:val="32"/>
        </w:rPr>
        <w:t>财政拨款收支总预算648.74万元。收入包括：一般公共预算648.74万元；支出包括：教育支出517.27万元、社会保障和就业支出60.34万元、卫生健康支出20.95万元、农林水支出3.25万元、住房保障支出46.94万元。</w:t>
      </w:r>
    </w:p>
    <w:p w14:paraId="519E5AF8">
      <w:pPr>
        <w:numPr>
          <w:ilvl w:val="0"/>
          <w:numId w:val="1"/>
        </w:numPr>
        <w:spacing w:line="520" w:lineRule="exact"/>
        <w:ind w:firstLine="640"/>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关于中共浦江县委党校</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一般公共预算拨款情况说明</w:t>
      </w:r>
    </w:p>
    <w:p w14:paraId="1719B676">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1.一般公共预算拨款规模变化情况。</w:t>
      </w:r>
    </w:p>
    <w:p w14:paraId="3C128D5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仿宋_GB2312" w:hAnsi="仿宋_GB2312" w:eastAsia="仿宋_GB2312" w:cs="仿宋_GB2312"/>
          <w:color w:val="000000"/>
          <w:sz w:val="30"/>
          <w:szCs w:val="30"/>
          <w:highlight w:val="none"/>
        </w:rPr>
      </w:pPr>
      <w:r>
        <w:rPr>
          <w:rFonts w:hint="eastAsia" w:ascii="仿宋_GB2312" w:hAnsi="仿宋_GB2312" w:eastAsia="仿宋_GB2312" w:cs="仿宋_GB2312"/>
          <w:color w:val="000000"/>
          <w:sz w:val="32"/>
          <w:szCs w:val="32"/>
          <w:highlight w:val="none"/>
        </w:rPr>
        <w:t>中共浦江县委党校</w:t>
      </w:r>
      <w:r>
        <w:rPr>
          <w:rFonts w:hint="eastAsia" w:ascii="仿宋_GB2312" w:hAnsi="仿宋_GB2312" w:eastAsia="仿宋_GB2312" w:cs="仿宋_GB2312"/>
          <w:color w:val="000000"/>
          <w:sz w:val="32"/>
          <w:szCs w:val="32"/>
          <w:highlight w:val="none"/>
          <w:lang w:eastAsia="zh-CN"/>
        </w:rPr>
        <w:t>2026年</w:t>
      </w:r>
      <w:r>
        <w:rPr>
          <w:rFonts w:hint="eastAsia" w:ascii="仿宋_GB2312" w:hAnsi="仿宋_GB2312" w:eastAsia="仿宋_GB2312" w:cs="仿宋_GB2312"/>
          <w:color w:val="000000"/>
          <w:sz w:val="32"/>
          <w:szCs w:val="32"/>
          <w:highlight w:val="none"/>
        </w:rPr>
        <w:t>一般公共预算拨款</w:t>
      </w:r>
      <w:r>
        <w:rPr>
          <w:rFonts w:hint="eastAsia" w:ascii="仿宋_GB2312" w:hAnsi="仿宋_GB2312" w:eastAsia="仿宋_GB2312" w:cs="仿宋_GB2312"/>
          <w:bCs/>
          <w:color w:val="000000"/>
          <w:sz w:val="32"/>
          <w:szCs w:val="32"/>
          <w:highlight w:val="none"/>
        </w:rPr>
        <w:t>648.74</w:t>
      </w:r>
      <w:r>
        <w:rPr>
          <w:rFonts w:hint="eastAsia" w:ascii="仿宋_GB2312" w:hAnsi="仿宋_GB2312" w:eastAsia="仿宋_GB2312" w:cs="仿宋_GB2312"/>
          <w:color w:val="000000"/>
          <w:sz w:val="32"/>
          <w:szCs w:val="32"/>
          <w:highlight w:val="none"/>
        </w:rPr>
        <w:t>万元，比上年执行数</w:t>
      </w:r>
      <w:r>
        <w:rPr>
          <w:rFonts w:hint="eastAsia" w:ascii="仿宋_GB2312" w:hAnsi="仿宋_GB2312" w:eastAsia="仿宋_GB2312" w:cs="仿宋_GB2312"/>
          <w:color w:val="000000"/>
          <w:sz w:val="32"/>
          <w:szCs w:val="32"/>
          <w:highlight w:val="none"/>
          <w:lang w:eastAsia="zh-CN"/>
        </w:rPr>
        <w:t>减少</w:t>
      </w:r>
      <w:r>
        <w:rPr>
          <w:rFonts w:hint="eastAsia" w:ascii="仿宋_GB2312" w:hAnsi="仿宋_GB2312" w:eastAsia="仿宋_GB2312" w:cs="仿宋_GB2312"/>
          <w:color w:val="000000"/>
          <w:sz w:val="32"/>
          <w:szCs w:val="32"/>
          <w:highlight w:val="none"/>
          <w:lang w:val="en-US" w:eastAsia="zh-CN"/>
        </w:rPr>
        <w:t>15.99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lang w:eastAsia="zh-CN"/>
        </w:rPr>
        <w:t>下降</w:t>
      </w:r>
      <w:r>
        <w:rPr>
          <w:rFonts w:hint="eastAsia" w:ascii="仿宋_GB2312" w:hAnsi="仿宋_GB2312" w:eastAsia="仿宋_GB2312" w:cs="仿宋_GB2312"/>
          <w:color w:val="000000"/>
          <w:sz w:val="32"/>
          <w:highlight w:val="none"/>
          <w:lang w:val="en-US" w:eastAsia="zh-CN"/>
        </w:rPr>
        <w:t>2.46</w:t>
      </w:r>
      <w:r>
        <w:rPr>
          <w:rFonts w:hint="eastAsia" w:ascii="仿宋_GB2312" w:hAnsi="仿宋_GB2312" w:eastAsia="仿宋_GB2312" w:cs="仿宋_GB2312"/>
          <w:color w:val="000000"/>
          <w:sz w:val="32"/>
          <w:highlight w:val="none"/>
        </w:rPr>
        <w:t>%，</w:t>
      </w:r>
      <w:r>
        <w:rPr>
          <w:rFonts w:hint="eastAsia" w:ascii="仿宋_GB2312" w:hAnsi="仿宋_GB2312" w:eastAsia="仿宋_GB2312" w:cs="仿宋_GB2312"/>
          <w:color w:val="000000"/>
          <w:sz w:val="30"/>
          <w:szCs w:val="30"/>
          <w:highlight w:val="none"/>
        </w:rPr>
        <w:t>主要是</w:t>
      </w:r>
      <w:r>
        <w:rPr>
          <w:rFonts w:hint="eastAsia" w:ascii="仿宋_GB2312" w:hAnsi="仿宋_GB2312" w:eastAsia="仿宋_GB2312" w:cs="仿宋_GB2312"/>
          <w:color w:val="000000"/>
          <w:sz w:val="30"/>
          <w:szCs w:val="30"/>
          <w:highlight w:val="none"/>
          <w:lang w:eastAsia="zh-CN"/>
        </w:rPr>
        <w:t>教育支出、社会保障和就业支出、卫生健康支出、住房保障支出等项目均有所减少</w:t>
      </w:r>
      <w:r>
        <w:rPr>
          <w:rFonts w:hint="eastAsia" w:ascii="仿宋_GB2312" w:hAnsi="仿宋_GB2312" w:eastAsia="仿宋_GB2312" w:cs="仿宋_GB2312"/>
          <w:color w:val="000000"/>
          <w:sz w:val="30"/>
          <w:szCs w:val="30"/>
          <w:highlight w:val="none"/>
        </w:rPr>
        <w:t>。</w:t>
      </w:r>
    </w:p>
    <w:p w14:paraId="2A1883C7">
      <w:pPr>
        <w:spacing w:line="520" w:lineRule="exact"/>
        <w:ind w:firstLine="643"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2.一般公共预算拨款结构情况。</w:t>
      </w:r>
    </w:p>
    <w:p w14:paraId="19F273F9">
      <w:pPr>
        <w:spacing w:line="520"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教育支出517.27万元，占79.7%；社会保障和就业支出60.34万元，占9.3%；卫生健康支出20.95万元，占3.2%；农林水支出3.25万元，占0.5%；住房保障支出46.94万元，占7.2%。</w:t>
      </w:r>
    </w:p>
    <w:p w14:paraId="01DAE59A">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3.一般公共预算拨款具体使用情况。</w:t>
      </w:r>
    </w:p>
    <w:p w14:paraId="5ACD193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（1）教育支出（205类）进修</w:t>
      </w:r>
      <w:r>
        <w:rPr>
          <w:rFonts w:hint="eastAsia" w:ascii="仿宋_GB2312" w:hAnsi="仿宋_GB2312" w:eastAsia="仿宋_GB2312" w:cs="仿宋_GB2312"/>
          <w:color w:val="000000"/>
          <w:sz w:val="32"/>
          <w:szCs w:val="32"/>
          <w:lang w:eastAsia="zh-CN"/>
        </w:rPr>
        <w:t>及</w:t>
      </w:r>
      <w:r>
        <w:rPr>
          <w:rFonts w:hint="eastAsia" w:ascii="仿宋_GB2312" w:hAnsi="仿宋_GB2312" w:eastAsia="仿宋_GB2312" w:cs="仿宋_GB2312"/>
          <w:color w:val="000000"/>
          <w:sz w:val="32"/>
          <w:szCs w:val="32"/>
        </w:rPr>
        <w:t>培训（08款）干部教育（02项）</w:t>
      </w:r>
      <w:r>
        <w:rPr>
          <w:rFonts w:hint="eastAsia" w:ascii="仿宋_GB2312" w:hAnsi="仿宋_GB2312" w:eastAsia="仿宋_GB2312" w:cs="仿宋_GB2312"/>
          <w:color w:val="000000"/>
          <w:sz w:val="32"/>
          <w:szCs w:val="32"/>
          <w:lang w:val="en-US" w:eastAsia="zh-CN"/>
        </w:rPr>
        <w:t>517.27</w:t>
      </w:r>
      <w:r>
        <w:rPr>
          <w:rFonts w:hint="eastAsia" w:ascii="仿宋_GB2312" w:hAnsi="仿宋_GB2312" w:eastAsia="仿宋_GB2312" w:cs="仿宋_GB2312"/>
          <w:color w:val="000000"/>
          <w:sz w:val="32"/>
          <w:szCs w:val="32"/>
        </w:rPr>
        <w:t>万元，主要用于工资福利支出、商品服务支出、对个人和家庭补助支出、教学科研、运行经费、培训支出等</w:t>
      </w:r>
      <w:r>
        <w:rPr>
          <w:rFonts w:hint="eastAsia" w:ascii="仿宋_GB2312" w:hAnsi="仿宋_GB2312" w:eastAsia="仿宋_GB2312" w:cs="仿宋_GB2312"/>
          <w:color w:val="000000"/>
          <w:sz w:val="32"/>
          <w:szCs w:val="32"/>
          <w:lang w:eastAsia="zh-CN"/>
        </w:rPr>
        <w:t>。</w:t>
      </w:r>
    </w:p>
    <w:p w14:paraId="19426C6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）社会保障和就业支出（208类）行政事业单位养老支出（05款）机关事业单位基本养老保险缴费支出（05项）</w:t>
      </w:r>
      <w:r>
        <w:rPr>
          <w:rFonts w:hint="eastAsia" w:ascii="仿宋_GB2312" w:hAnsi="仿宋_GB2312" w:eastAsia="仿宋_GB2312" w:cs="仿宋_GB2312"/>
          <w:color w:val="000000"/>
          <w:sz w:val="32"/>
          <w:szCs w:val="32"/>
          <w:lang w:val="en-US" w:eastAsia="zh-CN"/>
        </w:rPr>
        <w:t>39.89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主要用于单位基本养老保险缴费支出。</w:t>
      </w:r>
    </w:p>
    <w:p w14:paraId="0719BB3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）社会保障和就业支出（208类）行政事业单位养老支出（05款）机关事业单位职业年金缴费支出（06项）</w:t>
      </w:r>
      <w:r>
        <w:rPr>
          <w:rFonts w:hint="eastAsia" w:ascii="仿宋_GB2312" w:hAnsi="仿宋_GB2312" w:eastAsia="仿宋_GB2312" w:cs="仿宋_GB2312"/>
          <w:color w:val="000000"/>
          <w:sz w:val="32"/>
          <w:szCs w:val="32"/>
          <w:lang w:val="en-US" w:eastAsia="zh-CN"/>
        </w:rPr>
        <w:t>19.95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主要用于单位职业年金缴费支出。</w:t>
      </w:r>
    </w:p>
    <w:p w14:paraId="046D5F9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）社会保障和就业支出（208类）其他社会保障和就业支出（99款）其他社会保障和就业支出</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0.50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000000"/>
          <w:sz w:val="32"/>
          <w:szCs w:val="32"/>
        </w:rPr>
        <w:t>主要用于单位失业保险和工伤保险支出。</w:t>
      </w:r>
    </w:p>
    <w:p w14:paraId="0FB1B47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）卫生健康支出（210类）行政事业单位医疗（11款）行政单位医疗（01项）</w:t>
      </w:r>
      <w:r>
        <w:rPr>
          <w:rFonts w:hint="eastAsia" w:ascii="仿宋_GB2312" w:hAnsi="仿宋_GB2312" w:eastAsia="仿宋_GB2312" w:cs="仿宋_GB2312"/>
          <w:color w:val="000000"/>
          <w:sz w:val="32"/>
          <w:szCs w:val="32"/>
          <w:lang w:val="en-US" w:eastAsia="zh-CN"/>
        </w:rPr>
        <w:t>18.70</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主要用于单位基本医疗保险支出。</w:t>
      </w:r>
    </w:p>
    <w:p w14:paraId="1599221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）卫生健康支出（210类）行政事业单位医疗（11款）公务员医疗补助（0</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val="en-US" w:eastAsia="zh-CN"/>
        </w:rPr>
        <w:t>2.25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主要用于单位</w:t>
      </w:r>
      <w:r>
        <w:rPr>
          <w:rFonts w:hint="eastAsia" w:ascii="仿宋_GB2312" w:hAnsi="仿宋_GB2312" w:eastAsia="仿宋_GB2312" w:cs="仿宋_GB2312"/>
          <w:color w:val="000000"/>
          <w:sz w:val="32"/>
          <w:szCs w:val="32"/>
          <w:lang w:eastAsia="zh-CN"/>
        </w:rPr>
        <w:t>公务员医疗补助</w:t>
      </w:r>
      <w:r>
        <w:rPr>
          <w:rFonts w:hint="eastAsia" w:ascii="仿宋_GB2312" w:hAnsi="仿宋_GB2312" w:eastAsia="仿宋_GB2312" w:cs="仿宋_GB2312"/>
          <w:color w:val="000000"/>
          <w:sz w:val="32"/>
          <w:szCs w:val="32"/>
        </w:rPr>
        <w:t>支出。</w:t>
      </w:r>
    </w:p>
    <w:p w14:paraId="77AC545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农村水支出</w:t>
      </w:r>
      <w:r>
        <w:rPr>
          <w:rFonts w:hint="eastAsia" w:ascii="仿宋_GB2312" w:hAnsi="仿宋_GB2312" w:eastAsia="仿宋_GB2312" w:cs="仿宋_GB2312"/>
          <w:color w:val="000000"/>
          <w:sz w:val="32"/>
          <w:szCs w:val="32"/>
        </w:rPr>
        <w:t>（21</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类）</w:t>
      </w:r>
      <w:r>
        <w:rPr>
          <w:rFonts w:hint="eastAsia" w:ascii="仿宋_GB2312" w:hAnsi="仿宋_GB2312" w:eastAsia="仿宋_GB2312" w:cs="仿宋_GB2312"/>
          <w:color w:val="000000"/>
          <w:sz w:val="32"/>
          <w:szCs w:val="32"/>
          <w:lang w:eastAsia="zh-CN"/>
        </w:rPr>
        <w:t>农业农村</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1款）</w:t>
      </w:r>
      <w:r>
        <w:rPr>
          <w:rFonts w:hint="eastAsia" w:ascii="仿宋_GB2312" w:hAnsi="仿宋_GB2312" w:eastAsia="仿宋_GB2312" w:cs="仿宋_GB2312"/>
          <w:color w:val="000000"/>
          <w:sz w:val="32"/>
          <w:szCs w:val="32"/>
          <w:lang w:eastAsia="zh-CN"/>
        </w:rPr>
        <w:t>其他农业农村支出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项）</w:t>
      </w:r>
      <w:r>
        <w:rPr>
          <w:rFonts w:hint="eastAsia" w:ascii="仿宋_GB2312" w:hAnsi="仿宋_GB2312" w:eastAsia="仿宋_GB2312" w:cs="仿宋_GB2312"/>
          <w:color w:val="000000"/>
          <w:sz w:val="32"/>
          <w:szCs w:val="32"/>
          <w:lang w:val="en-US" w:eastAsia="zh-CN"/>
        </w:rPr>
        <w:t>3.25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主要用于</w:t>
      </w:r>
      <w:r>
        <w:rPr>
          <w:rFonts w:hint="eastAsia" w:ascii="仿宋_GB2312" w:hAnsi="仿宋_GB2312" w:eastAsia="仿宋_GB2312" w:cs="仿宋_GB2312"/>
          <w:color w:val="000000"/>
          <w:sz w:val="32"/>
          <w:szCs w:val="32"/>
          <w:lang w:eastAsia="zh-CN"/>
        </w:rPr>
        <w:t>高素质农民培训</w:t>
      </w:r>
      <w:r>
        <w:rPr>
          <w:rFonts w:hint="eastAsia" w:ascii="仿宋_GB2312" w:hAnsi="仿宋_GB2312" w:eastAsia="仿宋_GB2312" w:cs="仿宋_GB2312"/>
          <w:color w:val="000000"/>
          <w:sz w:val="32"/>
          <w:szCs w:val="32"/>
        </w:rPr>
        <w:t>支出。</w:t>
      </w:r>
    </w:p>
    <w:p w14:paraId="70583F2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）住房保障支出（221类）住房改革支出（02款）住房公积金（01项）</w:t>
      </w:r>
      <w:r>
        <w:rPr>
          <w:rFonts w:hint="eastAsia" w:ascii="仿宋_GB2312" w:hAnsi="仿宋_GB2312" w:eastAsia="仿宋_GB2312" w:cs="仿宋_GB2312"/>
          <w:color w:val="000000"/>
          <w:sz w:val="32"/>
          <w:szCs w:val="32"/>
          <w:lang w:val="en-US" w:eastAsia="zh-CN"/>
        </w:rPr>
        <w:t>46.94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主要用于住房公积金缴费支出。</w:t>
      </w:r>
    </w:p>
    <w:p w14:paraId="566BA5F8">
      <w:pPr>
        <w:spacing w:line="520" w:lineRule="exact"/>
        <w:ind w:firstLine="320" w:firstLineChars="100"/>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（六）关于中共浦江县委党校</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一般公共预算基本支出情况说明</w:t>
      </w:r>
    </w:p>
    <w:p w14:paraId="44E06991">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rPr>
        <w:t>中共浦江县委党校</w:t>
      </w:r>
      <w:r>
        <w:rPr>
          <w:rFonts w:hint="eastAsia" w:ascii="仿宋_GB2312" w:eastAsia="仿宋_GB2312"/>
          <w:color w:val="000000"/>
          <w:sz w:val="32"/>
          <w:szCs w:val="32"/>
          <w:lang w:eastAsia="zh-CN"/>
        </w:rPr>
        <w:t>2026年</w:t>
      </w:r>
      <w:r>
        <w:rPr>
          <w:rFonts w:hint="eastAsia" w:ascii="仿宋_GB2312" w:eastAsia="仿宋_GB2312"/>
          <w:color w:val="000000"/>
          <w:sz w:val="32"/>
          <w:szCs w:val="32"/>
        </w:rPr>
        <w:t>一般公共预算基本支出590.49万元，其中：</w:t>
      </w:r>
    </w:p>
    <w:p w14:paraId="1BF541EC">
      <w:pPr>
        <w:keepNext w:val="0"/>
        <w:keepLines w:val="0"/>
        <w:pageBreakBefore w:val="0"/>
        <w:kinsoku/>
        <w:wordWrap/>
        <w:overflowPunct/>
        <w:topLinePunct w:val="0"/>
        <w:bidi w:val="0"/>
        <w:spacing w:line="360" w:lineRule="auto"/>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人员</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531.51万元，主要包括：</w:t>
      </w:r>
      <w:r>
        <w:rPr>
          <w:rFonts w:hint="eastAsia" w:ascii="仿宋_GB2312" w:eastAsia="仿宋_GB2312"/>
          <w:color w:val="000000" w:themeColor="text1"/>
          <w:sz w:val="32"/>
          <w:szCs w:val="32"/>
        </w:rPr>
        <w:t>基本工资、津贴补贴、奖金、</w:t>
      </w:r>
      <w:r>
        <w:rPr>
          <w:rFonts w:hint="eastAsia" w:ascii="仿宋_GB2312" w:eastAsia="仿宋_GB2312"/>
          <w:color w:val="000000" w:themeColor="text1"/>
          <w:sz w:val="32"/>
          <w:szCs w:val="32"/>
          <w:lang w:eastAsia="zh-CN"/>
        </w:rPr>
        <w:t>伙食补助费、</w:t>
      </w:r>
      <w:r>
        <w:rPr>
          <w:rFonts w:hint="eastAsia" w:ascii="仿宋_GB2312" w:eastAsia="仿宋_GB2312"/>
          <w:color w:val="000000" w:themeColor="text1"/>
          <w:sz w:val="32"/>
          <w:szCs w:val="32"/>
        </w:rPr>
        <w:t>绩效工资、机关事业单位基本养老保险缴费、职业年金缴费、职工基本医疗保险缴费、公务员医疗补助缴费、其他社会保障缴费、住房公积金、</w:t>
      </w:r>
      <w:r>
        <w:rPr>
          <w:rFonts w:hint="eastAsia" w:ascii="仿宋_GB2312" w:eastAsia="仿宋_GB2312"/>
          <w:color w:val="000000" w:themeColor="text1"/>
          <w:sz w:val="32"/>
          <w:szCs w:val="32"/>
          <w:lang w:eastAsia="zh-CN"/>
        </w:rPr>
        <w:t>医疗费、</w:t>
      </w:r>
      <w:r>
        <w:rPr>
          <w:rFonts w:hint="eastAsia" w:ascii="仿宋_GB2312" w:eastAsia="仿宋_GB2312"/>
          <w:color w:val="000000" w:themeColor="text1"/>
          <w:sz w:val="32"/>
          <w:szCs w:val="32"/>
        </w:rPr>
        <w:t>其他工资福利支出</w:t>
      </w:r>
      <w:r>
        <w:rPr>
          <w:rFonts w:hint="eastAsia" w:ascii="仿宋_GB2312" w:eastAsia="仿宋_GB2312"/>
          <w:color w:val="000000" w:themeColor="text1"/>
          <w:sz w:val="32"/>
          <w:szCs w:val="32"/>
          <w:lang w:eastAsia="zh-CN"/>
        </w:rPr>
        <w:t>、商品和服务支出、工会经费、其他交通费用、其他商品和服务支出、</w:t>
      </w:r>
      <w:r>
        <w:rPr>
          <w:rFonts w:hint="eastAsia" w:ascii="仿宋_GB2312" w:eastAsia="仿宋_GB2312"/>
          <w:color w:val="000000" w:themeColor="text1"/>
          <w:sz w:val="32"/>
          <w:szCs w:val="32"/>
        </w:rPr>
        <w:t>对个人和家庭的</w:t>
      </w:r>
      <w:r>
        <w:rPr>
          <w:rFonts w:hint="eastAsia" w:ascii="仿宋_GB2312" w:eastAsia="仿宋_GB2312"/>
          <w:color w:val="000000" w:themeColor="text1"/>
          <w:sz w:val="32"/>
          <w:szCs w:val="32"/>
          <w:lang w:eastAsia="zh-CN"/>
        </w:rPr>
        <w:t>生活</w:t>
      </w:r>
      <w:r>
        <w:rPr>
          <w:rFonts w:hint="eastAsia" w:ascii="仿宋_GB2312" w:eastAsia="仿宋_GB2312"/>
          <w:color w:val="000000" w:themeColor="text1"/>
          <w:sz w:val="32"/>
          <w:szCs w:val="32"/>
        </w:rPr>
        <w:t>补助</w:t>
      </w:r>
      <w:r>
        <w:rPr>
          <w:rFonts w:hint="eastAsia" w:ascii="仿宋_GB2312" w:eastAsia="仿宋_GB2312"/>
          <w:color w:val="000000" w:themeColor="text1"/>
          <w:sz w:val="32"/>
          <w:szCs w:val="32"/>
          <w:lang w:val="en-US" w:eastAsia="zh-CN"/>
        </w:rPr>
        <w:t>等</w:t>
      </w:r>
      <w:r>
        <w:rPr>
          <w:rFonts w:hint="eastAsia" w:ascii="仿宋_GB2312" w:eastAsia="仿宋_GB2312"/>
          <w:color w:val="000000"/>
          <w:sz w:val="32"/>
          <w:szCs w:val="32"/>
        </w:rPr>
        <w:t>；</w:t>
      </w:r>
    </w:p>
    <w:p w14:paraId="04B269E4">
      <w:pPr>
        <w:spacing w:line="520" w:lineRule="exact"/>
        <w:ind w:firstLine="642"/>
        <w:rPr>
          <w:rFonts w:ascii="仿宋_GB2312" w:eastAsia="仿宋_GB2312"/>
          <w:color w:val="000000"/>
          <w:sz w:val="32"/>
          <w:szCs w:val="32"/>
        </w:rPr>
      </w:pPr>
      <w:r>
        <w:rPr>
          <w:rFonts w:hint="eastAsia" w:ascii="仿宋_GB2312" w:eastAsia="仿宋_GB2312"/>
          <w:color w:val="000000"/>
          <w:sz w:val="32"/>
          <w:szCs w:val="32"/>
          <w:lang w:val="en-US" w:eastAsia="zh-CN"/>
        </w:rPr>
        <w:t>日常</w:t>
      </w:r>
      <w:r>
        <w:rPr>
          <w:rFonts w:hint="eastAsia" w:ascii="仿宋_GB2312" w:eastAsia="仿宋_GB2312"/>
          <w:color w:val="000000"/>
          <w:sz w:val="32"/>
          <w:szCs w:val="32"/>
        </w:rPr>
        <w:t>公用</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58.98万元，主要包括：办公费、印刷费、咨询费、手续费、水费、电费、邮电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办公设备购置</w:t>
      </w:r>
      <w:r>
        <w:rPr>
          <w:rFonts w:hint="eastAsia" w:ascii="仿宋_GB2312" w:eastAsia="仿宋_GB2312"/>
          <w:color w:val="000000"/>
          <w:sz w:val="32"/>
          <w:szCs w:val="32"/>
          <w:lang w:val="en-US" w:eastAsia="zh-CN"/>
        </w:rPr>
        <w:t>等</w:t>
      </w:r>
      <w:r>
        <w:rPr>
          <w:rFonts w:hint="eastAsia" w:ascii="仿宋_GB2312" w:eastAsia="仿宋_GB2312"/>
          <w:color w:val="000000"/>
          <w:sz w:val="32"/>
          <w:szCs w:val="32"/>
        </w:rPr>
        <w:t>。</w:t>
      </w:r>
    </w:p>
    <w:p w14:paraId="102478C7">
      <w:pPr>
        <w:spacing w:line="520" w:lineRule="exact"/>
        <w:ind w:firstLine="642"/>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（七）关于中共浦江县委党校</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color w:val="000000"/>
          <w:sz w:val="32"/>
          <w:szCs w:val="32"/>
        </w:rPr>
        <w:t>政府性基金预算支出情况说明</w:t>
      </w:r>
    </w:p>
    <w:p w14:paraId="1080EC79">
      <w:pPr>
        <w:ind w:firstLine="640" w:firstLineChars="200"/>
        <w:rPr>
          <w:rFonts w:hint="eastAsia" w:eastAsia="仿宋_GB2312"/>
          <w:lang w:eastAsia="zh-CN"/>
        </w:rPr>
      </w:pPr>
      <w:r>
        <w:rPr>
          <w:rFonts w:hint="eastAsia" w:ascii="仿宋_GB2312" w:hAnsi="仿宋_GB2312" w:eastAsia="仿宋_GB2312" w:cs="仿宋_GB2312"/>
          <w:color w:val="000000"/>
          <w:sz w:val="32"/>
          <w:szCs w:val="32"/>
        </w:rPr>
        <w:t>中共浦江县委党校</w:t>
      </w:r>
      <w:r>
        <w:rPr>
          <w:rFonts w:hint="eastAsia" w:ascii="仿宋_GB2312" w:hAnsi="仿宋_GB2312" w:eastAsia="仿宋_GB2312" w:cs="仿宋_GB2312"/>
          <w:color w:val="000000"/>
          <w:sz w:val="32"/>
          <w:szCs w:val="32"/>
          <w:lang w:eastAsia="zh-CN"/>
        </w:rPr>
        <w:t>2026年</w:t>
      </w:r>
      <w:r>
        <w:rPr>
          <w:rFonts w:hint="eastAsia" w:ascii="仿宋_GB2312" w:hAnsi="仿宋_GB2312" w:eastAsia="仿宋_GB2312" w:cs="仿宋_GB2312"/>
          <w:color w:val="000000"/>
          <w:sz w:val="32"/>
          <w:szCs w:val="32"/>
        </w:rPr>
        <w:t>没有使用政府性基金预算拨款安排的支出</w:t>
      </w:r>
      <w:r>
        <w:rPr>
          <w:rFonts w:hint="eastAsia" w:ascii="仿宋_GB2312" w:eastAsia="仿宋_GB2312"/>
          <w:color w:val="000000"/>
          <w:sz w:val="32"/>
          <w:szCs w:val="32"/>
          <w:lang w:eastAsia="zh-CN"/>
        </w:rPr>
        <w:t>。</w:t>
      </w:r>
    </w:p>
    <w:p w14:paraId="3AA7A194">
      <w:pPr>
        <w:spacing w:line="520" w:lineRule="exact"/>
        <w:ind w:firstLine="627" w:firstLineChars="196"/>
        <w:rPr>
          <w:rFonts w:ascii="楷体_GB2312" w:hAnsi="楷体_GB2312" w:eastAsia="楷体_GB2312" w:cs="楷体_GB2312"/>
          <w:bCs/>
          <w:color w:val="000000"/>
          <w:sz w:val="32"/>
          <w:szCs w:val="32"/>
          <w:highlight w:val="none"/>
        </w:rPr>
      </w:pPr>
      <w:r>
        <w:rPr>
          <w:rFonts w:hint="eastAsia" w:ascii="楷体_GB2312" w:hAnsi="楷体_GB2312" w:eastAsia="楷体_GB2312" w:cs="楷体_GB2312"/>
          <w:bCs/>
          <w:color w:val="000000"/>
          <w:sz w:val="32"/>
          <w:szCs w:val="32"/>
          <w:highlight w:val="none"/>
        </w:rPr>
        <w:t>（八）关于</w:t>
      </w:r>
      <w:r>
        <w:rPr>
          <w:rFonts w:ascii="楷体_GB2312" w:hAnsi="楷体_GB2312" w:eastAsia="楷体_GB2312" w:cs="楷体_GB2312"/>
          <w:bCs/>
          <w:color w:val="000000"/>
          <w:sz w:val="32"/>
          <w:szCs w:val="32"/>
          <w:highlight w:val="none"/>
        </w:rPr>
        <w:t>中共浦江县委党校</w:t>
      </w:r>
      <w:r>
        <w:rPr>
          <w:rFonts w:hint="eastAsia" w:ascii="楷体_GB2312" w:hAnsi="楷体_GB2312" w:eastAsia="楷体_GB2312" w:cs="楷体_GB2312"/>
          <w:bCs/>
          <w:color w:val="000000"/>
          <w:sz w:val="32"/>
          <w:szCs w:val="32"/>
          <w:highlight w:val="none"/>
          <w:lang w:eastAsia="zh-CN"/>
        </w:rPr>
        <w:t>2026年</w:t>
      </w:r>
      <w:r>
        <w:rPr>
          <w:rFonts w:hint="eastAsia" w:ascii="楷体_GB2312" w:hAnsi="楷体_GB2312" w:eastAsia="楷体_GB2312" w:cs="楷体_GB2312"/>
          <w:bCs/>
          <w:color w:val="000000"/>
          <w:sz w:val="32"/>
          <w:szCs w:val="32"/>
          <w:highlight w:val="none"/>
        </w:rPr>
        <w:t>国有资本经营预算支出情况说明</w:t>
      </w:r>
    </w:p>
    <w:p w14:paraId="7DEC57B6">
      <w:pPr>
        <w:ind w:firstLine="640" w:firstLineChars="200"/>
        <w:rPr>
          <w:rFonts w:hint="eastAsia" w:eastAsia="仿宋_GB2312"/>
          <w:highlight w:val="none"/>
          <w:lang w:eastAsia="zh-CN"/>
        </w:rPr>
      </w:pPr>
      <w:r>
        <w:rPr>
          <w:rFonts w:hint="eastAsia" w:ascii="仿宋_GB2312" w:hAnsi="仿宋_GB2312" w:eastAsia="仿宋_GB2312" w:cs="仿宋_GB2312"/>
          <w:color w:val="000000"/>
          <w:sz w:val="32"/>
          <w:szCs w:val="32"/>
          <w:highlight w:val="none"/>
        </w:rPr>
        <w:t>中共浦江县委党校</w:t>
      </w:r>
      <w:r>
        <w:rPr>
          <w:rFonts w:hint="eastAsia" w:ascii="仿宋_GB2312" w:hAnsi="仿宋_GB2312" w:eastAsia="仿宋_GB2312" w:cs="仿宋_GB2312"/>
          <w:color w:val="000000"/>
          <w:sz w:val="32"/>
          <w:szCs w:val="32"/>
          <w:highlight w:val="none"/>
          <w:lang w:eastAsia="zh-CN"/>
        </w:rPr>
        <w:t>2026年</w:t>
      </w:r>
      <w:r>
        <w:rPr>
          <w:rFonts w:hint="eastAsia" w:ascii="仿宋_GB2312" w:hAnsi="仿宋_GB2312" w:eastAsia="仿宋_GB2312" w:cs="仿宋_GB2312"/>
          <w:color w:val="000000"/>
          <w:sz w:val="32"/>
          <w:szCs w:val="32"/>
          <w:highlight w:val="none"/>
        </w:rPr>
        <w:t>没有使用国有资本经营预算拨款安排的支出</w:t>
      </w:r>
      <w:r>
        <w:rPr>
          <w:rFonts w:hint="eastAsia" w:ascii="仿宋_GB2312" w:hAnsi="仿宋_GB2312" w:eastAsia="仿宋_GB2312" w:cs="仿宋_GB2312"/>
          <w:color w:val="000000"/>
          <w:sz w:val="32"/>
          <w:szCs w:val="32"/>
          <w:highlight w:val="none"/>
          <w:lang w:eastAsia="zh-CN"/>
        </w:rPr>
        <w:t>。</w:t>
      </w:r>
    </w:p>
    <w:p w14:paraId="0FD6D502">
      <w:pPr>
        <w:spacing w:line="520" w:lineRule="exact"/>
        <w:ind w:firstLine="627" w:firstLineChars="196"/>
        <w:rPr>
          <w:rFonts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（九）关于中共浦江县委党校</w:t>
      </w:r>
      <w:r>
        <w:rPr>
          <w:rFonts w:hint="eastAsia" w:ascii="楷体_GB2312" w:hAnsi="楷体_GB2312" w:eastAsia="楷体_GB2312" w:cs="楷体_GB2312"/>
          <w:bCs/>
          <w:color w:val="000000"/>
          <w:sz w:val="32"/>
          <w:szCs w:val="32"/>
          <w:lang w:eastAsia="zh-CN"/>
        </w:rPr>
        <w:t>2026年</w:t>
      </w:r>
      <w:r>
        <w:rPr>
          <w:rFonts w:hint="eastAsia" w:ascii="楷体_GB2312" w:hAnsi="楷体_GB2312" w:eastAsia="楷体_GB2312" w:cs="楷体_GB2312"/>
          <w:bCs/>
          <w:sz w:val="32"/>
          <w:szCs w:val="32"/>
        </w:rPr>
        <w:t>一般公共预算</w:t>
      </w:r>
      <w:r>
        <w:rPr>
          <w:rFonts w:hint="eastAsia" w:ascii="楷体_GB2312" w:hAnsi="楷体_GB2312" w:eastAsia="楷体_GB2312" w:cs="楷体_GB2312"/>
          <w:bCs/>
          <w:color w:val="000000"/>
          <w:sz w:val="32"/>
          <w:szCs w:val="32"/>
        </w:rPr>
        <w:t>“三公”经费预算情况说明</w:t>
      </w:r>
    </w:p>
    <w:p w14:paraId="57B75CB9">
      <w:pPr>
        <w:spacing w:line="520" w:lineRule="exact"/>
        <w:ind w:firstLine="640" w:firstLineChars="200"/>
        <w:rPr>
          <w:rFonts w:ascii="仿宋_GB2312" w:hAnsi="仿宋_GB2312" w:eastAsia="仿宋_GB2312"/>
          <w:sz w:val="32"/>
        </w:rPr>
      </w:pPr>
      <w:r>
        <w:rPr>
          <w:rFonts w:hint="eastAsia" w:ascii="仿宋_GB2312" w:hAnsi="仿宋_GB2312" w:eastAsia="仿宋_GB2312"/>
          <w:sz w:val="32"/>
        </w:rPr>
        <w:t>中共浦江县委党校</w:t>
      </w:r>
      <w:r>
        <w:rPr>
          <w:rFonts w:hint="eastAsia" w:ascii="仿宋_GB2312" w:hAnsi="仿宋_GB2312" w:eastAsia="仿宋_GB2312"/>
          <w:sz w:val="32"/>
          <w:lang w:eastAsia="zh-CN"/>
        </w:rPr>
        <w:t>2026年</w:t>
      </w:r>
      <w:r>
        <w:rPr>
          <w:rFonts w:hint="eastAsia" w:ascii="仿宋_GB2312" w:hAnsi="仿宋_GB2312" w:eastAsia="仿宋_GB2312"/>
          <w:sz w:val="32"/>
        </w:rPr>
        <w:t>“三公”经费预算数为1.00万元，</w:t>
      </w:r>
      <w:r>
        <w:rPr>
          <w:rFonts w:hint="eastAsia" w:ascii="仿宋_GB2312" w:hAnsi="仿宋_GB2312" w:eastAsia="仿宋_GB2312"/>
          <w:sz w:val="32"/>
          <w:shd w:val="clear" w:color="auto" w:fill="FFFFFF"/>
          <w:lang w:eastAsia="zh-CN"/>
        </w:rPr>
        <w:t>与上年执行数持平</w:t>
      </w:r>
      <w:r>
        <w:rPr>
          <w:rFonts w:hint="eastAsia" w:ascii="仿宋_GB2312" w:hAnsi="仿宋_GB2312" w:eastAsia="仿宋_GB2312"/>
          <w:sz w:val="32"/>
        </w:rPr>
        <w:t>，具体如下：</w:t>
      </w:r>
    </w:p>
    <w:p w14:paraId="5B46204E">
      <w:pPr>
        <w:keepNext w:val="0"/>
        <w:keepLines w:val="0"/>
        <w:pageBreakBefore w:val="0"/>
        <w:kinsoku/>
        <w:wordWrap/>
        <w:overflowPunct/>
        <w:topLinePunct w:val="0"/>
        <w:bidi w:val="0"/>
        <w:spacing w:line="360" w:lineRule="auto"/>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1.因公出国（境）费用：</w:t>
      </w:r>
      <w:r>
        <w:rPr>
          <w:rFonts w:hint="eastAsia" w:ascii="仿宋_GB2312" w:hAnsi="仿宋_GB2312" w:eastAsia="仿宋_GB2312" w:cs="仿宋_GB2312"/>
          <w:sz w:val="32"/>
          <w:szCs w:val="32"/>
        </w:rPr>
        <w:t>根据因公出国计划和实际工作需要，</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安排因公出国（境）费用预算0.00万元，比上年预算数</w:t>
      </w:r>
      <w:r>
        <w:rPr>
          <w:rFonts w:hint="eastAsia" w:ascii="仿宋_GB2312" w:hAnsi="仿宋_GB2312" w:eastAsia="仿宋_GB2312"/>
          <w:sz w:val="32"/>
          <w:shd w:val="clear" w:color="auto" w:fill="FFFFFF"/>
        </w:rPr>
        <w:t>增加</w:t>
      </w:r>
      <w:r>
        <w:rPr>
          <w:rFonts w:hint="eastAsia" w:ascii="仿宋_GB2312" w:hAnsi="仿宋_GB2312" w:eastAsia="仿宋_GB2312"/>
          <w:sz w:val="32"/>
          <w:lang w:val="en-US" w:eastAsia="zh-CN"/>
        </w:rPr>
        <w:t>0</w:t>
      </w:r>
      <w:r>
        <w:rPr>
          <w:rFonts w:hint="eastAsia" w:ascii="仿宋_GB2312" w:hAnsi="仿宋_GB2312" w:eastAsia="仿宋_GB2312"/>
          <w:sz w:val="32"/>
          <w:shd w:val="clear" w:color="auto" w:fill="FFFFFF"/>
        </w:rPr>
        <w:t>万元，</w:t>
      </w:r>
      <w:r>
        <w:rPr>
          <w:rFonts w:hint="eastAsia" w:ascii="仿宋_GB2312" w:hAnsi="仿宋_GB2312" w:eastAsia="仿宋_GB2312" w:cs="仿宋_GB2312"/>
          <w:sz w:val="32"/>
          <w:szCs w:val="32"/>
        </w:rPr>
        <w:t>增长</w:t>
      </w:r>
      <w:r>
        <w:rPr>
          <w:rFonts w:hint="eastAsia" w:ascii="仿宋_GB2312" w:eastAsia="仿宋_GB2312"/>
          <w:color w:val="000000"/>
          <w:sz w:val="32"/>
          <w:szCs w:val="32"/>
          <w:lang w:val="en-US" w:eastAsia="zh-CN"/>
        </w:rPr>
        <w:t>0</w:t>
      </w:r>
      <w:r>
        <w:rPr>
          <w:rFonts w:hint="eastAsia" w:ascii="仿宋_GB2312" w:hAnsi="仿宋_GB2312" w:eastAsia="仿宋_GB2312" w:cs="仿宋_GB2312"/>
          <w:sz w:val="32"/>
          <w:szCs w:val="32"/>
        </w:rPr>
        <w:t>%。主要用于机关及下属预算单位人员等公务出国（境）的国际旅费、国外城市间交通费、住宿费、伙食费、培训费、公杂费等支出。</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w:t>
      </w:r>
    </w:p>
    <w:p w14:paraId="448B9EE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2"/>
          <w:szCs w:val="32"/>
        </w:rPr>
        <w:t>2.公务接待费：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rPr>
        <w:t>安排公务接待费预算1.00万元，</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上年预算数</w:t>
      </w:r>
      <w:r>
        <w:rPr>
          <w:rFonts w:hint="eastAsia" w:ascii="仿宋_GB2312" w:hAnsi="仿宋_GB2312" w:eastAsia="仿宋_GB2312"/>
          <w:sz w:val="32"/>
          <w:shd w:val="clear" w:color="auto" w:fill="FFFFFF"/>
          <w:lang w:eastAsia="zh-CN"/>
        </w:rPr>
        <w:t>持平</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0"/>
          <w:szCs w:val="30"/>
          <w:highlight w:val="none"/>
          <w:lang w:val="en-US"/>
        </w:rPr>
        <w:t>主要用于接待上级领导指导调研，与同级党校横向工作交流食宿等支出。</w:t>
      </w:r>
      <w:r>
        <w:rPr>
          <w:rFonts w:hint="eastAsia" w:ascii="仿宋_GB2312" w:hAnsi="仿宋_GB2312" w:eastAsia="仿宋_GB2312" w:cs="仿宋_GB2312"/>
          <w:color w:val="000000"/>
          <w:sz w:val="30"/>
          <w:szCs w:val="30"/>
          <w:highlight w:val="none"/>
          <w:lang w:val="en-US" w:eastAsia="zh-CN"/>
        </w:rPr>
        <w:t>预算数</w:t>
      </w:r>
      <w:r>
        <w:rPr>
          <w:rFonts w:hint="eastAsia" w:ascii="仿宋_GB2312" w:hAnsi="仿宋_GB2312" w:eastAsia="仿宋_GB2312" w:cs="仿宋_GB2312"/>
          <w:b w:val="0"/>
          <w:bCs w:val="0"/>
          <w:color w:val="000000"/>
          <w:sz w:val="30"/>
          <w:szCs w:val="30"/>
          <w:highlight w:val="none"/>
          <w:lang w:eastAsia="zh-CN" w:bidi="ar"/>
        </w:rPr>
        <w:t>与</w:t>
      </w:r>
      <w:r>
        <w:rPr>
          <w:rFonts w:hint="eastAsia" w:ascii="仿宋_GB2312" w:hAnsi="仿宋_GB2312" w:eastAsia="仿宋_GB2312" w:cs="仿宋_GB2312"/>
          <w:b w:val="0"/>
          <w:bCs w:val="0"/>
          <w:color w:val="000000"/>
          <w:sz w:val="30"/>
          <w:szCs w:val="30"/>
          <w:highlight w:val="none"/>
          <w:lang w:val="en-US" w:eastAsia="zh-CN" w:bidi="ar"/>
        </w:rPr>
        <w:t>上年执行数持平</w:t>
      </w:r>
      <w:r>
        <w:rPr>
          <w:rFonts w:hint="eastAsia" w:ascii="仿宋_GB2312" w:hAnsi="仿宋_GB2312" w:eastAsia="仿宋_GB2312" w:cs="仿宋_GB2312"/>
          <w:color w:val="000000"/>
          <w:sz w:val="30"/>
          <w:szCs w:val="30"/>
          <w:highlight w:val="none"/>
          <w:lang w:val="en-US"/>
        </w:rPr>
        <w:t>主要原因是</w:t>
      </w:r>
      <w:r>
        <w:rPr>
          <w:rFonts w:hint="eastAsia" w:ascii="仿宋_GB2312" w:hAnsi="仿宋_GB2312" w:eastAsia="仿宋_GB2312" w:cs="仿宋_GB2312"/>
          <w:color w:val="000000"/>
          <w:sz w:val="30"/>
          <w:szCs w:val="30"/>
          <w:highlight w:val="none"/>
          <w:lang w:val="en-US" w:eastAsia="zh-CN"/>
        </w:rPr>
        <w:t>合理控制接待费支出。</w:t>
      </w:r>
    </w:p>
    <w:p w14:paraId="53B3FD3C">
      <w:pPr>
        <w:keepNext w:val="0"/>
        <w:keepLines w:val="0"/>
        <w:pageBreakBefore w:val="0"/>
        <w:kinsoku/>
        <w:wordWrap/>
        <w:overflowPunct/>
        <w:topLinePunct w:val="0"/>
        <w:bidi w:val="0"/>
        <w:spacing w:line="360" w:lineRule="auto"/>
        <w:ind w:firstLine="640" w:firstLineChars="200"/>
        <w:textAlignment w:val="auto"/>
        <w:rPr>
          <w:rFonts w:ascii="仿宋_GB2312" w:eastAsia="仿宋_GB2312"/>
          <w:b/>
          <w:bCs/>
          <w:sz w:val="32"/>
          <w:szCs w:val="32"/>
        </w:rPr>
      </w:pPr>
      <w:r>
        <w:rPr>
          <w:rFonts w:hint="eastAsia" w:ascii="仿宋_GB2312" w:eastAsia="仿宋_GB2312"/>
          <w:sz w:val="32"/>
          <w:szCs w:val="32"/>
        </w:rPr>
        <w:t>3.公务用车购置及运行维护费：</w:t>
      </w:r>
      <w:r>
        <w:rPr>
          <w:rFonts w:hint="eastAsia" w:ascii="仿宋_GB2312" w:eastAsia="仿宋_GB2312"/>
          <w:sz w:val="32"/>
          <w:szCs w:val="32"/>
          <w:lang w:eastAsia="zh-CN"/>
        </w:rPr>
        <w:t>2025年</w:t>
      </w:r>
      <w:r>
        <w:rPr>
          <w:rFonts w:hint="eastAsia" w:ascii="仿宋_GB2312" w:eastAsia="仿宋_GB2312"/>
          <w:sz w:val="32"/>
          <w:szCs w:val="32"/>
        </w:rPr>
        <w:t>安排公务用车购置及运行维护费预算0.00万元，比上年预算数</w:t>
      </w:r>
      <w:r>
        <w:rPr>
          <w:rFonts w:hint="eastAsia" w:ascii="仿宋_GB2312" w:hAnsi="仿宋_GB2312" w:eastAsia="仿宋_GB2312"/>
          <w:sz w:val="32"/>
          <w:shd w:val="clear" w:color="auto" w:fill="FFFFFF"/>
        </w:rPr>
        <w:t>增加</w:t>
      </w:r>
      <w:r>
        <w:rPr>
          <w:rFonts w:hint="eastAsia" w:ascii="仿宋_GB2312" w:hAnsi="仿宋_GB2312" w:eastAsia="仿宋_GB2312"/>
          <w:sz w:val="32"/>
          <w:shd w:val="clear" w:color="auto" w:fill="FFFFFF"/>
          <w:lang w:val="en-US" w:eastAsia="zh-CN"/>
        </w:rPr>
        <w:t>0</w:t>
      </w:r>
      <w:r>
        <w:rPr>
          <w:rFonts w:hint="eastAsia" w:ascii="仿宋_GB2312" w:hAnsi="仿宋_GB2312" w:eastAsia="仿宋_GB2312"/>
          <w:sz w:val="32"/>
          <w:shd w:val="clear" w:color="auto" w:fill="FFFFFF"/>
        </w:rPr>
        <w:t>万元，</w:t>
      </w:r>
      <w:r>
        <w:rPr>
          <w:rFonts w:hint="eastAsia" w:ascii="仿宋_GB2312" w:eastAsia="仿宋_GB2312"/>
          <w:sz w:val="32"/>
          <w:szCs w:val="32"/>
        </w:rPr>
        <w:t>增长</w:t>
      </w:r>
      <w:r>
        <w:rPr>
          <w:rFonts w:hint="eastAsia" w:ascii="仿宋_GB2312" w:eastAsia="仿宋_GB2312"/>
          <w:color w:val="000000"/>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w:t>
      </w:r>
    </w:p>
    <w:p w14:paraId="15AE5D3E">
      <w:pPr>
        <w:spacing w:line="520" w:lineRule="exact"/>
        <w:ind w:firstLine="320" w:firstLineChars="1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（十）其他重要事项的情况说明</w:t>
      </w:r>
    </w:p>
    <w:p w14:paraId="58B8E9B6">
      <w:pPr>
        <w:spacing w:line="520" w:lineRule="exact"/>
        <w:ind w:firstLine="64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1.机关运行经费。</w:t>
      </w:r>
    </w:p>
    <w:p w14:paraId="02386FD2">
      <w:pPr>
        <w:pStyle w:val="16"/>
        <w:spacing w:line="52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lang w:eastAsia="zh-CN"/>
        </w:rPr>
        <w:t>2026年</w:t>
      </w:r>
      <w:r>
        <w:rPr>
          <w:rFonts w:hint="eastAsia" w:ascii="仿宋_GB2312" w:eastAsia="仿宋_GB2312"/>
          <w:sz w:val="32"/>
          <w:szCs w:val="32"/>
          <w:highlight w:val="none"/>
        </w:rPr>
        <w:t>中共浦江县委党校</w:t>
      </w:r>
      <w:r>
        <w:rPr>
          <w:rFonts w:hint="eastAsia" w:ascii="仿宋_GB2312" w:eastAsia="仿宋_GB2312"/>
          <w:color w:val="000000"/>
          <w:sz w:val="32"/>
          <w:szCs w:val="32"/>
          <w:highlight w:val="none"/>
        </w:rPr>
        <w:t>本级的机关运行经费财政拨款预算58.98万元，比上年预算增加</w:t>
      </w:r>
      <w:r>
        <w:rPr>
          <w:rFonts w:hint="eastAsia" w:ascii="仿宋_GB2312" w:eastAsia="仿宋_GB2312"/>
          <w:color w:val="000000"/>
          <w:sz w:val="32"/>
          <w:szCs w:val="32"/>
          <w:highlight w:val="none"/>
          <w:lang w:val="en-US" w:eastAsia="zh-CN"/>
        </w:rPr>
        <w:t>9.41</w:t>
      </w:r>
      <w:r>
        <w:rPr>
          <w:rFonts w:hint="eastAsia" w:ascii="仿宋_GB2312" w:eastAsia="仿宋_GB2312"/>
          <w:sz w:val="32"/>
          <w:szCs w:val="32"/>
          <w:highlight w:val="none"/>
        </w:rPr>
        <w:t>万元</w:t>
      </w:r>
      <w:r>
        <w:rPr>
          <w:rFonts w:hint="eastAsia" w:ascii="仿宋_GB2312" w:eastAsia="仿宋_GB2312"/>
          <w:sz w:val="32"/>
          <w:szCs w:val="32"/>
          <w:highlight w:val="none"/>
          <w:lang w:eastAsia="zh-CN"/>
        </w:rPr>
        <w:t>，</w:t>
      </w:r>
      <w:r>
        <w:rPr>
          <w:rFonts w:hint="eastAsia" w:ascii="仿宋_GB2312" w:hAnsi="仿宋_GB2312" w:eastAsia="仿宋_GB2312"/>
          <w:kern w:val="2"/>
          <w:sz w:val="32"/>
          <w:szCs w:val="20"/>
          <w:highlight w:val="none"/>
        </w:rPr>
        <w:t>增长</w:t>
      </w:r>
      <w:r>
        <w:rPr>
          <w:rFonts w:hint="eastAsia" w:ascii="仿宋_GB2312" w:hAnsi="仿宋_GB2312" w:eastAsia="仿宋_GB2312"/>
          <w:kern w:val="2"/>
          <w:sz w:val="32"/>
          <w:szCs w:val="20"/>
          <w:highlight w:val="none"/>
          <w:lang w:val="en-US" w:eastAsia="zh-CN"/>
        </w:rPr>
        <w:t xml:space="preserve">15.95 </w:t>
      </w:r>
      <w:r>
        <w:rPr>
          <w:rFonts w:hint="eastAsia" w:ascii="仿宋_GB2312" w:hAnsi="仿宋_GB2312" w:eastAsia="仿宋_GB2312"/>
          <w:kern w:val="2"/>
          <w:sz w:val="32"/>
          <w:szCs w:val="20"/>
          <w:highlight w:val="none"/>
        </w:rPr>
        <w:t>%，主要是</w:t>
      </w:r>
      <w:r>
        <w:rPr>
          <w:rFonts w:hint="eastAsia" w:ascii="仿宋_GB2312" w:hAnsi="仿宋_GB2312" w:eastAsia="仿宋_GB2312"/>
          <w:kern w:val="2"/>
          <w:sz w:val="32"/>
          <w:szCs w:val="20"/>
          <w:highlight w:val="none"/>
          <w:lang w:eastAsia="zh-CN"/>
        </w:rPr>
        <w:t>公用经费有所增加。</w:t>
      </w:r>
    </w:p>
    <w:p w14:paraId="3274ED6F">
      <w:pPr>
        <w:pStyle w:val="16"/>
        <w:numPr>
          <w:ilvl w:val="0"/>
          <w:numId w:val="2"/>
        </w:numPr>
        <w:spacing w:line="520" w:lineRule="exact"/>
        <w:ind w:firstLine="600"/>
        <w:rPr>
          <w:rFonts w:ascii="仿宋_GB2312" w:eastAsia="仿宋_GB2312"/>
          <w:b/>
          <w:bCs/>
          <w:sz w:val="32"/>
          <w:szCs w:val="32"/>
        </w:rPr>
      </w:pPr>
      <w:r>
        <w:rPr>
          <w:rFonts w:hint="eastAsia" w:ascii="仿宋_GB2312" w:eastAsia="仿宋_GB2312"/>
          <w:b/>
          <w:bCs/>
          <w:sz w:val="32"/>
          <w:szCs w:val="32"/>
        </w:rPr>
        <w:t>政府采购情况。</w:t>
      </w:r>
    </w:p>
    <w:p w14:paraId="7BF3ADE5">
      <w:pPr>
        <w:pStyle w:val="16"/>
        <w:spacing w:line="520" w:lineRule="exact"/>
        <w:ind w:firstLine="640" w:firstLineChars="200"/>
        <w:rPr>
          <w:rFonts w:ascii="仿宋_GB2312" w:eastAsia="仿宋_GB2312"/>
          <w:sz w:val="32"/>
          <w:szCs w:val="32"/>
        </w:rPr>
      </w:pPr>
      <w:r>
        <w:rPr>
          <w:rFonts w:hint="eastAsia" w:ascii="仿宋_GB2312" w:eastAsia="仿宋_GB2312"/>
          <w:sz w:val="32"/>
          <w:szCs w:val="32"/>
          <w:lang w:eastAsia="zh-CN"/>
        </w:rPr>
        <w:t>2026年</w:t>
      </w:r>
      <w:r>
        <w:rPr>
          <w:rFonts w:hint="eastAsia" w:ascii="仿宋_GB2312" w:eastAsia="仿宋_GB2312"/>
          <w:sz w:val="32"/>
          <w:szCs w:val="32"/>
        </w:rPr>
        <w:t>中共浦江县委党校</w:t>
      </w:r>
      <w:r>
        <w:rPr>
          <w:rFonts w:hint="eastAsia" w:ascii="仿宋_GB2312" w:eastAsia="仿宋_GB2312"/>
          <w:color w:val="000000"/>
          <w:sz w:val="32"/>
          <w:szCs w:val="32"/>
        </w:rPr>
        <w:t>各单位政府采购预算总额</w:t>
      </w:r>
      <w:r>
        <w:rPr>
          <w:rFonts w:ascii="仿宋_GB2312" w:eastAsia="仿宋_GB2312"/>
          <w:color w:val="000000"/>
          <w:sz w:val="32"/>
          <w:szCs w:val="32"/>
        </w:rPr>
        <w:t>22.96</w:t>
      </w:r>
      <w:r>
        <w:rPr>
          <w:rFonts w:hint="eastAsia" w:ascii="仿宋_GB2312" w:eastAsia="仿宋_GB2312"/>
          <w:color w:val="000000"/>
          <w:sz w:val="32"/>
          <w:szCs w:val="32"/>
        </w:rPr>
        <w:t>万元，其中：政府采购货物预算22.96万元、政府采购工程预算0.00万元、政府采购服务预算</w:t>
      </w:r>
      <w:r>
        <w:rPr>
          <w:rFonts w:ascii="仿宋_GB2312" w:eastAsia="仿宋_GB2312"/>
          <w:color w:val="000000"/>
          <w:sz w:val="32"/>
          <w:szCs w:val="32"/>
        </w:rPr>
        <w:t>0.00</w:t>
      </w:r>
      <w:r>
        <w:rPr>
          <w:rFonts w:hint="eastAsia" w:ascii="仿宋_GB2312" w:eastAsia="仿宋_GB2312"/>
          <w:color w:val="000000"/>
          <w:sz w:val="32"/>
          <w:szCs w:val="32"/>
        </w:rPr>
        <w:t>万元。</w:t>
      </w:r>
    </w:p>
    <w:p w14:paraId="7BA41681">
      <w:pPr>
        <w:pStyle w:val="16"/>
        <w:spacing w:line="520" w:lineRule="exact"/>
        <w:ind w:firstLine="642"/>
        <w:rPr>
          <w:rFonts w:ascii="仿宋_GB2312" w:eastAsia="仿宋_GB2312"/>
          <w:sz w:val="32"/>
          <w:szCs w:val="32"/>
        </w:rPr>
      </w:pPr>
      <w:r>
        <w:rPr>
          <w:rFonts w:hint="eastAsia" w:ascii="仿宋_GB2312" w:eastAsia="仿宋_GB2312"/>
          <w:b/>
          <w:bCs/>
          <w:sz w:val="32"/>
          <w:szCs w:val="32"/>
        </w:rPr>
        <w:t>3.国有资产占有使用情况。</w:t>
      </w:r>
    </w:p>
    <w:p w14:paraId="08E58B08">
      <w:pPr>
        <w:spacing w:line="520" w:lineRule="exact"/>
        <w:ind w:firstLine="640"/>
        <w:rPr>
          <w:rFonts w:ascii="仿宋_GB2312" w:hAnsi="仿宋_GB2312" w:eastAsia="仿宋_GB2312" w:cs="仿宋_GB2312"/>
          <w:sz w:val="32"/>
          <w:szCs w:val="32"/>
        </w:rPr>
      </w:pPr>
      <w:r>
        <w:rPr>
          <w:rFonts w:hint="eastAsia" w:ascii="仿宋_GB2312" w:hAnsi="仿宋_GB2312" w:eastAsia="仿宋_GB2312" w:cs="仿宋_GB2312"/>
          <w:spacing w:val="6"/>
          <w:sz w:val="32"/>
          <w:szCs w:val="32"/>
        </w:rPr>
        <w:t>截至</w:t>
      </w:r>
      <w:r>
        <w:rPr>
          <w:rFonts w:hint="eastAsia" w:ascii="仿宋_GB2312" w:hAnsi="仿宋_GB2312" w:eastAsia="仿宋_GB2312" w:cs="仿宋_GB2312"/>
          <w:spacing w:val="6"/>
          <w:sz w:val="32"/>
          <w:szCs w:val="32"/>
          <w:lang w:eastAsia="zh-CN"/>
        </w:rPr>
        <w:t>2025</w:t>
      </w:r>
      <w:r>
        <w:rPr>
          <w:rFonts w:hint="eastAsia" w:ascii="仿宋_GB2312" w:hAnsi="仿宋_GB2312" w:eastAsia="仿宋_GB2312" w:cs="仿宋_GB2312"/>
          <w:spacing w:val="6"/>
          <w:sz w:val="32"/>
          <w:szCs w:val="32"/>
        </w:rPr>
        <w:t>年12月31日，所属各预算单位共有车辆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辆，其中，应急保障用车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辆、老干部服务用车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辆、行政执法专用车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 xml:space="preserve">台（套）。 </w:t>
      </w:r>
    </w:p>
    <w:p w14:paraId="30AF5D04">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2026年</w:t>
      </w:r>
      <w:r>
        <w:rPr>
          <w:rFonts w:ascii="仿宋_GB2312" w:hAnsi="仿宋_GB2312" w:eastAsia="仿宋_GB2312" w:cs="仿宋_GB2312"/>
          <w:sz w:val="32"/>
          <w:szCs w:val="32"/>
        </w:rPr>
        <w:t>部门预算安排购置车辆</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辆，其中，应急保障用车</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辆、执法执勤用车</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辆、老干部服务用车</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辆、行政执法专用车</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辆</w:t>
      </w:r>
      <w:r>
        <w:rPr>
          <w:rFonts w:hint="eastAsia" w:ascii="仿宋_GB2312" w:hAnsi="仿宋_GB2312" w:eastAsia="仿宋_GB2312" w:cs="仿宋_GB2312"/>
          <w:sz w:val="32"/>
          <w:szCs w:val="32"/>
        </w:rPr>
        <w:t>、其他用车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2026年</w:t>
      </w:r>
      <w:r>
        <w:rPr>
          <w:rFonts w:ascii="仿宋_GB2312" w:hAnsi="仿宋_GB2312" w:eastAsia="仿宋_GB2312" w:cs="仿宋_GB2312"/>
          <w:sz w:val="32"/>
          <w:szCs w:val="32"/>
        </w:rPr>
        <w:t>部门预算安排购置单位价值100万元以上设备</w:t>
      </w:r>
      <w:r>
        <w:rPr>
          <w:rFonts w:hint="eastAsia" w:ascii="仿宋_GB2312" w:hAnsi="仿宋_GB2312" w:eastAsia="仿宋_GB2312" w:cs="仿宋_GB2312"/>
          <w:sz w:val="32"/>
          <w:szCs w:val="32"/>
          <w:lang w:val="en-US" w:eastAsia="zh-CN"/>
        </w:rPr>
        <w:t>0</w:t>
      </w:r>
      <w:r>
        <w:rPr>
          <w:rFonts w:ascii="仿宋_GB2312" w:hAnsi="仿宋_GB2312" w:eastAsia="仿宋_GB2312" w:cs="仿宋_GB2312"/>
          <w:sz w:val="32"/>
          <w:szCs w:val="32"/>
        </w:rPr>
        <w:t>台（套）。</w:t>
      </w:r>
    </w:p>
    <w:p w14:paraId="4D5DABF8">
      <w:pPr>
        <w:pStyle w:val="16"/>
        <w:spacing w:line="520" w:lineRule="exact"/>
        <w:rPr>
          <w:rFonts w:ascii="仿宋_GB2312" w:eastAsia="仿宋_GB2312"/>
          <w:b/>
          <w:bCs/>
          <w:sz w:val="32"/>
          <w:szCs w:val="32"/>
        </w:rPr>
      </w:pPr>
      <w:r>
        <w:rPr>
          <w:rFonts w:hint="eastAsia" w:ascii="仿宋_GB2312" w:eastAsia="仿宋_GB2312"/>
          <w:b/>
          <w:bCs/>
          <w:sz w:val="32"/>
          <w:szCs w:val="32"/>
        </w:rPr>
        <w:t xml:space="preserve">    4.预算绩效情况说明。</w:t>
      </w:r>
    </w:p>
    <w:p w14:paraId="2F6830F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2026年</w:t>
      </w:r>
      <w:r>
        <w:rPr>
          <w:rFonts w:ascii="仿宋_GB2312" w:hAnsi="仿宋_GB2312" w:eastAsia="仿宋_GB2312" w:cs="仿宋_GB2312"/>
          <w:sz w:val="32"/>
          <w:szCs w:val="32"/>
        </w:rPr>
        <w:t>中共浦江县委党校其他运转类项目和特定目标类项目均实行绩效目标管理，共计1个一级项目，涉及当年资金184.25万元。同时，将按照相关制度规定开展绩效自评。一级项目绩效目标表，详见“</w:t>
      </w:r>
      <w:r>
        <w:rPr>
          <w:rFonts w:hint="eastAsia" w:ascii="仿宋_GB2312" w:hAnsi="仿宋_GB2312" w:eastAsia="仿宋_GB2312" w:cs="仿宋_GB2312"/>
          <w:sz w:val="32"/>
          <w:szCs w:val="32"/>
        </w:rPr>
        <w:t>单位</w:t>
      </w:r>
      <w:r>
        <w:rPr>
          <w:rFonts w:ascii="仿宋_GB2312" w:hAnsi="仿宋_GB2312" w:eastAsia="仿宋_GB2312" w:cs="仿宋_GB2312"/>
          <w:sz w:val="32"/>
          <w:szCs w:val="32"/>
        </w:rPr>
        <w:t>项目支出绩效表”</w:t>
      </w:r>
      <w:r>
        <w:rPr>
          <w:rFonts w:hint="eastAsia" w:ascii="仿宋_GB2312" w:hAnsi="仿宋_GB2312" w:eastAsia="仿宋_GB2312" w:cs="仿宋_GB2312"/>
          <w:sz w:val="32"/>
          <w:szCs w:val="32"/>
        </w:rPr>
        <w:t>。</w:t>
      </w:r>
    </w:p>
    <w:p w14:paraId="72054F54">
      <w:pPr>
        <w:pStyle w:val="11"/>
        <w:numPr>
          <w:ilvl w:val="0"/>
          <w:numId w:val="0"/>
        </w:numPr>
        <w:ind w:firstLine="643" w:firstLineChars="200"/>
        <w:rPr>
          <w:rFonts w:hint="eastAsia" w:ascii="仿宋_GB2312" w:hAnsi="Times New Roman" w:eastAsia="仿宋_GB2312" w:cs="Times New Roman"/>
          <w:b/>
          <w:bCs/>
          <w:color w:val="auto"/>
          <w:kern w:val="0"/>
          <w:sz w:val="32"/>
          <w:szCs w:val="32"/>
          <w:lang w:val="en-US" w:eastAsia="zh-CN" w:bidi="ar-SA"/>
        </w:rPr>
      </w:pPr>
      <w:r>
        <w:rPr>
          <w:rFonts w:hint="eastAsia" w:hAnsi="Times New Roman" w:cs="Times New Roman"/>
          <w:b/>
          <w:bCs/>
          <w:color w:val="auto"/>
          <w:kern w:val="0"/>
          <w:sz w:val="32"/>
          <w:szCs w:val="32"/>
          <w:lang w:val="en-US" w:eastAsia="zh-CN" w:bidi="ar-SA"/>
        </w:rPr>
        <w:t>5.</w:t>
      </w:r>
      <w:r>
        <w:rPr>
          <w:rFonts w:hint="eastAsia" w:ascii="仿宋_GB2312" w:hAnsi="Times New Roman" w:eastAsia="仿宋_GB2312" w:cs="Times New Roman"/>
          <w:b/>
          <w:bCs/>
          <w:color w:val="auto"/>
          <w:kern w:val="0"/>
          <w:sz w:val="32"/>
          <w:szCs w:val="32"/>
          <w:lang w:val="en-US" w:eastAsia="zh-CN" w:bidi="ar-SA"/>
        </w:rPr>
        <w:t>委托业务费安排情况</w:t>
      </w:r>
    </w:p>
    <w:p w14:paraId="59E73C86">
      <w:pPr>
        <w:pStyle w:val="11"/>
        <w:numPr>
          <w:ilvl w:val="0"/>
          <w:numId w:val="0"/>
        </w:numPr>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2026年中共浦江县委党校委托业务费财政拨款当年</w:t>
      </w:r>
      <w:r>
        <w:rPr>
          <w:rFonts w:hint="eastAsia" w:cs="仿宋_GB2312"/>
          <w:color w:val="auto"/>
          <w:kern w:val="2"/>
          <w:sz w:val="32"/>
          <w:szCs w:val="32"/>
          <w:lang w:val="en-US" w:eastAsia="zh-CN" w:bidi="ar-SA"/>
        </w:rPr>
        <w:t>预算</w:t>
      </w:r>
      <w:r>
        <w:rPr>
          <w:rFonts w:hint="eastAsia" w:ascii="仿宋_GB2312" w:hAnsi="仿宋_GB2312" w:eastAsia="仿宋_GB2312" w:cs="仿宋_GB2312"/>
          <w:color w:val="auto"/>
          <w:kern w:val="2"/>
          <w:sz w:val="32"/>
          <w:szCs w:val="32"/>
          <w:lang w:val="en-US" w:eastAsia="zh-CN" w:bidi="ar-SA"/>
        </w:rPr>
        <w:t>总额0.00万元。</w:t>
      </w:r>
    </w:p>
    <w:p w14:paraId="650A6BE2">
      <w:pPr>
        <w:pStyle w:val="16"/>
        <w:spacing w:line="520" w:lineRule="exact"/>
        <w:ind w:firstLine="640" w:firstLineChars="200"/>
        <w:rPr>
          <w:rFonts w:ascii="黑体" w:hAnsi="黑体" w:eastAsia="黑体" w:cs="黑体"/>
          <w:bCs/>
          <w:kern w:val="2"/>
          <w:sz w:val="32"/>
          <w:szCs w:val="32"/>
        </w:rPr>
      </w:pPr>
      <w:r>
        <w:rPr>
          <w:rFonts w:hint="eastAsia" w:ascii="黑体" w:hAnsi="黑体" w:eastAsia="黑体" w:cs="黑体"/>
          <w:bCs/>
          <w:kern w:val="2"/>
          <w:sz w:val="32"/>
          <w:szCs w:val="32"/>
        </w:rPr>
        <w:t>三、名词解释</w:t>
      </w:r>
    </w:p>
    <w:p w14:paraId="5A6AD3F1">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1.财政拨款收入：本级财政部门当年拨付的财政预算资金，包括一般公共预算财政拨款</w:t>
      </w:r>
      <w:r>
        <w:rPr>
          <w:rFonts w:hint="eastAsia" w:ascii="仿宋_GB2312" w:eastAsia="仿宋_GB2312"/>
          <w:color w:val="000000"/>
          <w:sz w:val="32"/>
          <w:szCs w:val="32"/>
        </w:rPr>
        <w:t>、</w:t>
      </w:r>
      <w:r>
        <w:rPr>
          <w:rFonts w:hint="eastAsia" w:ascii="仿宋_GB2312" w:hAnsi="仿宋_GB2312" w:eastAsia="仿宋_GB2312" w:cs="仿宋_GB2312"/>
          <w:sz w:val="32"/>
          <w:szCs w:val="32"/>
        </w:rPr>
        <w:t>政府性基金预算和国有资本经营预算财政拨款。</w:t>
      </w:r>
    </w:p>
    <w:p w14:paraId="4B3D81CE">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2.财政专户管理资金:教育收费作为本部门的事业收入，纳入财政专户管理的资金。</w:t>
      </w:r>
    </w:p>
    <w:p w14:paraId="4A051397">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3.事业收入：事业单位开展专业业务活动及辅助活动所取得的收入，不含财政专户管理资金收入。</w:t>
      </w:r>
    </w:p>
    <w:p w14:paraId="4A8E4175">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4.事业单位经营收入：事业单位在专业业务活动及辅助活动之外开展非独立核算经营活动取得的收入。</w:t>
      </w:r>
    </w:p>
    <w:p w14:paraId="462AF6E9">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其他收入：预算单位在“一般公共预算”“政府性基金预算”“国有资本经营预算”“财政专户管理资金”“事业收入”“事业单位经营收入”“上级补助收入”和“附属单位上缴收入”等之外取得的各项收入。</w:t>
      </w:r>
    </w:p>
    <w:p w14:paraId="0BA0EE44">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6.上年结转结余：包括财政拨款结转结余、财政专户管理结转结余和单位资金结转结余。</w:t>
      </w:r>
    </w:p>
    <w:p w14:paraId="5CF083FD">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7.基本支出：是预算单位为保障其正常运转，完成日常工作任务所发生的支出，包括人员支出和日常公用支出。</w:t>
      </w:r>
    </w:p>
    <w:p w14:paraId="173E0F94">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8.项目支出：是预算单位为完成其特定的行政工作任务或事业发展目标所发生的支出。</w:t>
      </w:r>
    </w:p>
    <w:p w14:paraId="26817696">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.“三公”经费：纳入财政预决算管理的“三公”经费，是指部门用一般公共预算财政拨款安排的因公出国（境）费</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rPr>
        <w:t>、公务用车购置及运行费和公务接待费。其中，因公出国（境）费</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rPr>
        <w:t>反映单位公务出国（境）的国际旅费、国外城市间交通费、住宿费、伙食费、培训费、公杂费等支出，不含教学科研人员学术交流出国（境）费用；公务用车购置及运行费反映单位公务用车车辆购置支出（含车辆购置税）及燃料费、新能源汽车充电费、维修费、过桥过路费、保险费、安全奖励费用等支出；公务接待费反映单位按规定开支的各类公务接待（含外宾接待）支出。</w:t>
      </w:r>
    </w:p>
    <w:p w14:paraId="44D163BD">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.机关运行经费：指为保障行政单位（含参照公务员法管理的事业单位）运行用于购买货物和服务的各项资金，包括办公</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印刷费、邮电费、差旅费、会议费、福利费、日常维修费、专用材料</w:t>
      </w:r>
      <w:r>
        <w:rPr>
          <w:rFonts w:hint="eastAsia" w:ascii="仿宋_GB2312" w:hAnsi="仿宋_GB2312" w:eastAsia="仿宋_GB2312" w:cs="仿宋_GB2312"/>
          <w:sz w:val="32"/>
          <w:szCs w:val="32"/>
          <w:lang w:val="en-US" w:eastAsia="zh-CN"/>
        </w:rPr>
        <w:t>费</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val="en-US" w:eastAsia="zh-CN"/>
        </w:rPr>
        <w:t>办公</w:t>
      </w:r>
      <w:r>
        <w:rPr>
          <w:rFonts w:hint="eastAsia" w:ascii="仿宋_GB2312" w:hAnsi="仿宋_GB2312" w:eastAsia="仿宋_GB2312" w:cs="仿宋_GB2312"/>
          <w:sz w:val="32"/>
          <w:szCs w:val="32"/>
        </w:rPr>
        <w:t>设备购置费、办公用房水电费、办公用房取暖费、办公用房物业管理费、公务用车运行维护费以及其他费用。</w:t>
      </w:r>
    </w:p>
    <w:p w14:paraId="73DCA74A">
      <w:pPr>
        <w:pStyle w:val="11"/>
        <w:rPr>
          <w:rFonts w:hint="default" w:eastAsia="仿宋_GB2312"/>
          <w:lang w:val="en-US" w:eastAsia="zh-CN"/>
        </w:rPr>
      </w:pPr>
      <w:r>
        <w:rPr>
          <w:rFonts w:hint="eastAsia" w:cs="仿宋_GB2312"/>
          <w:sz w:val="32"/>
          <w:szCs w:val="32"/>
          <w:lang w:val="en-US" w:eastAsia="zh-CN"/>
        </w:rPr>
        <w:t xml:space="preserve">    </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lang w:val="en-US" w:eastAsia="zh-CN"/>
        </w:rPr>
        <w:t>委托业务费：指的是因委托外单位办理业务而支付的委托业务费。</w:t>
      </w:r>
    </w:p>
    <w:p w14:paraId="76E7D08E">
      <w:pPr>
        <w:keepNext w:val="0"/>
        <w:keepLines w:val="0"/>
        <w:pageBreakBefore w:val="0"/>
        <w:widowControl w:val="0"/>
        <w:kinsoku/>
        <w:wordWrap/>
        <w:overflowPunct/>
        <w:topLinePunct w:val="0"/>
        <w:bidi w:val="0"/>
        <w:snapToGrid/>
        <w:spacing w:line="360" w:lineRule="auto"/>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w:t>
      </w:r>
      <w:r>
        <w:rPr>
          <w:rFonts w:hint="eastAsia" w:ascii="仿宋_GB2312" w:hAnsi="仿宋_GB2312" w:eastAsia="仿宋_GB2312" w:cs="仿宋_GB2312"/>
          <w:color w:val="000000"/>
          <w:sz w:val="30"/>
          <w:szCs w:val="30"/>
          <w:lang w:val="en-US" w:eastAsia="zh-CN"/>
        </w:rPr>
        <w:t>2</w:t>
      </w:r>
      <w:r>
        <w:rPr>
          <w:rFonts w:hint="eastAsia" w:ascii="仿宋_GB2312" w:hAnsi="仿宋_GB2312" w:eastAsia="仿宋_GB2312" w:cs="仿宋_GB2312"/>
          <w:color w:val="000000"/>
          <w:sz w:val="30"/>
          <w:szCs w:val="30"/>
        </w:rPr>
        <w:t>.教育支出（205类）进修与培训（08款）干部教育（02项）：指干部继续教育等支出。</w:t>
      </w:r>
    </w:p>
    <w:p w14:paraId="58ABA723">
      <w:pPr>
        <w:keepNext w:val="0"/>
        <w:keepLines w:val="0"/>
        <w:pageBreakBefore w:val="0"/>
        <w:widowControl w:val="0"/>
        <w:kinsoku/>
        <w:wordWrap/>
        <w:overflowPunct/>
        <w:topLinePunct w:val="0"/>
        <w:bidi w:val="0"/>
        <w:snapToGrid/>
        <w:spacing w:line="360" w:lineRule="auto"/>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w:t>
      </w:r>
      <w:r>
        <w:rPr>
          <w:rFonts w:hint="eastAsia" w:ascii="仿宋_GB2312" w:hAnsi="仿宋_GB2312" w:eastAsia="仿宋_GB2312" w:cs="仿宋_GB2312"/>
          <w:color w:val="000000"/>
          <w:sz w:val="30"/>
          <w:szCs w:val="30"/>
          <w:lang w:val="en-US" w:eastAsia="zh-CN"/>
        </w:rPr>
        <w:t>3</w:t>
      </w:r>
      <w:r>
        <w:rPr>
          <w:rFonts w:hint="eastAsia" w:ascii="仿宋_GB2312" w:hAnsi="仿宋_GB2312" w:eastAsia="仿宋_GB2312" w:cs="仿宋_GB2312"/>
          <w:color w:val="000000"/>
          <w:sz w:val="30"/>
          <w:szCs w:val="30"/>
        </w:rPr>
        <w:t>.社会保障和就业支出（208类）行政事业单位离退休（05款）机关事业单位基本养老保险缴费支出（05项）：指单位基本养老保险缴费支出。</w:t>
      </w:r>
    </w:p>
    <w:p w14:paraId="5369C21A">
      <w:pPr>
        <w:keepNext w:val="0"/>
        <w:keepLines w:val="0"/>
        <w:pageBreakBefore w:val="0"/>
        <w:widowControl w:val="0"/>
        <w:kinsoku/>
        <w:wordWrap/>
        <w:overflowPunct/>
        <w:topLinePunct w:val="0"/>
        <w:bidi w:val="0"/>
        <w:snapToGrid/>
        <w:spacing w:line="360" w:lineRule="auto"/>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14</w:t>
      </w:r>
      <w:r>
        <w:rPr>
          <w:rFonts w:hint="eastAsia" w:ascii="仿宋_GB2312" w:hAnsi="仿宋_GB2312" w:eastAsia="仿宋_GB2312" w:cs="仿宋_GB2312"/>
          <w:color w:val="000000"/>
          <w:sz w:val="30"/>
          <w:szCs w:val="30"/>
        </w:rPr>
        <w:t>.社会保障和就业支出（208类）行政事业单位离退休（05款） 机关事业单位职业年金缴费支出（06项）：指单位职业年金缴费支出。</w:t>
      </w:r>
    </w:p>
    <w:p w14:paraId="0B409C65">
      <w:pPr>
        <w:pStyle w:val="11"/>
        <w:keepNext w:val="0"/>
        <w:keepLines w:val="0"/>
        <w:pageBreakBefore w:val="0"/>
        <w:widowControl w:val="0"/>
        <w:kinsoku/>
        <w:wordWrap/>
        <w:overflowPunct/>
        <w:topLinePunct w:val="0"/>
        <w:bidi w:val="0"/>
        <w:snapToGrid/>
        <w:spacing w:beforeLines="0" w:afterLines="0" w:line="360" w:lineRule="auto"/>
        <w:ind w:firstLine="600" w:firstLineChars="200"/>
        <w:textAlignment w:val="auto"/>
        <w:rPr>
          <w:rFonts w:hint="eastAsia" w:ascii="仿宋_GB2312" w:hAnsi="仿宋_GB2312" w:eastAsia="仿宋_GB2312" w:cs="仿宋_GB2312"/>
          <w:kern w:val="2"/>
          <w:sz w:val="30"/>
          <w:szCs w:val="30"/>
        </w:rPr>
      </w:pPr>
      <w:r>
        <w:rPr>
          <w:rFonts w:hint="eastAsia" w:ascii="仿宋_GB2312" w:hAnsi="仿宋_GB2312" w:eastAsia="仿宋_GB2312" w:cs="仿宋_GB2312"/>
          <w:kern w:val="2"/>
          <w:sz w:val="30"/>
          <w:szCs w:val="30"/>
          <w:lang w:val="en-US" w:eastAsia="zh-CN"/>
        </w:rPr>
        <w:t>1</w:t>
      </w:r>
      <w:r>
        <w:rPr>
          <w:rFonts w:hint="eastAsia" w:cs="仿宋_GB2312"/>
          <w:kern w:val="2"/>
          <w:sz w:val="30"/>
          <w:szCs w:val="30"/>
          <w:lang w:val="en-US" w:eastAsia="zh-CN"/>
        </w:rPr>
        <w:t>5</w:t>
      </w:r>
      <w:r>
        <w:rPr>
          <w:rFonts w:hint="eastAsia" w:ascii="仿宋_GB2312" w:hAnsi="仿宋_GB2312" w:eastAsia="仿宋_GB2312" w:cs="仿宋_GB2312"/>
          <w:sz w:val="30"/>
          <w:szCs w:val="30"/>
        </w:rPr>
        <w:t>.</w:t>
      </w:r>
      <w:r>
        <w:rPr>
          <w:rFonts w:hint="eastAsia" w:ascii="仿宋_GB2312" w:hAnsi="仿宋_GB2312" w:eastAsia="仿宋_GB2312" w:cs="仿宋_GB2312"/>
          <w:kern w:val="2"/>
          <w:sz w:val="30"/>
          <w:szCs w:val="30"/>
        </w:rPr>
        <w:t>社会保障和就业支出（208类）其他社会保障和就业支出（99款）其他社会保障和就业支出（01项）：指单位失业保险和工伤保险缴费支出。</w:t>
      </w:r>
    </w:p>
    <w:p w14:paraId="6BAC67E6">
      <w:pPr>
        <w:keepNext w:val="0"/>
        <w:keepLines w:val="0"/>
        <w:pageBreakBefore w:val="0"/>
        <w:widowControl w:val="0"/>
        <w:kinsoku/>
        <w:wordWrap/>
        <w:overflowPunct/>
        <w:topLinePunct w:val="0"/>
        <w:bidi w:val="0"/>
        <w:snapToGrid/>
        <w:spacing w:line="360" w:lineRule="auto"/>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16</w:t>
      </w:r>
      <w:r>
        <w:rPr>
          <w:rFonts w:hint="eastAsia" w:ascii="仿宋_GB2312" w:hAnsi="仿宋_GB2312" w:eastAsia="仿宋_GB2312" w:cs="仿宋_GB2312"/>
          <w:color w:val="000000"/>
          <w:sz w:val="30"/>
          <w:szCs w:val="30"/>
        </w:rPr>
        <w:t>.医疗卫生与计划生育支出（210类）医疗保险（11款）事业单位医疗（02项）：指单位基本医疗保险支出。</w:t>
      </w:r>
    </w:p>
    <w:p w14:paraId="1D3FA429">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17</w:t>
      </w:r>
      <w:r>
        <w:rPr>
          <w:rFonts w:hint="eastAsia" w:ascii="仿宋_GB2312" w:hAnsi="仿宋_GB2312" w:eastAsia="仿宋_GB2312" w:cs="仿宋_GB2312"/>
          <w:color w:val="000000"/>
          <w:sz w:val="30"/>
          <w:szCs w:val="30"/>
        </w:rPr>
        <w:t>.住房保障支出（221类）住房改革支出（02款）住房公积金（01项）：指住房公积金缴费支出。</w:t>
      </w:r>
    </w:p>
    <w:p w14:paraId="3785BF46">
      <w:pPr>
        <w:pStyle w:val="2"/>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Style w:val="9"/>
          <w:rFonts w:hint="eastAsia" w:ascii="黑体" w:eastAsia="黑体"/>
          <w:b w:val="0"/>
          <w:color w:val="000000"/>
          <w:sz w:val="32"/>
          <w:szCs w:val="32"/>
        </w:rPr>
      </w:pPr>
      <w:r>
        <w:rPr>
          <w:rStyle w:val="9"/>
          <w:rFonts w:hint="eastAsia" w:ascii="黑体" w:eastAsia="黑体"/>
          <w:b w:val="0"/>
          <w:color w:val="000000"/>
          <w:sz w:val="32"/>
          <w:szCs w:val="32"/>
        </w:rPr>
        <w:t>四、202</w:t>
      </w:r>
      <w:r>
        <w:rPr>
          <w:rStyle w:val="9"/>
          <w:rFonts w:hint="eastAsia" w:ascii="黑体" w:eastAsia="黑体"/>
          <w:b w:val="0"/>
          <w:color w:val="000000"/>
          <w:sz w:val="32"/>
          <w:szCs w:val="32"/>
          <w:lang w:val="en-US" w:eastAsia="zh-CN"/>
        </w:rPr>
        <w:t>6</w:t>
      </w:r>
      <w:r>
        <w:rPr>
          <w:rStyle w:val="9"/>
          <w:rFonts w:hint="eastAsia" w:ascii="黑体" w:eastAsia="黑体"/>
          <w:b w:val="0"/>
          <w:color w:val="000000"/>
          <w:sz w:val="32"/>
          <w:szCs w:val="32"/>
        </w:rPr>
        <w:t>年中共浦江县委党校单位预算表</w:t>
      </w:r>
    </w:p>
    <w:p w14:paraId="136F2066">
      <w:pPr>
        <w:pStyle w:val="2"/>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Style w:val="9"/>
          <w:rFonts w:hint="eastAsia" w:ascii="黑体" w:eastAsia="黑体"/>
          <w:b w:val="0"/>
          <w:color w:val="000000"/>
          <w:sz w:val="32"/>
          <w:szCs w:val="32"/>
          <w:lang w:eastAsia="zh-CN"/>
        </w:rPr>
      </w:pPr>
      <w:r>
        <w:rPr>
          <w:rStyle w:val="9"/>
          <w:rFonts w:hint="eastAsia" w:ascii="黑体" w:eastAsia="黑体"/>
          <w:b w:val="0"/>
          <w:color w:val="000000"/>
          <w:sz w:val="32"/>
          <w:szCs w:val="32"/>
          <w:lang w:eastAsia="zh-CN"/>
        </w:rPr>
        <w:object>
          <v:shape id="_x0000_i1025" o:spt="75" type="#_x0000_t75" style="height:85.05pt;width:115.35pt;" o:ole="t" filled="f" o:preferrelative="t" stroked="f" coordsize="21600,21600">
            <v:path/>
            <v:fill on="f" focussize="0,0"/>
            <v:stroke on="f"/>
            <v:imagedata r:id="rId13" o:title=""/>
            <o:lock v:ext="edit" aspectratio="t"/>
            <w10:wrap type="none"/>
            <w10:anchorlock/>
          </v:shape>
          <o:OLEObject Type="Embed" ProgID="Excel.Sheet.8" ShapeID="_x0000_i1025" DrawAspect="Icon" ObjectID="_1468075725" r:id="rId12">
            <o:LockedField>false</o:LockedField>
          </o:OLEObject>
        </w:object>
      </w:r>
      <w:bookmarkStart w:id="0" w:name="_GoBack"/>
      <w:bookmarkEnd w:id="0"/>
    </w:p>
    <w:p w14:paraId="430E03C5">
      <w:pPr>
        <w:pStyle w:val="2"/>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Style w:val="9"/>
          <w:rFonts w:hint="eastAsia" w:ascii="黑体" w:eastAsia="黑体"/>
          <w:b w:val="0"/>
          <w:color w:val="000000"/>
          <w:sz w:val="32"/>
          <w:szCs w:val="32"/>
        </w:rPr>
      </w:pPr>
    </w:p>
    <w:p w14:paraId="63830767">
      <w:pPr>
        <w:rPr>
          <w:rFonts w:hint="eastAsia" w:eastAsia="宋体"/>
          <w:lang w:val="en-US" w:eastAsia="zh-CN"/>
        </w:rPr>
      </w:pPr>
    </w:p>
    <w:sectPr>
      <w:footerReference r:id="rId10"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FD36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D8AF3">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CF4E2">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5622B">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18BC6">
    <w:pPr>
      <w:pStyle w:val="4"/>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DCC12EA">
                <w:pPr>
                  <w:pStyle w:val="4"/>
                </w:pPr>
                <w:r>
                  <w:fldChar w:fldCharType="begin"/>
                </w:r>
                <w:r>
                  <w:instrText xml:space="preserve"> PAGE  \* MERGEFORMAT </w:instrText>
                </w:r>
                <w:r>
                  <w:fldChar w:fldCharType="separate"/>
                </w:r>
                <w:r>
                  <w:t>6</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0B5B5">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B79FF">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F966E">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93F62F"/>
    <w:multiLevelType w:val="singleLevel"/>
    <w:tmpl w:val="5893F62F"/>
    <w:lvl w:ilvl="0" w:tentative="0">
      <w:start w:val="2"/>
      <w:numFmt w:val="decimal"/>
      <w:suff w:val="nothing"/>
      <w:lvlText w:val="%1."/>
      <w:lvlJc w:val="left"/>
    </w:lvl>
  </w:abstractNum>
  <w:abstractNum w:abstractNumId="1">
    <w:nsid w:val="5895A99C"/>
    <w:multiLevelType w:val="singleLevel"/>
    <w:tmpl w:val="5895A99C"/>
    <w:lvl w:ilvl="0" w:tentative="0">
      <w:start w:val="5"/>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8453C"/>
    <w:rsid w:val="00037FBA"/>
    <w:rsid w:val="00084C3B"/>
    <w:rsid w:val="000F6704"/>
    <w:rsid w:val="0014553D"/>
    <w:rsid w:val="00151805"/>
    <w:rsid w:val="0018453C"/>
    <w:rsid w:val="001C6D6F"/>
    <w:rsid w:val="001D7273"/>
    <w:rsid w:val="001F186B"/>
    <w:rsid w:val="0025199F"/>
    <w:rsid w:val="00262BFB"/>
    <w:rsid w:val="002E190E"/>
    <w:rsid w:val="00312421"/>
    <w:rsid w:val="0034320B"/>
    <w:rsid w:val="0035041B"/>
    <w:rsid w:val="00352D79"/>
    <w:rsid w:val="003533AA"/>
    <w:rsid w:val="00372A55"/>
    <w:rsid w:val="003A54FF"/>
    <w:rsid w:val="003E68CE"/>
    <w:rsid w:val="004C1A7E"/>
    <w:rsid w:val="004E07B6"/>
    <w:rsid w:val="004F65D0"/>
    <w:rsid w:val="004F6D96"/>
    <w:rsid w:val="0054517F"/>
    <w:rsid w:val="0055355B"/>
    <w:rsid w:val="00576237"/>
    <w:rsid w:val="005B1AB5"/>
    <w:rsid w:val="005D0D77"/>
    <w:rsid w:val="005E0A27"/>
    <w:rsid w:val="005E47B3"/>
    <w:rsid w:val="005E7D52"/>
    <w:rsid w:val="00655F61"/>
    <w:rsid w:val="006B2E4F"/>
    <w:rsid w:val="006C39E2"/>
    <w:rsid w:val="006D5442"/>
    <w:rsid w:val="006D7FE3"/>
    <w:rsid w:val="006E085B"/>
    <w:rsid w:val="006F455E"/>
    <w:rsid w:val="007072D9"/>
    <w:rsid w:val="00731A0A"/>
    <w:rsid w:val="0073245A"/>
    <w:rsid w:val="00755A48"/>
    <w:rsid w:val="007715EF"/>
    <w:rsid w:val="007A0C65"/>
    <w:rsid w:val="007A2925"/>
    <w:rsid w:val="007B431F"/>
    <w:rsid w:val="007D24B2"/>
    <w:rsid w:val="007E4CC3"/>
    <w:rsid w:val="00801E01"/>
    <w:rsid w:val="00823268"/>
    <w:rsid w:val="00834DDF"/>
    <w:rsid w:val="00850DC9"/>
    <w:rsid w:val="0089440C"/>
    <w:rsid w:val="00937AE8"/>
    <w:rsid w:val="009415A1"/>
    <w:rsid w:val="009427F2"/>
    <w:rsid w:val="009A7459"/>
    <w:rsid w:val="009B71E7"/>
    <w:rsid w:val="00A76362"/>
    <w:rsid w:val="00A86842"/>
    <w:rsid w:val="00AB2741"/>
    <w:rsid w:val="00B109C2"/>
    <w:rsid w:val="00B85FDA"/>
    <w:rsid w:val="00BA6311"/>
    <w:rsid w:val="00C35F38"/>
    <w:rsid w:val="00C35FDD"/>
    <w:rsid w:val="00C47BB8"/>
    <w:rsid w:val="00C50353"/>
    <w:rsid w:val="00C52D1F"/>
    <w:rsid w:val="00CC1B9F"/>
    <w:rsid w:val="00CE3F52"/>
    <w:rsid w:val="00D7617F"/>
    <w:rsid w:val="00D81B35"/>
    <w:rsid w:val="00DA4451"/>
    <w:rsid w:val="00DA6F5B"/>
    <w:rsid w:val="00DA7F84"/>
    <w:rsid w:val="00DF037C"/>
    <w:rsid w:val="00E16F71"/>
    <w:rsid w:val="00E20FB4"/>
    <w:rsid w:val="00E40834"/>
    <w:rsid w:val="00E429D8"/>
    <w:rsid w:val="00E44C58"/>
    <w:rsid w:val="00E61E40"/>
    <w:rsid w:val="00E925CD"/>
    <w:rsid w:val="00E95C9E"/>
    <w:rsid w:val="00ED0384"/>
    <w:rsid w:val="00F23B56"/>
    <w:rsid w:val="00F56A05"/>
    <w:rsid w:val="00F7116F"/>
    <w:rsid w:val="01405C62"/>
    <w:rsid w:val="017716F4"/>
    <w:rsid w:val="01F263DB"/>
    <w:rsid w:val="01F648EB"/>
    <w:rsid w:val="024C6702"/>
    <w:rsid w:val="026505B4"/>
    <w:rsid w:val="028630A1"/>
    <w:rsid w:val="02FD4879"/>
    <w:rsid w:val="038C7FF1"/>
    <w:rsid w:val="038F71C9"/>
    <w:rsid w:val="03AA3E3B"/>
    <w:rsid w:val="03C00050"/>
    <w:rsid w:val="03EA5C50"/>
    <w:rsid w:val="03FB485E"/>
    <w:rsid w:val="04447FB3"/>
    <w:rsid w:val="0458580D"/>
    <w:rsid w:val="04600135"/>
    <w:rsid w:val="05054F3D"/>
    <w:rsid w:val="05526700"/>
    <w:rsid w:val="05F46152"/>
    <w:rsid w:val="05F835B0"/>
    <w:rsid w:val="06113422"/>
    <w:rsid w:val="063B27DE"/>
    <w:rsid w:val="065E25EC"/>
    <w:rsid w:val="06835E42"/>
    <w:rsid w:val="06F965CB"/>
    <w:rsid w:val="07487AC1"/>
    <w:rsid w:val="07623DA7"/>
    <w:rsid w:val="07EA78F4"/>
    <w:rsid w:val="081119C7"/>
    <w:rsid w:val="08935065"/>
    <w:rsid w:val="08DE4DFD"/>
    <w:rsid w:val="0922463B"/>
    <w:rsid w:val="09D7168A"/>
    <w:rsid w:val="0A1D1E06"/>
    <w:rsid w:val="0A4C7CCD"/>
    <w:rsid w:val="0AC8117A"/>
    <w:rsid w:val="0B057D70"/>
    <w:rsid w:val="0B486D9D"/>
    <w:rsid w:val="0B4F52A1"/>
    <w:rsid w:val="0B652DFD"/>
    <w:rsid w:val="0B654246"/>
    <w:rsid w:val="0BD448F3"/>
    <w:rsid w:val="0C7B7749"/>
    <w:rsid w:val="0C8F3D96"/>
    <w:rsid w:val="0CE2397A"/>
    <w:rsid w:val="0CEE5818"/>
    <w:rsid w:val="0DDF3EA9"/>
    <w:rsid w:val="0E8A5D36"/>
    <w:rsid w:val="0E903615"/>
    <w:rsid w:val="0EC3241C"/>
    <w:rsid w:val="0F0A0BC6"/>
    <w:rsid w:val="0F216C64"/>
    <w:rsid w:val="0F3E23E2"/>
    <w:rsid w:val="0F5C4EB1"/>
    <w:rsid w:val="0F760C96"/>
    <w:rsid w:val="0F8B51E9"/>
    <w:rsid w:val="0FB0474F"/>
    <w:rsid w:val="0FEA06B3"/>
    <w:rsid w:val="106B2554"/>
    <w:rsid w:val="107207B8"/>
    <w:rsid w:val="1085571C"/>
    <w:rsid w:val="10AD6224"/>
    <w:rsid w:val="111B6540"/>
    <w:rsid w:val="113F7BA5"/>
    <w:rsid w:val="124E5235"/>
    <w:rsid w:val="125C471A"/>
    <w:rsid w:val="12970A77"/>
    <w:rsid w:val="12D300E7"/>
    <w:rsid w:val="136B79EF"/>
    <w:rsid w:val="1370543F"/>
    <w:rsid w:val="13811EEE"/>
    <w:rsid w:val="13817C14"/>
    <w:rsid w:val="1384217A"/>
    <w:rsid w:val="13FF3975"/>
    <w:rsid w:val="14004E57"/>
    <w:rsid w:val="140B63F8"/>
    <w:rsid w:val="14861683"/>
    <w:rsid w:val="14887B46"/>
    <w:rsid w:val="14EF3497"/>
    <w:rsid w:val="153C45B3"/>
    <w:rsid w:val="157947AC"/>
    <w:rsid w:val="15DB09EF"/>
    <w:rsid w:val="1650535C"/>
    <w:rsid w:val="167C5922"/>
    <w:rsid w:val="16B75B8F"/>
    <w:rsid w:val="16E318AE"/>
    <w:rsid w:val="16FE1938"/>
    <w:rsid w:val="170C3948"/>
    <w:rsid w:val="174165D4"/>
    <w:rsid w:val="178056C8"/>
    <w:rsid w:val="17D86F39"/>
    <w:rsid w:val="17EC7FC1"/>
    <w:rsid w:val="17F81734"/>
    <w:rsid w:val="180061CB"/>
    <w:rsid w:val="18154C5A"/>
    <w:rsid w:val="18EF3804"/>
    <w:rsid w:val="19001E74"/>
    <w:rsid w:val="191044B0"/>
    <w:rsid w:val="194A79C2"/>
    <w:rsid w:val="195C3A7E"/>
    <w:rsid w:val="1A2375F0"/>
    <w:rsid w:val="1AC0275A"/>
    <w:rsid w:val="1AE500E3"/>
    <w:rsid w:val="1B1D1342"/>
    <w:rsid w:val="1B2A6629"/>
    <w:rsid w:val="1B3031E9"/>
    <w:rsid w:val="1B9E5DA3"/>
    <w:rsid w:val="1BBC2184"/>
    <w:rsid w:val="1BF9122C"/>
    <w:rsid w:val="1C103D2D"/>
    <w:rsid w:val="1C1965EC"/>
    <w:rsid w:val="1C7701B9"/>
    <w:rsid w:val="1CEA3F89"/>
    <w:rsid w:val="1CF73295"/>
    <w:rsid w:val="1D451326"/>
    <w:rsid w:val="1D5F4748"/>
    <w:rsid w:val="1D990F18"/>
    <w:rsid w:val="1D99665F"/>
    <w:rsid w:val="1DC85359"/>
    <w:rsid w:val="1E1862E1"/>
    <w:rsid w:val="1E605592"/>
    <w:rsid w:val="1E621D9B"/>
    <w:rsid w:val="1E9448CB"/>
    <w:rsid w:val="1E945AB3"/>
    <w:rsid w:val="1EA3498E"/>
    <w:rsid w:val="1EAB6F14"/>
    <w:rsid w:val="1EFB5835"/>
    <w:rsid w:val="1F417171"/>
    <w:rsid w:val="1F5052F4"/>
    <w:rsid w:val="1F8A1433"/>
    <w:rsid w:val="1FD94E57"/>
    <w:rsid w:val="205247F6"/>
    <w:rsid w:val="205508A0"/>
    <w:rsid w:val="206501BF"/>
    <w:rsid w:val="20C21B5F"/>
    <w:rsid w:val="20D8491F"/>
    <w:rsid w:val="2163103A"/>
    <w:rsid w:val="217D79B3"/>
    <w:rsid w:val="219B3B12"/>
    <w:rsid w:val="219E2440"/>
    <w:rsid w:val="21F8300E"/>
    <w:rsid w:val="22A16179"/>
    <w:rsid w:val="22D4227E"/>
    <w:rsid w:val="22FA27EC"/>
    <w:rsid w:val="230477A4"/>
    <w:rsid w:val="234550B7"/>
    <w:rsid w:val="2384696C"/>
    <w:rsid w:val="23B968AE"/>
    <w:rsid w:val="240772FF"/>
    <w:rsid w:val="24183DF0"/>
    <w:rsid w:val="24710772"/>
    <w:rsid w:val="247778DD"/>
    <w:rsid w:val="247A77A8"/>
    <w:rsid w:val="24D6630F"/>
    <w:rsid w:val="24DE1906"/>
    <w:rsid w:val="24E76A0D"/>
    <w:rsid w:val="24F84929"/>
    <w:rsid w:val="252A0A7B"/>
    <w:rsid w:val="257B506C"/>
    <w:rsid w:val="259F7519"/>
    <w:rsid w:val="25AF42DB"/>
    <w:rsid w:val="25B348BA"/>
    <w:rsid w:val="25DE1005"/>
    <w:rsid w:val="25FD2566"/>
    <w:rsid w:val="26146B0C"/>
    <w:rsid w:val="26497630"/>
    <w:rsid w:val="26816946"/>
    <w:rsid w:val="26DB7398"/>
    <w:rsid w:val="27033FBD"/>
    <w:rsid w:val="2705728B"/>
    <w:rsid w:val="27417BF8"/>
    <w:rsid w:val="27693B45"/>
    <w:rsid w:val="27CC3C98"/>
    <w:rsid w:val="283A129B"/>
    <w:rsid w:val="28FE78EF"/>
    <w:rsid w:val="29672817"/>
    <w:rsid w:val="29763DAA"/>
    <w:rsid w:val="29954B63"/>
    <w:rsid w:val="29A41943"/>
    <w:rsid w:val="29B831E7"/>
    <w:rsid w:val="29DF16A7"/>
    <w:rsid w:val="29F74F67"/>
    <w:rsid w:val="29FA2CA0"/>
    <w:rsid w:val="2A047719"/>
    <w:rsid w:val="2A484907"/>
    <w:rsid w:val="2AE337D3"/>
    <w:rsid w:val="2B755902"/>
    <w:rsid w:val="2BA81833"/>
    <w:rsid w:val="2BAC3F70"/>
    <w:rsid w:val="2BB02AB9"/>
    <w:rsid w:val="2C4E3F93"/>
    <w:rsid w:val="2C56166B"/>
    <w:rsid w:val="2C772798"/>
    <w:rsid w:val="2CE33635"/>
    <w:rsid w:val="2D287BC3"/>
    <w:rsid w:val="2D391980"/>
    <w:rsid w:val="2D7C6F9A"/>
    <w:rsid w:val="2ED263DE"/>
    <w:rsid w:val="2F312BD6"/>
    <w:rsid w:val="2F4F315F"/>
    <w:rsid w:val="2F5260FE"/>
    <w:rsid w:val="2F78760A"/>
    <w:rsid w:val="2F882B9B"/>
    <w:rsid w:val="30780EC9"/>
    <w:rsid w:val="309A0801"/>
    <w:rsid w:val="31651329"/>
    <w:rsid w:val="31C46552"/>
    <w:rsid w:val="31EC7268"/>
    <w:rsid w:val="3231567E"/>
    <w:rsid w:val="32691E0F"/>
    <w:rsid w:val="33722AF4"/>
    <w:rsid w:val="339F6CDD"/>
    <w:rsid w:val="344952F9"/>
    <w:rsid w:val="34962644"/>
    <w:rsid w:val="34F20284"/>
    <w:rsid w:val="35ED19A9"/>
    <w:rsid w:val="3619346A"/>
    <w:rsid w:val="366152C5"/>
    <w:rsid w:val="37DD34EA"/>
    <w:rsid w:val="3859649B"/>
    <w:rsid w:val="386D2696"/>
    <w:rsid w:val="38CA384A"/>
    <w:rsid w:val="39227B1B"/>
    <w:rsid w:val="39406911"/>
    <w:rsid w:val="396C52DB"/>
    <w:rsid w:val="39850296"/>
    <w:rsid w:val="399860D0"/>
    <w:rsid w:val="39C26750"/>
    <w:rsid w:val="3A7F1D43"/>
    <w:rsid w:val="3A8D223E"/>
    <w:rsid w:val="3B291386"/>
    <w:rsid w:val="3B563038"/>
    <w:rsid w:val="3B697D24"/>
    <w:rsid w:val="3B7A306D"/>
    <w:rsid w:val="3B80307E"/>
    <w:rsid w:val="3BCA7BD7"/>
    <w:rsid w:val="3C6C37E2"/>
    <w:rsid w:val="3C7D1C3F"/>
    <w:rsid w:val="3CDF42B5"/>
    <w:rsid w:val="3CEA3E5A"/>
    <w:rsid w:val="3CFD6A0C"/>
    <w:rsid w:val="3DDA1E4D"/>
    <w:rsid w:val="3F2114A2"/>
    <w:rsid w:val="3F724CCD"/>
    <w:rsid w:val="3F7942AE"/>
    <w:rsid w:val="400943B7"/>
    <w:rsid w:val="40143523"/>
    <w:rsid w:val="406B2735"/>
    <w:rsid w:val="4171469C"/>
    <w:rsid w:val="41857EAB"/>
    <w:rsid w:val="42C454C8"/>
    <w:rsid w:val="42EC4BA0"/>
    <w:rsid w:val="43482ADF"/>
    <w:rsid w:val="43497E11"/>
    <w:rsid w:val="438C52D1"/>
    <w:rsid w:val="43AF1DC7"/>
    <w:rsid w:val="442360D8"/>
    <w:rsid w:val="443F1158"/>
    <w:rsid w:val="450B3104"/>
    <w:rsid w:val="45374F70"/>
    <w:rsid w:val="45A32D85"/>
    <w:rsid w:val="45E922E2"/>
    <w:rsid w:val="46181B9F"/>
    <w:rsid w:val="46B73DB3"/>
    <w:rsid w:val="46B85A12"/>
    <w:rsid w:val="46C20ABF"/>
    <w:rsid w:val="471C5409"/>
    <w:rsid w:val="47514100"/>
    <w:rsid w:val="475E76EE"/>
    <w:rsid w:val="47B54AE2"/>
    <w:rsid w:val="47C24104"/>
    <w:rsid w:val="484652C3"/>
    <w:rsid w:val="48537D92"/>
    <w:rsid w:val="489E735B"/>
    <w:rsid w:val="48EF215B"/>
    <w:rsid w:val="491F1A22"/>
    <w:rsid w:val="49547ADE"/>
    <w:rsid w:val="499358EA"/>
    <w:rsid w:val="49A70025"/>
    <w:rsid w:val="4A9518DB"/>
    <w:rsid w:val="4AB935E6"/>
    <w:rsid w:val="4B1F601E"/>
    <w:rsid w:val="4B65339C"/>
    <w:rsid w:val="4BA12BC2"/>
    <w:rsid w:val="4BE2220E"/>
    <w:rsid w:val="4CBF2857"/>
    <w:rsid w:val="4CF82AE4"/>
    <w:rsid w:val="4D097364"/>
    <w:rsid w:val="4D667BB3"/>
    <w:rsid w:val="4D7808AB"/>
    <w:rsid w:val="4DC87963"/>
    <w:rsid w:val="4E0626FD"/>
    <w:rsid w:val="4EA45B39"/>
    <w:rsid w:val="4EC2357B"/>
    <w:rsid w:val="4EED2017"/>
    <w:rsid w:val="4F2E2211"/>
    <w:rsid w:val="4F4E78CD"/>
    <w:rsid w:val="4F98252E"/>
    <w:rsid w:val="4FA62E1E"/>
    <w:rsid w:val="4FAC0AB2"/>
    <w:rsid w:val="4FC809F8"/>
    <w:rsid w:val="4FE85961"/>
    <w:rsid w:val="50072C4D"/>
    <w:rsid w:val="50341189"/>
    <w:rsid w:val="50830AE8"/>
    <w:rsid w:val="50837233"/>
    <w:rsid w:val="514C5668"/>
    <w:rsid w:val="51513799"/>
    <w:rsid w:val="518C29B6"/>
    <w:rsid w:val="51AC0513"/>
    <w:rsid w:val="52170DB7"/>
    <w:rsid w:val="52AA23A8"/>
    <w:rsid w:val="52B7187A"/>
    <w:rsid w:val="52BF3A93"/>
    <w:rsid w:val="53A5465B"/>
    <w:rsid w:val="53B6028C"/>
    <w:rsid w:val="53E775E0"/>
    <w:rsid w:val="54392B16"/>
    <w:rsid w:val="54442E65"/>
    <w:rsid w:val="545B2AA1"/>
    <w:rsid w:val="545C3B2A"/>
    <w:rsid w:val="549B5701"/>
    <w:rsid w:val="54A9277D"/>
    <w:rsid w:val="55182E77"/>
    <w:rsid w:val="553F16B7"/>
    <w:rsid w:val="558856A9"/>
    <w:rsid w:val="55CA2A9E"/>
    <w:rsid w:val="55CA3B80"/>
    <w:rsid w:val="55E50F1B"/>
    <w:rsid w:val="565F6886"/>
    <w:rsid w:val="56BC237C"/>
    <w:rsid w:val="56CD4B4D"/>
    <w:rsid w:val="56D402F0"/>
    <w:rsid w:val="575C7815"/>
    <w:rsid w:val="5798381B"/>
    <w:rsid w:val="57D4447A"/>
    <w:rsid w:val="57F759F2"/>
    <w:rsid w:val="585447AE"/>
    <w:rsid w:val="58AF736D"/>
    <w:rsid w:val="58D26AB1"/>
    <w:rsid w:val="58D704D4"/>
    <w:rsid w:val="58EC4DE1"/>
    <w:rsid w:val="595C62A8"/>
    <w:rsid w:val="596B72CE"/>
    <w:rsid w:val="59B3494A"/>
    <w:rsid w:val="59EB1B1F"/>
    <w:rsid w:val="59EC6E24"/>
    <w:rsid w:val="5A0B2520"/>
    <w:rsid w:val="5A186813"/>
    <w:rsid w:val="5A33532D"/>
    <w:rsid w:val="5A3B2376"/>
    <w:rsid w:val="5A40591F"/>
    <w:rsid w:val="5A6F0692"/>
    <w:rsid w:val="5ABF2E42"/>
    <w:rsid w:val="5ACA6C0C"/>
    <w:rsid w:val="5B586398"/>
    <w:rsid w:val="5B5E26D5"/>
    <w:rsid w:val="5B916903"/>
    <w:rsid w:val="5BEF472E"/>
    <w:rsid w:val="5C932202"/>
    <w:rsid w:val="5CC87E6F"/>
    <w:rsid w:val="5CD72CFD"/>
    <w:rsid w:val="5CD918EA"/>
    <w:rsid w:val="5D094A6B"/>
    <w:rsid w:val="5D247D3D"/>
    <w:rsid w:val="5DAE1AC9"/>
    <w:rsid w:val="5E153AF5"/>
    <w:rsid w:val="5E6D4B86"/>
    <w:rsid w:val="5EF332DD"/>
    <w:rsid w:val="5F0E1E7F"/>
    <w:rsid w:val="5F112305"/>
    <w:rsid w:val="5F2767B3"/>
    <w:rsid w:val="5FBD4096"/>
    <w:rsid w:val="5FE31F70"/>
    <w:rsid w:val="60045498"/>
    <w:rsid w:val="606D5311"/>
    <w:rsid w:val="614C1844"/>
    <w:rsid w:val="617A6C2D"/>
    <w:rsid w:val="61855523"/>
    <w:rsid w:val="618968F0"/>
    <w:rsid w:val="619E6355"/>
    <w:rsid w:val="61BD64DA"/>
    <w:rsid w:val="6208709F"/>
    <w:rsid w:val="6215384D"/>
    <w:rsid w:val="62426A55"/>
    <w:rsid w:val="627460EE"/>
    <w:rsid w:val="62782477"/>
    <w:rsid w:val="62AC06BC"/>
    <w:rsid w:val="633B4987"/>
    <w:rsid w:val="63525D55"/>
    <w:rsid w:val="639D5F0D"/>
    <w:rsid w:val="63F321C7"/>
    <w:rsid w:val="64BD699D"/>
    <w:rsid w:val="64C20A08"/>
    <w:rsid w:val="64F06443"/>
    <w:rsid w:val="65737FB9"/>
    <w:rsid w:val="65750B21"/>
    <w:rsid w:val="658C6239"/>
    <w:rsid w:val="65C91E0B"/>
    <w:rsid w:val="65DF5ECF"/>
    <w:rsid w:val="661D7FD4"/>
    <w:rsid w:val="66292447"/>
    <w:rsid w:val="665A45AE"/>
    <w:rsid w:val="66A662C4"/>
    <w:rsid w:val="66D01EE1"/>
    <w:rsid w:val="66DE2D4E"/>
    <w:rsid w:val="67222B8A"/>
    <w:rsid w:val="679D182D"/>
    <w:rsid w:val="67BB6396"/>
    <w:rsid w:val="68794E30"/>
    <w:rsid w:val="687B5327"/>
    <w:rsid w:val="688621C1"/>
    <w:rsid w:val="68C15BDE"/>
    <w:rsid w:val="6AD23ACD"/>
    <w:rsid w:val="6AE706B2"/>
    <w:rsid w:val="6B103823"/>
    <w:rsid w:val="6B315A81"/>
    <w:rsid w:val="6B4E7636"/>
    <w:rsid w:val="6C1256EA"/>
    <w:rsid w:val="6C3F4637"/>
    <w:rsid w:val="6C9D07C7"/>
    <w:rsid w:val="6CB426A8"/>
    <w:rsid w:val="6D3835CD"/>
    <w:rsid w:val="6D9B59D3"/>
    <w:rsid w:val="6DDF18A8"/>
    <w:rsid w:val="6E7742D5"/>
    <w:rsid w:val="6E947A29"/>
    <w:rsid w:val="6EFB1E55"/>
    <w:rsid w:val="6F6A3147"/>
    <w:rsid w:val="6FA26D85"/>
    <w:rsid w:val="6FC14D32"/>
    <w:rsid w:val="701E0D35"/>
    <w:rsid w:val="708C2BAE"/>
    <w:rsid w:val="717A54B6"/>
    <w:rsid w:val="71B0505E"/>
    <w:rsid w:val="71E47115"/>
    <w:rsid w:val="720A6E64"/>
    <w:rsid w:val="72124418"/>
    <w:rsid w:val="72394C9A"/>
    <w:rsid w:val="72563E57"/>
    <w:rsid w:val="72BF52A3"/>
    <w:rsid w:val="73520170"/>
    <w:rsid w:val="73813156"/>
    <w:rsid w:val="739C7F8F"/>
    <w:rsid w:val="73B32D5B"/>
    <w:rsid w:val="741B0EB4"/>
    <w:rsid w:val="7487654A"/>
    <w:rsid w:val="74906E74"/>
    <w:rsid w:val="74D2633E"/>
    <w:rsid w:val="75061B64"/>
    <w:rsid w:val="75127B2A"/>
    <w:rsid w:val="75482C31"/>
    <w:rsid w:val="756B70AB"/>
    <w:rsid w:val="758069CB"/>
    <w:rsid w:val="75D03F20"/>
    <w:rsid w:val="75FB7FE4"/>
    <w:rsid w:val="762D45E7"/>
    <w:rsid w:val="76432C97"/>
    <w:rsid w:val="76472E5B"/>
    <w:rsid w:val="76622032"/>
    <w:rsid w:val="76D11CFE"/>
    <w:rsid w:val="76DA2B8D"/>
    <w:rsid w:val="773F1B2E"/>
    <w:rsid w:val="776141C0"/>
    <w:rsid w:val="776668EA"/>
    <w:rsid w:val="77E71EE7"/>
    <w:rsid w:val="77FE6B23"/>
    <w:rsid w:val="783B1B25"/>
    <w:rsid w:val="78403651"/>
    <w:rsid w:val="784051C1"/>
    <w:rsid w:val="789E16E5"/>
    <w:rsid w:val="78DB40C6"/>
    <w:rsid w:val="7954401D"/>
    <w:rsid w:val="79547EF1"/>
    <w:rsid w:val="79A24C96"/>
    <w:rsid w:val="79B80F53"/>
    <w:rsid w:val="7AC02D1F"/>
    <w:rsid w:val="7AE80A7B"/>
    <w:rsid w:val="7AE861A8"/>
    <w:rsid w:val="7B452E9A"/>
    <w:rsid w:val="7B5C7060"/>
    <w:rsid w:val="7B5E14E4"/>
    <w:rsid w:val="7B741965"/>
    <w:rsid w:val="7BBF78B4"/>
    <w:rsid w:val="7BFE30BC"/>
    <w:rsid w:val="7C0A7BF1"/>
    <w:rsid w:val="7C5807CC"/>
    <w:rsid w:val="7CB579CC"/>
    <w:rsid w:val="7CD24C07"/>
    <w:rsid w:val="7CDD0037"/>
    <w:rsid w:val="7CF44998"/>
    <w:rsid w:val="7D2C5AF6"/>
    <w:rsid w:val="7D6A4C5A"/>
    <w:rsid w:val="7D8F4D87"/>
    <w:rsid w:val="7DBB66FE"/>
    <w:rsid w:val="7DBE27C1"/>
    <w:rsid w:val="7DCA5F0F"/>
    <w:rsid w:val="7E1F736F"/>
    <w:rsid w:val="7E300305"/>
    <w:rsid w:val="7E7D74C3"/>
    <w:rsid w:val="7EB52BD6"/>
    <w:rsid w:val="7F346A78"/>
    <w:rsid w:val="7FA57776"/>
    <w:rsid w:val="7FC250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unhideWhenUsed/>
    <w:qFormat/>
    <w:uiPriority w:val="0"/>
    <w:pPr>
      <w:snapToGrid w:val="0"/>
      <w:jc w:val="left"/>
    </w:pPr>
    <w:rPr>
      <w:rFonts w:hint="eastAsia" w:eastAsia="宋体"/>
      <w:sz w:val="18"/>
      <w:szCs w:val="24"/>
    </w:rPr>
  </w:style>
  <w:style w:type="paragraph" w:styleId="3">
    <w:name w:val="Document Map"/>
    <w:basedOn w:val="1"/>
    <w:semiHidden/>
    <w:qFormat/>
    <w:uiPriority w:val="0"/>
    <w:pPr>
      <w:shd w:val="clear" w:color="auto" w:fill="000080"/>
    </w:pPr>
  </w:style>
  <w:style w:type="paragraph" w:styleId="4">
    <w:name w:val="footer"/>
    <w:basedOn w:val="1"/>
    <w:link w:val="14"/>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character" w:styleId="10">
    <w:name w:val="Hyperlink"/>
    <w:basedOn w:val="8"/>
    <w:qFormat/>
    <w:uiPriority w:val="0"/>
    <w:rPr>
      <w:color w:val="0000FF"/>
      <w:u w:val="single"/>
    </w:rPr>
  </w:style>
  <w:style w:type="paragraph" w:customStyle="1" w:styleId="11">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customStyle="1" w:styleId="12">
    <w:name w:val="Char"/>
    <w:basedOn w:val="1"/>
    <w:qFormat/>
    <w:uiPriority w:val="0"/>
    <w:rPr>
      <w:rFonts w:ascii="宋体" w:hAnsi="宋体" w:cs="Courier New"/>
      <w:sz w:val="32"/>
      <w:szCs w:val="32"/>
    </w:rPr>
  </w:style>
  <w:style w:type="character" w:customStyle="1" w:styleId="13">
    <w:name w:val="页眉 Char"/>
    <w:link w:val="5"/>
    <w:qFormat/>
    <w:uiPriority w:val="0"/>
    <w:rPr>
      <w:kern w:val="2"/>
      <w:sz w:val="18"/>
      <w:szCs w:val="18"/>
    </w:rPr>
  </w:style>
  <w:style w:type="character" w:customStyle="1" w:styleId="14">
    <w:name w:val="页脚 Char"/>
    <w:link w:val="4"/>
    <w:qFormat/>
    <w:uiPriority w:val="0"/>
    <w:rPr>
      <w:kern w:val="2"/>
      <w:sz w:val="18"/>
      <w:szCs w:val="18"/>
    </w:rPr>
  </w:style>
  <w:style w:type="paragraph" w:customStyle="1" w:styleId="15">
    <w:name w:val="[Normal]"/>
    <w:qFormat/>
    <w:uiPriority w:val="0"/>
    <w:rPr>
      <w:rFonts w:ascii="宋体" w:hAnsi="宋体" w:eastAsia="宋体" w:cs="Times New Roman"/>
      <w:sz w:val="24"/>
      <w:lang w:val="zh-CN" w:eastAsia="zh-CN" w:bidi="ar-SA"/>
    </w:rPr>
  </w:style>
  <w:style w:type="paragraph" w:customStyle="1" w:styleId="16">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xc</Company>
  <Pages>12</Pages>
  <Words>4721</Words>
  <Characters>5232</Characters>
  <Lines>145</Lines>
  <Paragraphs>54</Paragraphs>
  <TotalTime>3</TotalTime>
  <ScaleCrop>false</ScaleCrop>
  <LinksUpToDate>false</LinksUpToDate>
  <CharactersWithSpaces>5292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2020-01-06T08:45:00Z</dcterms:created>
  <dc:creator>dsx</dc:creator>
  <cp:lastModifiedBy>樱</cp:lastModifiedBy>
  <dcterms:modified xsi:type="dcterms:W3CDTF">2026-02-24T09:20:44Z</dcterms:modified>
  <dc:title>关于2019年部门预算的批复</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EDOID">
    <vt:r8>5838458</vt:r8>
  </property>
  <property fmtid="{D5CDD505-2E9C-101B-9397-08002B2CF9AE}" pid="4" name="ICV">
    <vt:lpwstr>8E944FE9F1954495B0582039496D9D52_13</vt:lpwstr>
  </property>
  <property fmtid="{D5CDD505-2E9C-101B-9397-08002B2CF9AE}" pid="5" name="KSOTemplateDocerSaveRecord">
    <vt:lpwstr>eyJoZGlkIjoiOWQyYWVjM2ZmNjM0NTU1ODc4OTQ3ODY2NDEyMjE3ZjIiLCJ1c2VySWQiOiIxMTQzNDU5MTk0In0=</vt:lpwstr>
  </property>
</Properties>
</file>