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s="黑体"/>
          <w:spacing w:val="15"/>
          <w:sz w:val="32"/>
          <w:szCs w:val="32"/>
        </w:rPr>
      </w:pPr>
    </w:p>
    <w:p>
      <w:pPr>
        <w:spacing w:line="560" w:lineRule="exact"/>
        <w:jc w:val="center"/>
        <w:rPr>
          <w:rFonts w:ascii="方正小标宋简体" w:hAnsi="方正小标宋简体" w:eastAsia="方正小标宋简体" w:cs="方正小标宋简体"/>
          <w:spacing w:val="15"/>
          <w:sz w:val="44"/>
          <w:szCs w:val="44"/>
        </w:rPr>
      </w:pPr>
    </w:p>
    <w:p>
      <w:pPr>
        <w:spacing w:line="560" w:lineRule="exact"/>
        <w:jc w:val="center"/>
        <w:rPr>
          <w:rFonts w:ascii="方正小标宋简体" w:hAnsi="方正小标宋简体" w:eastAsia="方正小标宋简体" w:cs="方正小标宋简体"/>
          <w:bCs/>
          <w:spacing w:val="15"/>
          <w:sz w:val="44"/>
          <w:szCs w:val="44"/>
        </w:rPr>
      </w:pPr>
    </w:p>
    <w:p>
      <w:pPr>
        <w:spacing w:line="560" w:lineRule="exact"/>
        <w:jc w:val="center"/>
        <w:rPr>
          <w:rFonts w:ascii="方正小标宋简体" w:hAnsi="方正小标宋简体" w:eastAsia="方正小标宋简体" w:cs="方正小标宋简体"/>
          <w:bCs/>
          <w:spacing w:val="15"/>
          <w:sz w:val="44"/>
          <w:szCs w:val="44"/>
        </w:rPr>
      </w:pPr>
    </w:p>
    <w:p>
      <w:pPr>
        <w:spacing w:line="560" w:lineRule="exact"/>
        <w:jc w:val="center"/>
        <w:rPr>
          <w:rFonts w:ascii="方正小标宋简体" w:hAnsi="方正小标宋简体" w:eastAsia="方正小标宋简体" w:cs="方正小标宋简体"/>
          <w:bCs/>
          <w:spacing w:val="15"/>
          <w:sz w:val="44"/>
          <w:szCs w:val="44"/>
        </w:rPr>
      </w:pPr>
    </w:p>
    <w:p>
      <w:pPr>
        <w:spacing w:line="560" w:lineRule="exact"/>
        <w:jc w:val="center"/>
        <w:rPr>
          <w:rFonts w:ascii="方正小标宋简体" w:hAnsi="方正小标宋简体" w:eastAsia="方正小标宋简体" w:cs="方正小标宋简体"/>
          <w:bCs/>
          <w:spacing w:val="15"/>
          <w:sz w:val="44"/>
          <w:szCs w:val="44"/>
        </w:rPr>
      </w:pPr>
    </w:p>
    <w:p>
      <w:pPr>
        <w:spacing w:line="560" w:lineRule="exact"/>
        <w:jc w:val="center"/>
        <w:rPr>
          <w:rFonts w:ascii="方正小标宋简体" w:hAnsi="方正小标宋简体" w:eastAsia="方正小标宋简体" w:cs="方正小标宋简体"/>
          <w:bCs/>
          <w:spacing w:val="15"/>
          <w:sz w:val="44"/>
          <w:szCs w:val="44"/>
        </w:rPr>
      </w:pPr>
    </w:p>
    <w:p>
      <w:pPr>
        <w:spacing w:line="560" w:lineRule="exact"/>
        <w:jc w:val="center"/>
        <w:rPr>
          <w:rFonts w:ascii="方正小标宋简体" w:hAnsi="方正小标宋简体" w:eastAsia="方正小标宋简体" w:cs="方正小标宋简体"/>
          <w:bCs/>
          <w:spacing w:val="15"/>
          <w:sz w:val="44"/>
          <w:szCs w:val="44"/>
        </w:rPr>
      </w:pPr>
    </w:p>
    <w:p>
      <w:pPr>
        <w:spacing w:line="560" w:lineRule="exact"/>
        <w:jc w:val="center"/>
        <w:rPr>
          <w:rFonts w:ascii="方正小标宋简体" w:hAnsi="方正小标宋简体" w:eastAsia="方正小标宋简体" w:cs="方正小标宋简体"/>
          <w:bCs/>
          <w:spacing w:val="15"/>
          <w:sz w:val="44"/>
          <w:szCs w:val="44"/>
        </w:rPr>
      </w:pPr>
    </w:p>
    <w:p>
      <w:pPr>
        <w:spacing w:line="560" w:lineRule="exact"/>
        <w:jc w:val="center"/>
        <w:rPr>
          <w:rFonts w:ascii="方正小标宋简体" w:hAnsi="方正小标宋简体" w:eastAsia="方正小标宋简体" w:cs="方正小标宋简体"/>
          <w:bCs/>
          <w:spacing w:val="15"/>
          <w:sz w:val="44"/>
          <w:szCs w:val="44"/>
        </w:rPr>
      </w:pPr>
      <w:r>
        <w:rPr>
          <w:rFonts w:ascii="方正小标宋简体" w:hAnsi="方正小标宋简体" w:eastAsia="方正小标宋简体" w:cs="方正小标宋简体"/>
          <w:bCs/>
          <w:spacing w:val="15"/>
          <w:sz w:val="44"/>
          <w:szCs w:val="44"/>
        </w:rPr>
        <w:t>中共浦江县委组织部</w:t>
      </w:r>
      <w:r>
        <w:rPr>
          <w:rFonts w:hint="eastAsia" w:ascii="方正小标宋简体" w:hAnsi="方正小标宋简体" w:eastAsia="方正小标宋简体" w:cs="方正小标宋简体"/>
          <w:bCs/>
          <w:spacing w:val="15"/>
          <w:sz w:val="44"/>
          <w:szCs w:val="44"/>
          <w:lang w:eastAsia="zh-CN"/>
        </w:rPr>
        <w:t>2026年</w:t>
      </w:r>
      <w:r>
        <w:rPr>
          <w:rFonts w:hint="eastAsia" w:ascii="方正小标宋简体" w:hAnsi="方正小标宋简体" w:eastAsia="方正小标宋简体" w:cs="方正小标宋简体"/>
          <w:bCs/>
          <w:spacing w:val="15"/>
          <w:sz w:val="44"/>
          <w:szCs w:val="44"/>
        </w:rPr>
        <w:t>单位预算</w:t>
      </w:r>
    </w:p>
    <w:p>
      <w:pPr>
        <w:spacing w:line="560" w:lineRule="exact"/>
        <w:ind w:firstLine="590" w:firstLineChars="196"/>
        <w:rPr>
          <w:rStyle w:val="9"/>
          <w:color w:val="000000"/>
          <w:sz w:val="30"/>
          <w:szCs w:val="30"/>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r>
        <w:rPr>
          <w:rStyle w:val="9"/>
          <w:rFonts w:hint="eastAsia" w:ascii="黑体" w:eastAsia="黑体"/>
          <w:b w:val="0"/>
          <w:color w:val="000000"/>
          <w:sz w:val="32"/>
          <w:szCs w:val="32"/>
        </w:rPr>
        <w:t>目录</w:t>
      </w:r>
    </w:p>
    <w:p>
      <w:pPr>
        <w:spacing w:line="520" w:lineRule="exact"/>
        <w:rPr>
          <w:rFonts w:eastAsia="黑体"/>
          <w:sz w:val="32"/>
        </w:rPr>
      </w:pPr>
      <w:r>
        <w:rPr>
          <w:rFonts w:hint="eastAsia" w:ascii="黑体" w:eastAsia="黑体"/>
          <w:color w:val="000000"/>
          <w:sz w:val="32"/>
          <w:highlight w:val="white"/>
        </w:rPr>
        <w:t>一、单位</w:t>
      </w:r>
      <w:r>
        <w:rPr>
          <w:rStyle w:val="9"/>
          <w:rFonts w:hint="eastAsia" w:ascii="黑体" w:eastAsia="黑体"/>
          <w:b w:val="0"/>
          <w:color w:val="000000"/>
          <w:sz w:val="32"/>
          <w:szCs w:val="32"/>
        </w:rPr>
        <w:t>概况</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（一）主要职能</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（二）单位机构设置情况</w:t>
      </w:r>
    </w:p>
    <w:p>
      <w:pPr>
        <w:spacing w:line="520" w:lineRule="exact"/>
        <w:rPr>
          <w:rStyle w:val="9"/>
          <w:rFonts w:ascii="黑体" w:eastAsia="黑体"/>
          <w:b w:val="0"/>
          <w:color w:val="000000"/>
          <w:sz w:val="32"/>
          <w:szCs w:val="32"/>
        </w:rPr>
      </w:pPr>
      <w:r>
        <w:rPr>
          <w:rStyle w:val="9"/>
          <w:rFonts w:hint="eastAsia" w:ascii="黑体" w:eastAsia="黑体"/>
          <w:b w:val="0"/>
          <w:color w:val="000000"/>
          <w:sz w:val="32"/>
          <w:szCs w:val="32"/>
        </w:rPr>
        <w:t>二、</w:t>
      </w:r>
      <w:r>
        <w:rPr>
          <w:rStyle w:val="9"/>
          <w:rFonts w:hint="eastAsia" w:ascii="黑体" w:eastAsia="黑体"/>
          <w:b w:val="0"/>
          <w:color w:val="000000"/>
          <w:sz w:val="32"/>
          <w:szCs w:val="32"/>
          <w:lang w:eastAsia="zh-CN"/>
        </w:rPr>
        <w:t>2026年</w:t>
      </w:r>
      <w:r>
        <w:rPr>
          <w:rStyle w:val="9"/>
          <w:rFonts w:hint="eastAsia" w:ascii="黑体" w:eastAsia="黑体"/>
          <w:b w:val="0"/>
          <w:color w:val="000000"/>
          <w:sz w:val="32"/>
          <w:szCs w:val="32"/>
        </w:rPr>
        <w:t>中共浦江县委组织部单位预算安排情况说明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（一）关于中共浦江县委组织部</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收支预算情况的总体说明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（二）关于中共浦江县委组织部</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收入预算情况说明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（三）关于中共浦江县委组织部</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支出预算情况说明</w:t>
      </w:r>
      <w:r>
        <w:rPr>
          <w:rFonts w:hint="eastAsia" w:ascii="楷体_GB2312" w:hAnsi="楷体_GB2312" w:eastAsia="楷体_GB2312" w:cs="楷体_GB2312"/>
          <w:bCs/>
          <w:sz w:val="32"/>
          <w:szCs w:val="32"/>
        </w:rPr>
        <w:br w:type="textWrapping"/>
      </w:r>
      <w:r>
        <w:rPr>
          <w:rFonts w:hint="eastAsia" w:ascii="楷体_GB2312" w:hAnsi="楷体_GB2312" w:eastAsia="楷体_GB2312" w:cs="楷体_GB2312"/>
          <w:bCs/>
          <w:sz w:val="32"/>
          <w:szCs w:val="32"/>
        </w:rPr>
        <w:t>（四）关于中共浦江县委组织部</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财政拨款收支预算情况的总体说明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（五）关于中共浦江县委组织部</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一般公共预算拨款情况说明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（六）关于中共浦江县委组织部</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一般公共预算基本支出情况说明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（七）关于中共浦江县委组织部</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政府性基金预算支出情况说明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（八）关于中共浦江县委组织部</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国有资本经营预算支出情况说明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（九）关于中共浦江县委组织部</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一般公共预算“三公”经费预算情况说明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（十）其他重要事项的情况说明</w:t>
      </w:r>
    </w:p>
    <w:p>
      <w:pPr>
        <w:pStyle w:val="14"/>
        <w:spacing w:line="520" w:lineRule="exact"/>
        <w:rPr>
          <w:rStyle w:val="9"/>
          <w:rFonts w:ascii="黑体" w:hAnsi="Calibri" w:eastAsia="黑体"/>
          <w:b w:val="0"/>
          <w:color w:val="000000"/>
          <w:kern w:val="2"/>
          <w:sz w:val="32"/>
          <w:szCs w:val="32"/>
        </w:rPr>
      </w:pPr>
      <w:r>
        <w:rPr>
          <w:rStyle w:val="9"/>
          <w:rFonts w:hint="eastAsia" w:ascii="黑体" w:hAnsi="Calibri" w:eastAsia="黑体"/>
          <w:b w:val="0"/>
          <w:color w:val="000000"/>
          <w:kern w:val="2"/>
          <w:sz w:val="32"/>
          <w:szCs w:val="32"/>
        </w:rPr>
        <w:t>三、名词解释</w:t>
      </w:r>
    </w:p>
    <w:p>
      <w:pPr>
        <w:spacing w:line="520" w:lineRule="exact"/>
        <w:rPr>
          <w:rStyle w:val="9"/>
          <w:rFonts w:ascii="黑体" w:eastAsia="黑体"/>
          <w:b w:val="0"/>
          <w:color w:val="000000"/>
          <w:sz w:val="32"/>
          <w:szCs w:val="32"/>
        </w:rPr>
      </w:pPr>
      <w:r>
        <w:rPr>
          <w:rStyle w:val="9"/>
          <w:rFonts w:hint="eastAsia" w:ascii="黑体" w:eastAsia="黑体"/>
          <w:b w:val="0"/>
          <w:color w:val="000000"/>
          <w:sz w:val="32"/>
          <w:szCs w:val="32"/>
        </w:rPr>
        <w:t>四、</w:t>
      </w:r>
      <w:r>
        <w:rPr>
          <w:rStyle w:val="9"/>
          <w:rFonts w:hint="eastAsia" w:ascii="黑体" w:eastAsia="黑体"/>
          <w:b w:val="0"/>
          <w:color w:val="000000"/>
          <w:sz w:val="32"/>
          <w:szCs w:val="32"/>
          <w:lang w:eastAsia="zh-CN"/>
        </w:rPr>
        <w:t>2026年</w:t>
      </w:r>
      <w:r>
        <w:rPr>
          <w:rStyle w:val="9"/>
          <w:rFonts w:hint="eastAsia" w:ascii="黑体" w:eastAsia="黑体"/>
          <w:b w:val="0"/>
          <w:color w:val="000000"/>
          <w:sz w:val="32"/>
          <w:szCs w:val="32"/>
        </w:rPr>
        <w:t>中共浦江县委组织部单位预算表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单位收支预算总表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单位收入预算总表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单位支出预算总表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（四）</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单位财政拨款收支预算总表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（五）</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单位一般公共预算支出表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（六）</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单位一般公共预算基本支出表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（七）</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单位一般公共预算“三公”经费支出表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（八）</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单位政府性基金预算支出表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（九）</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单位国有资本经营预算支出表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（十）</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单位项目支出预算表</w:t>
      </w:r>
    </w:p>
    <w:p>
      <w:pPr>
        <w:autoSpaceDE w:val="0"/>
        <w:autoSpaceDN w:val="0"/>
        <w:adjustRightInd w:val="0"/>
        <w:ind w:left="420" w:leftChars="200"/>
        <w:jc w:val="left"/>
        <w:rPr>
          <w:rStyle w:val="9"/>
          <w:rFonts w:ascii="楷体_GB2312" w:hAnsi="楷体_GB2312" w:eastAsia="楷体_GB2312" w:cs="楷体_GB2312"/>
          <w:b w:val="0"/>
          <w:sz w:val="32"/>
          <w:szCs w:val="32"/>
        </w:rPr>
      </w:pPr>
      <w:r>
        <w:rPr>
          <w:rFonts w:hint="eastAsia" w:ascii="楷体_GB2312" w:hAnsi="楷体_GB2312" w:eastAsia="楷体_GB2312" w:cs="楷体_GB2312"/>
          <w:bCs/>
          <w:sz w:val="32"/>
          <w:szCs w:val="32"/>
        </w:rPr>
        <w:t>（十一）</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单位项目支出绩效表</w:t>
      </w:r>
    </w:p>
    <w:p>
      <w:pPr>
        <w:pStyle w:val="2"/>
        <w:rPr>
          <w:rStyle w:val="9"/>
          <w:rFonts w:hint="default" w:ascii="黑体" w:eastAsia="黑体"/>
          <w:b w:val="0"/>
          <w:sz w:val="32"/>
          <w:szCs w:val="32"/>
        </w:rPr>
      </w:pPr>
    </w:p>
    <w:p>
      <w:pPr>
        <w:pStyle w:val="2"/>
        <w:rPr>
          <w:rStyle w:val="9"/>
          <w:rFonts w:hint="default" w:ascii="黑体" w:eastAsia="黑体"/>
          <w:b w:val="0"/>
          <w:sz w:val="32"/>
          <w:szCs w:val="32"/>
        </w:rPr>
      </w:pPr>
    </w:p>
    <w:p>
      <w:pPr>
        <w:pStyle w:val="2"/>
        <w:rPr>
          <w:rStyle w:val="9"/>
          <w:rFonts w:hint="default" w:ascii="黑体" w:eastAsia="黑体"/>
          <w:b w:val="0"/>
          <w:sz w:val="32"/>
          <w:szCs w:val="32"/>
        </w:rPr>
      </w:pPr>
    </w:p>
    <w:p>
      <w:pPr>
        <w:pStyle w:val="2"/>
        <w:rPr>
          <w:rStyle w:val="9"/>
          <w:rFonts w:hint="default" w:ascii="黑体" w:eastAsia="黑体"/>
          <w:b w:val="0"/>
          <w:sz w:val="32"/>
          <w:szCs w:val="32"/>
        </w:rPr>
      </w:pPr>
    </w:p>
    <w:p>
      <w:pPr>
        <w:pStyle w:val="2"/>
        <w:rPr>
          <w:rStyle w:val="9"/>
          <w:rFonts w:hint="default" w:ascii="黑体" w:eastAsia="黑体"/>
          <w:b w:val="0"/>
          <w:sz w:val="32"/>
          <w:szCs w:val="32"/>
        </w:rPr>
      </w:pPr>
    </w:p>
    <w:p>
      <w:pPr>
        <w:pStyle w:val="2"/>
        <w:rPr>
          <w:rStyle w:val="9"/>
          <w:rFonts w:hint="default" w:ascii="黑体" w:eastAsia="黑体"/>
          <w:b w:val="0"/>
          <w:sz w:val="32"/>
          <w:szCs w:val="32"/>
        </w:rPr>
      </w:pPr>
    </w:p>
    <w:p>
      <w:pPr>
        <w:pStyle w:val="2"/>
        <w:rPr>
          <w:rStyle w:val="9"/>
          <w:rFonts w:hint="default" w:ascii="黑体" w:eastAsia="黑体"/>
          <w:b w:val="0"/>
          <w:sz w:val="32"/>
          <w:szCs w:val="32"/>
        </w:rPr>
      </w:pPr>
    </w:p>
    <w:p>
      <w:pPr>
        <w:pStyle w:val="2"/>
        <w:rPr>
          <w:rStyle w:val="9"/>
          <w:rFonts w:hint="default" w:ascii="黑体" w:eastAsia="黑体"/>
          <w:b w:val="0"/>
          <w:sz w:val="32"/>
          <w:szCs w:val="32"/>
        </w:rPr>
      </w:pPr>
    </w:p>
    <w:p>
      <w:pPr>
        <w:pStyle w:val="2"/>
        <w:rPr>
          <w:rStyle w:val="9"/>
          <w:rFonts w:hint="default" w:ascii="黑体" w:eastAsia="黑体"/>
          <w:b w:val="0"/>
          <w:sz w:val="32"/>
          <w:szCs w:val="32"/>
        </w:rPr>
      </w:pPr>
    </w:p>
    <w:p>
      <w:pPr>
        <w:pStyle w:val="2"/>
        <w:tabs>
          <w:tab w:val="left" w:pos="2608"/>
        </w:tabs>
        <w:rPr>
          <w:rStyle w:val="9"/>
          <w:rFonts w:hint="default" w:ascii="黑体" w:eastAsia="黑体"/>
          <w:b w:val="0"/>
          <w:sz w:val="32"/>
          <w:szCs w:val="32"/>
        </w:rPr>
      </w:pPr>
      <w:r>
        <w:rPr>
          <w:rStyle w:val="9"/>
          <w:rFonts w:ascii="黑体" w:eastAsia="黑体"/>
          <w:b w:val="0"/>
          <w:sz w:val="32"/>
          <w:szCs w:val="32"/>
        </w:rPr>
        <w:tab/>
      </w:r>
    </w:p>
    <w:p>
      <w:pPr>
        <w:spacing w:line="520" w:lineRule="exact"/>
        <w:ind w:firstLine="627" w:firstLineChars="196"/>
        <w:rPr>
          <w:rStyle w:val="9"/>
          <w:rFonts w:ascii="黑体" w:eastAsia="黑体"/>
          <w:b w:val="0"/>
          <w:color w:val="000000"/>
          <w:sz w:val="32"/>
          <w:szCs w:val="32"/>
        </w:rPr>
      </w:pPr>
      <w:r>
        <w:rPr>
          <w:rStyle w:val="9"/>
          <w:rFonts w:hint="eastAsia" w:ascii="黑体" w:eastAsia="黑体"/>
          <w:b w:val="0"/>
          <w:color w:val="000000"/>
          <w:sz w:val="32"/>
          <w:szCs w:val="32"/>
        </w:rPr>
        <w:t>一、单位概况</w:t>
      </w:r>
    </w:p>
    <w:p>
      <w:pPr>
        <w:spacing w:line="520" w:lineRule="exact"/>
        <w:ind w:firstLine="627" w:firstLineChars="196"/>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（一）主要职能</w:t>
      </w:r>
    </w:p>
    <w:p>
      <w:pPr>
        <w:pStyle w:val="2"/>
        <w:rPr>
          <w:rFonts w:hint="eastAsia" w:ascii="仿宋_GB2312" w:eastAsia="仿宋_GB2312"/>
          <w:bCs/>
          <w:sz w:val="32"/>
          <w:szCs w:val="32"/>
        </w:rPr>
      </w:pPr>
      <w:r>
        <w:rPr>
          <w:rFonts w:hint="eastAsia" w:ascii="仿宋_GB2312" w:eastAsia="仿宋_GB2312"/>
          <w:bCs/>
          <w:sz w:val="32"/>
          <w:szCs w:val="32"/>
        </w:rPr>
        <w:t>1.根据党的组织路线和干部政策，在县委的统一领导下，加强党的思想建设、组织建设和作风建设，坚持党要管党，从严治党，不断提高领导班子的领导水平和执政水平；</w:t>
      </w:r>
    </w:p>
    <w:p>
      <w:pPr>
        <w:pStyle w:val="2"/>
        <w:rPr>
          <w:rFonts w:hint="eastAsia" w:ascii="仿宋_GB2312" w:eastAsia="仿宋_GB2312"/>
          <w:bCs/>
          <w:sz w:val="32"/>
          <w:szCs w:val="32"/>
        </w:rPr>
      </w:pPr>
      <w:r>
        <w:rPr>
          <w:rFonts w:hint="eastAsia" w:ascii="仿宋_GB2312" w:eastAsia="仿宋_GB2312"/>
          <w:bCs/>
          <w:sz w:val="32"/>
          <w:szCs w:val="32"/>
        </w:rPr>
        <w:t>2.全面加强领导班子和干部队伍建设，积极深化干部人事制度改革；</w:t>
      </w:r>
    </w:p>
    <w:p>
      <w:pPr>
        <w:pStyle w:val="2"/>
        <w:rPr>
          <w:rFonts w:hint="eastAsia" w:ascii="仿宋_GB2312" w:eastAsia="仿宋_GB2312"/>
          <w:bCs/>
          <w:sz w:val="32"/>
          <w:szCs w:val="32"/>
        </w:rPr>
      </w:pPr>
      <w:r>
        <w:rPr>
          <w:rFonts w:hint="eastAsia" w:ascii="仿宋_GB2312" w:eastAsia="仿宋_GB2312"/>
          <w:bCs/>
          <w:sz w:val="32"/>
          <w:szCs w:val="32"/>
        </w:rPr>
        <w:t>3.落实“党管人才”要求，加强人才队伍建设；</w:t>
      </w:r>
    </w:p>
    <w:p>
      <w:pPr>
        <w:pStyle w:val="2"/>
        <w:rPr>
          <w:rFonts w:hint="eastAsia" w:ascii="仿宋_GB2312" w:eastAsia="仿宋_GB2312"/>
          <w:bCs/>
          <w:sz w:val="32"/>
          <w:szCs w:val="32"/>
        </w:rPr>
      </w:pPr>
      <w:r>
        <w:rPr>
          <w:rFonts w:hint="eastAsia" w:ascii="仿宋_GB2312" w:eastAsia="仿宋_GB2312"/>
          <w:bCs/>
          <w:sz w:val="32"/>
          <w:szCs w:val="32"/>
        </w:rPr>
        <w:t>4.加强党的基层组织建设，切实增强基层党组织的创造力、凝聚力和战斗力；</w:t>
      </w:r>
    </w:p>
    <w:p>
      <w:pPr>
        <w:pStyle w:val="2"/>
        <w:rPr>
          <w:rFonts w:hint="eastAsia" w:ascii="仿宋_GB2312" w:eastAsia="仿宋_GB2312"/>
          <w:bCs/>
          <w:sz w:val="32"/>
          <w:szCs w:val="32"/>
        </w:rPr>
      </w:pPr>
      <w:r>
        <w:rPr>
          <w:rFonts w:hint="eastAsia" w:ascii="仿宋_GB2312" w:eastAsia="仿宋_GB2312"/>
          <w:bCs/>
          <w:sz w:val="32"/>
          <w:szCs w:val="32"/>
        </w:rPr>
        <w:t>5.负责全县干部教育工作，研究干部教育规划，负责落实省、市委组织部下达的调训任务；指导、协调、检查全县的干部教育工作；</w:t>
      </w:r>
    </w:p>
    <w:p>
      <w:pPr>
        <w:pStyle w:val="2"/>
        <w:rPr>
          <w:rFonts w:hint="eastAsia" w:ascii="仿宋_GB2312" w:eastAsia="仿宋_GB2312"/>
          <w:bCs/>
          <w:sz w:val="32"/>
          <w:szCs w:val="32"/>
        </w:rPr>
      </w:pPr>
      <w:r>
        <w:rPr>
          <w:rFonts w:hint="eastAsia" w:ascii="仿宋_GB2312" w:eastAsia="仿宋_GB2312"/>
          <w:bCs/>
          <w:sz w:val="32"/>
          <w:szCs w:val="32"/>
        </w:rPr>
        <w:t>6.负责全县组织工作和干部工作的检查督促，及时向县委反映情况，提出建议；</w:t>
      </w:r>
    </w:p>
    <w:p>
      <w:pPr>
        <w:pStyle w:val="2"/>
        <w:rPr>
          <w:rFonts w:hint="eastAsia" w:ascii="仿宋_GB2312" w:eastAsia="仿宋_GB2312"/>
          <w:bCs/>
          <w:sz w:val="32"/>
          <w:szCs w:val="32"/>
        </w:rPr>
      </w:pPr>
      <w:r>
        <w:rPr>
          <w:rFonts w:hint="eastAsia" w:ascii="仿宋_GB2312" w:eastAsia="仿宋_GB2312"/>
          <w:bCs/>
          <w:sz w:val="32"/>
          <w:szCs w:val="32"/>
        </w:rPr>
        <w:t>7.负责全县因公出国（境）人员的审查工作，受理党员、干部、群众的来信来访工作；</w:t>
      </w:r>
    </w:p>
    <w:p>
      <w:pPr>
        <w:pStyle w:val="2"/>
        <w:rPr>
          <w:rFonts w:hint="eastAsia" w:ascii="仿宋_GB2312" w:eastAsia="仿宋_GB2312"/>
          <w:bCs/>
          <w:sz w:val="32"/>
          <w:szCs w:val="32"/>
        </w:rPr>
      </w:pPr>
      <w:r>
        <w:rPr>
          <w:rFonts w:hint="eastAsia" w:ascii="仿宋_GB2312" w:eastAsia="仿宋_GB2312"/>
          <w:bCs/>
          <w:sz w:val="32"/>
          <w:szCs w:val="32"/>
        </w:rPr>
        <w:t>8.做好全县干部档案管理工作，负责组织史资料征集、编纂工作。</w:t>
      </w:r>
    </w:p>
    <w:p>
      <w:pPr>
        <w:pStyle w:val="2"/>
        <w:rPr>
          <w:rFonts w:hint="eastAsia" w:ascii="仿宋_GB2312" w:eastAsia="仿宋_GB2312"/>
          <w:bCs/>
          <w:sz w:val="32"/>
          <w:szCs w:val="32"/>
        </w:rPr>
      </w:pPr>
      <w:r>
        <w:rPr>
          <w:rFonts w:hint="eastAsia" w:ascii="仿宋_GB2312" w:eastAsia="仿宋_GB2312"/>
          <w:bCs/>
          <w:sz w:val="32"/>
          <w:szCs w:val="32"/>
        </w:rPr>
        <w:t>9.负责全县党员干部现代远程教育工作，不断提高远程教育管、学、用的水平。</w:t>
      </w:r>
    </w:p>
    <w:p>
      <w:pPr>
        <w:pStyle w:val="2"/>
        <w:rPr>
          <w:rFonts w:hint="eastAsia" w:ascii="仿宋_GB2312" w:eastAsia="仿宋_GB2312"/>
          <w:bCs/>
          <w:sz w:val="32"/>
          <w:szCs w:val="32"/>
        </w:rPr>
      </w:pPr>
      <w:r>
        <w:rPr>
          <w:rFonts w:hint="eastAsia" w:ascii="仿宋_GB2312" w:eastAsia="仿宋_GB2312"/>
          <w:bCs/>
          <w:sz w:val="32"/>
          <w:szCs w:val="32"/>
        </w:rPr>
        <w:t>10.负责我县贯彻落实党和政府有关老干部的方针、政策、规定；</w:t>
      </w:r>
    </w:p>
    <w:p>
      <w:pPr>
        <w:pStyle w:val="2"/>
        <w:rPr>
          <w:rFonts w:hint="eastAsia" w:ascii="仿宋_GB2312" w:eastAsia="仿宋_GB2312"/>
          <w:bCs/>
          <w:sz w:val="32"/>
          <w:szCs w:val="32"/>
        </w:rPr>
      </w:pPr>
      <w:r>
        <w:rPr>
          <w:rFonts w:hint="eastAsia" w:ascii="仿宋_GB2312" w:eastAsia="仿宋_GB2312"/>
          <w:bCs/>
          <w:sz w:val="32"/>
          <w:szCs w:val="32"/>
        </w:rPr>
        <w:t>11.指导全县老干部工作、督促检查有关部门落实老干部的政治、生活待遇；</w:t>
      </w:r>
    </w:p>
    <w:p>
      <w:pPr>
        <w:pStyle w:val="2"/>
        <w:rPr>
          <w:rFonts w:hint="eastAsia" w:ascii="仿宋_GB2312" w:eastAsia="仿宋_GB2312"/>
          <w:bCs/>
          <w:sz w:val="32"/>
          <w:szCs w:val="32"/>
        </w:rPr>
      </w:pPr>
      <w:r>
        <w:rPr>
          <w:rFonts w:hint="eastAsia" w:ascii="仿宋_GB2312" w:eastAsia="仿宋_GB2312"/>
          <w:bCs/>
          <w:sz w:val="32"/>
          <w:szCs w:val="32"/>
        </w:rPr>
        <w:t>12.组织指导老干部发挥作用。</w:t>
      </w:r>
    </w:p>
    <w:p>
      <w:pPr>
        <w:pStyle w:val="2"/>
        <w:rPr>
          <w:rFonts w:hint="default"/>
          <w:highlight w:val="yellow"/>
        </w:rPr>
      </w:pPr>
      <w:r>
        <w:rPr>
          <w:rFonts w:hint="eastAsia" w:ascii="仿宋_GB2312" w:eastAsia="仿宋_GB2312"/>
          <w:bCs/>
          <w:sz w:val="32"/>
          <w:szCs w:val="32"/>
        </w:rPr>
        <w:t>13.完成县委和上级组织部交办的其他工作。</w:t>
      </w:r>
    </w:p>
    <w:p>
      <w:pPr>
        <w:spacing w:line="520" w:lineRule="exact"/>
        <w:ind w:firstLine="627" w:firstLineChars="196"/>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（二）单位机构设置情况</w:t>
      </w:r>
    </w:p>
    <w:p>
      <w:pPr>
        <w:spacing w:line="520" w:lineRule="exact"/>
        <w:rPr>
          <w:rFonts w:hint="eastAsia" w:ascii="仿宋_GB2312" w:eastAsia="仿宋_GB2312"/>
          <w:bCs/>
          <w:sz w:val="32"/>
          <w:szCs w:val="32"/>
        </w:rPr>
      </w:pPr>
      <w:r>
        <w:rPr>
          <w:rFonts w:hint="eastAsia" w:ascii="仿宋_GB2312" w:eastAsia="仿宋_GB2312"/>
          <w:bCs/>
          <w:sz w:val="32"/>
          <w:szCs w:val="32"/>
        </w:rPr>
        <w:t>从预算单位构成看，中共浦江县委组织部预算包括：本级预算。</w:t>
      </w:r>
    </w:p>
    <w:p>
      <w:pPr>
        <w:spacing w:line="520" w:lineRule="exact"/>
        <w:rPr>
          <w:rFonts w:ascii="楷体_GB2312" w:hAnsi="楷体_GB2312" w:eastAsia="楷体_GB2312" w:cs="楷体_GB2312"/>
          <w:color w:val="000000"/>
          <w:sz w:val="32"/>
          <w:szCs w:val="32"/>
        </w:rPr>
      </w:pPr>
      <w:r>
        <w:rPr>
          <w:rStyle w:val="9"/>
          <w:rFonts w:hint="eastAsia" w:ascii="黑体" w:eastAsia="黑体"/>
          <w:b w:val="0"/>
          <w:color w:val="000000"/>
          <w:sz w:val="32"/>
          <w:szCs w:val="32"/>
        </w:rPr>
        <w:t>二、</w:t>
      </w:r>
      <w:r>
        <w:rPr>
          <w:rStyle w:val="9"/>
          <w:rFonts w:hint="eastAsia" w:ascii="黑体" w:eastAsia="黑体"/>
          <w:b w:val="0"/>
          <w:color w:val="000000"/>
          <w:sz w:val="32"/>
          <w:szCs w:val="32"/>
          <w:lang w:eastAsia="zh-CN"/>
        </w:rPr>
        <w:t>2026年</w:t>
      </w:r>
      <w:r>
        <w:rPr>
          <w:rStyle w:val="9"/>
          <w:rFonts w:hint="eastAsia" w:ascii="黑体" w:eastAsia="黑体"/>
          <w:b w:val="0"/>
          <w:color w:val="000000"/>
          <w:sz w:val="32"/>
          <w:szCs w:val="32"/>
        </w:rPr>
        <w:t>中共浦江县委组织部单位预算安排情况说明</w:t>
      </w:r>
      <w:r>
        <w:rPr>
          <w:rFonts w:hint="eastAsia"/>
          <w:color w:val="000000"/>
          <w:sz w:val="32"/>
          <w:szCs w:val="32"/>
        </w:rPr>
        <w:br w:type="textWrapping"/>
      </w:r>
      <w:r>
        <w:rPr>
          <w:rFonts w:hint="eastAsia" w:ascii="仿宋_GB2312" w:eastAsia="仿宋_GB2312"/>
          <w:b/>
          <w:bCs/>
          <w:color w:val="000000"/>
          <w:sz w:val="32"/>
          <w:szCs w:val="32"/>
        </w:rPr>
        <w:t>　　</w:t>
      </w:r>
      <w:r>
        <w:rPr>
          <w:rFonts w:hint="eastAsia" w:ascii="楷体_GB2312" w:hAnsi="楷体_GB2312" w:eastAsia="楷体_GB2312" w:cs="楷体_GB2312"/>
          <w:color w:val="000000"/>
          <w:sz w:val="32"/>
          <w:szCs w:val="32"/>
        </w:rPr>
        <w:t>（一）关于中共浦江县委组织部</w:t>
      </w:r>
      <w:r>
        <w:rPr>
          <w:rStyle w:val="9"/>
          <w:rFonts w:hint="eastAsia" w:ascii="楷体_GB2312" w:hAnsi="楷体_GB2312" w:eastAsia="楷体_GB2312" w:cs="楷体_GB2312"/>
          <w:b w:val="0"/>
          <w:bCs w:val="0"/>
          <w:color w:val="000000"/>
          <w:sz w:val="32"/>
          <w:szCs w:val="32"/>
          <w:lang w:eastAsia="zh-CN"/>
        </w:rPr>
        <w:t>2026年</w:t>
      </w:r>
      <w:r>
        <w:rPr>
          <w:rStyle w:val="9"/>
          <w:rFonts w:hint="eastAsia" w:ascii="楷体_GB2312" w:hAnsi="楷体_GB2312" w:eastAsia="楷体_GB2312" w:cs="楷体_GB2312"/>
          <w:b w:val="0"/>
          <w:bCs w:val="0"/>
          <w:color w:val="000000"/>
          <w:sz w:val="32"/>
          <w:szCs w:val="32"/>
        </w:rPr>
        <w:t>收支预算情况的总体说明</w:t>
      </w:r>
    </w:p>
    <w:p>
      <w:pPr>
        <w:spacing w:line="520" w:lineRule="exact"/>
        <w:rPr>
          <w:rFonts w:ascii="楷体_GB2312" w:hAnsi="楷体_GB2312" w:eastAsia="楷体_GB2312" w:cs="楷体_GB2312"/>
          <w:b/>
          <w:color w:val="000000"/>
          <w:sz w:val="32"/>
          <w:szCs w:val="32"/>
        </w:rPr>
      </w:pPr>
      <w:r>
        <w:rPr>
          <w:rFonts w:hint="eastAsia" w:ascii="仿宋_GB2312" w:eastAsia="仿宋_GB2312"/>
          <w:bCs/>
          <w:color w:val="000000"/>
          <w:sz w:val="32"/>
          <w:szCs w:val="32"/>
        </w:rPr>
        <w:t xml:space="preserve">    按照</w:t>
      </w:r>
      <w:r>
        <w:rPr>
          <w:rFonts w:hint="eastAsia" w:ascii="仿宋_GB2312" w:eastAsia="仿宋_GB2312"/>
          <w:bCs/>
          <w:sz w:val="32"/>
          <w:szCs w:val="32"/>
        </w:rPr>
        <w:t>综合预算的原则，中共浦江县委组织部</w:t>
      </w:r>
      <w:r>
        <w:rPr>
          <w:rFonts w:hint="eastAsia" w:ascii="仿宋_GB2312" w:eastAsia="仿宋_GB2312"/>
          <w:color w:val="000000"/>
          <w:sz w:val="32"/>
          <w:szCs w:val="32"/>
        </w:rPr>
        <w:t>所有收入和支出均纳入部门预算管理。收入包括：一般公共预算拨款收入、财政专户管理资金收入；支出包括：一般公共服务支出、社会保障和就业支出、住房保障支出。中共浦江县委组织部</w:t>
      </w:r>
      <w:r>
        <w:rPr>
          <w:rFonts w:hint="eastAsia" w:ascii="仿宋_GB2312" w:eastAsia="仿宋_GB2312"/>
          <w:color w:val="000000"/>
          <w:sz w:val="32"/>
          <w:szCs w:val="32"/>
          <w:lang w:eastAsia="zh-CN"/>
        </w:rPr>
        <w:t>2026年</w:t>
      </w:r>
      <w:r>
        <w:rPr>
          <w:rFonts w:hint="eastAsia" w:ascii="仿宋_GB2312" w:eastAsia="仿宋_GB2312"/>
          <w:color w:val="000000"/>
          <w:sz w:val="32"/>
          <w:szCs w:val="32"/>
        </w:rPr>
        <w:t>收支总预算9707.73万元。</w:t>
      </w:r>
    </w:p>
    <w:p>
      <w:pPr>
        <w:spacing w:line="520" w:lineRule="exact"/>
        <w:ind w:firstLine="642"/>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（二）关于中共浦江县委组织部</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收入预算情况说明</w:t>
      </w:r>
    </w:p>
    <w:p>
      <w:pPr>
        <w:spacing w:line="520" w:lineRule="exact"/>
        <w:ind w:firstLine="642"/>
        <w:rPr>
          <w:rFonts w:ascii="仿宋_GB2312" w:eastAsia="仿宋_GB2312"/>
          <w:color w:val="auto"/>
          <w:sz w:val="32"/>
          <w:szCs w:val="32"/>
          <w:highlight w:val="none"/>
        </w:rPr>
      </w:pPr>
      <w:r>
        <w:rPr>
          <w:rFonts w:hint="eastAsia" w:ascii="仿宋_GB2312" w:hAnsi="仿宋_GB2312" w:eastAsia="仿宋_GB2312" w:cs="仿宋_GB2312"/>
          <w:color w:val="auto"/>
          <w:sz w:val="32"/>
          <w:szCs w:val="32"/>
          <w:highlight w:val="none"/>
        </w:rPr>
        <w:t>中共浦江县委组织部</w:t>
      </w:r>
      <w:r>
        <w:rPr>
          <w:rFonts w:hint="eastAsia" w:ascii="仿宋_GB2312" w:hAnsi="仿宋_GB2312" w:eastAsia="仿宋_GB2312" w:cs="仿宋_GB2312"/>
          <w:color w:val="auto"/>
          <w:sz w:val="32"/>
          <w:szCs w:val="32"/>
          <w:highlight w:val="none"/>
          <w:lang w:eastAsia="zh-CN"/>
        </w:rPr>
        <w:t>2026年</w:t>
      </w:r>
      <w:r>
        <w:rPr>
          <w:rFonts w:hint="eastAsia" w:ascii="仿宋_GB2312" w:hAnsi="仿宋_GB2312" w:eastAsia="仿宋_GB2312" w:cs="仿宋_GB2312"/>
          <w:color w:val="auto"/>
          <w:sz w:val="32"/>
          <w:szCs w:val="32"/>
          <w:highlight w:val="none"/>
        </w:rPr>
        <w:t>收入预算9707.73万元，比上年执行数增加</w:t>
      </w:r>
      <w:r>
        <w:rPr>
          <w:rFonts w:hint="eastAsia" w:ascii="仿宋_GB2312" w:hAnsi="仿宋_GB2312" w:eastAsia="仿宋_GB2312" w:cs="仿宋_GB2312"/>
          <w:color w:val="auto"/>
          <w:sz w:val="32"/>
          <w:szCs w:val="32"/>
          <w:highlight w:val="none"/>
          <w:lang w:val="en-US" w:eastAsia="zh-CN"/>
        </w:rPr>
        <w:t>2201.29</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highlight w:val="none"/>
        </w:rPr>
        <w:t>增</w:t>
      </w:r>
      <w:r>
        <w:rPr>
          <w:rFonts w:hint="eastAsia" w:ascii="仿宋_GB2312" w:hAnsi="仿宋_GB2312" w:eastAsia="仿宋_GB2312" w:cs="仿宋_GB2312"/>
          <w:color w:val="auto"/>
          <w:sz w:val="32"/>
          <w:szCs w:val="32"/>
          <w:highlight w:val="none"/>
        </w:rPr>
        <w:t>长</w:t>
      </w:r>
      <w:r>
        <w:rPr>
          <w:rFonts w:hint="eastAsia" w:ascii="仿宋_GB2312" w:hAnsi="仿宋_GB2312" w:eastAsia="仿宋_GB2312" w:cs="仿宋_GB2312"/>
          <w:color w:val="auto"/>
          <w:sz w:val="32"/>
          <w:highlight w:val="none"/>
          <w:lang w:val="en-US" w:eastAsia="zh-CN"/>
        </w:rPr>
        <w:t>29.3</w:t>
      </w:r>
      <w:r>
        <w:rPr>
          <w:rFonts w:hint="eastAsia" w:ascii="仿宋_GB2312" w:hAnsi="仿宋_GB2312" w:eastAsia="仿宋_GB2312" w:cs="仿宋_GB2312"/>
          <w:color w:val="auto"/>
          <w:sz w:val="32"/>
          <w:highlight w:val="none"/>
        </w:rPr>
        <w:t>%，</w:t>
      </w:r>
      <w:r>
        <w:rPr>
          <w:rFonts w:hint="eastAsia" w:ascii="仿宋_GB2312" w:hAnsi="仿宋_GB2312" w:eastAsia="仿宋_GB2312" w:cs="仿宋_GB2312"/>
          <w:color w:val="auto"/>
          <w:sz w:val="32"/>
          <w:szCs w:val="32"/>
          <w:highlight w:val="none"/>
        </w:rPr>
        <w:t>主要是</w:t>
      </w:r>
      <w:r>
        <w:rPr>
          <w:rFonts w:hint="eastAsia" w:ascii="仿宋_GB2312" w:hAnsi="仿宋_GB2312" w:eastAsia="仿宋_GB2312" w:cs="仿宋_GB2312"/>
          <w:color w:val="auto"/>
          <w:sz w:val="32"/>
          <w:szCs w:val="32"/>
          <w:highlight w:val="none"/>
          <w:lang w:val="en-US" w:eastAsia="zh-CN"/>
        </w:rPr>
        <w:t>2026年</w:t>
      </w:r>
      <w:r>
        <w:rPr>
          <w:rFonts w:hint="eastAsia" w:ascii="仿宋_GB2312" w:hAnsi="仿宋_GB2312" w:eastAsia="仿宋_GB2312" w:cs="仿宋_GB2312"/>
          <w:color w:val="auto"/>
          <w:sz w:val="32"/>
          <w:szCs w:val="32"/>
          <w:highlight w:val="none"/>
          <w:lang w:val="en-US" w:eastAsia="zh-CN"/>
        </w:rPr>
        <w:t>需</w:t>
      </w:r>
      <w:r>
        <w:rPr>
          <w:rFonts w:hint="eastAsia" w:ascii="仿宋_GB2312" w:hAnsi="仿宋_GB2312" w:eastAsia="仿宋_GB2312" w:cs="仿宋_GB2312"/>
          <w:color w:val="auto"/>
          <w:sz w:val="32"/>
          <w:szCs w:val="32"/>
          <w:highlight w:val="none"/>
        </w:rPr>
        <w:t>补发2025年度的村干部基本报酬，以及年终考核报酬。</w:t>
      </w:r>
    </w:p>
    <w:p>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rPr>
        <w:t>其中：一般公共预算拨款收入</w:t>
      </w:r>
      <w:r>
        <w:rPr>
          <w:rFonts w:ascii="仿宋_GB2312" w:eastAsia="仿宋_GB2312"/>
          <w:color w:val="000000"/>
          <w:sz w:val="32"/>
          <w:szCs w:val="32"/>
        </w:rPr>
        <w:t>9662.73</w:t>
      </w:r>
      <w:r>
        <w:rPr>
          <w:rFonts w:hint="eastAsia" w:ascii="仿宋_GB2312" w:eastAsia="仿宋_GB2312"/>
          <w:color w:val="000000"/>
          <w:sz w:val="32"/>
          <w:szCs w:val="32"/>
        </w:rPr>
        <w:t>万元（上年结转1.89万元），占99.5%；专户资金45.00万元，占0.5%。</w:t>
      </w:r>
      <w:r>
        <w:rPr>
          <w:rFonts w:hint="eastAsia" w:ascii="仿宋_GB2312" w:eastAsia="仿宋_GB2312"/>
          <w:color w:val="000000"/>
          <w:sz w:val="32"/>
          <w:szCs w:val="32"/>
        </w:rPr>
        <w:br w:type="textWrapping"/>
      </w:r>
      <w:r>
        <w:rPr>
          <w:rFonts w:hint="eastAsia" w:ascii="楷体_GB2312" w:hAnsi="楷体_GB2312" w:eastAsia="楷体_GB2312" w:cs="楷体_GB2312"/>
          <w:bCs/>
          <w:color w:val="000000"/>
          <w:sz w:val="32"/>
          <w:szCs w:val="32"/>
        </w:rPr>
        <w:t>　　（三）关于中共浦江县委组织部</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支出预算情况说明</w:t>
      </w:r>
      <w:r>
        <w:rPr>
          <w:rFonts w:hint="eastAsia" w:ascii="楷体_GB2312" w:hAnsi="楷体_GB2312" w:eastAsia="楷体_GB2312" w:cs="楷体_GB2312"/>
          <w:bCs/>
          <w:color w:val="000000"/>
          <w:sz w:val="32"/>
          <w:szCs w:val="32"/>
        </w:rPr>
        <w:br w:type="textWrapping"/>
      </w:r>
      <w:r>
        <w:rPr>
          <w:rFonts w:hint="eastAsia" w:ascii="仿宋_GB2312" w:eastAsia="仿宋_GB2312"/>
          <w:color w:val="000000"/>
          <w:sz w:val="32"/>
          <w:szCs w:val="32"/>
        </w:rPr>
        <w:t>　</w:t>
      </w:r>
      <w:r>
        <w:rPr>
          <w:rFonts w:hint="eastAsia" w:ascii="仿宋_GB2312" w:hAnsi="仿宋_GB2312" w:eastAsia="仿宋_GB2312" w:cs="仿宋_GB2312"/>
          <w:color w:val="000000"/>
          <w:sz w:val="32"/>
          <w:szCs w:val="32"/>
        </w:rPr>
        <w:t>　中共浦江县委组织部</w:t>
      </w:r>
      <w:r>
        <w:rPr>
          <w:rFonts w:hint="eastAsia" w:ascii="仿宋_GB2312" w:hAnsi="仿宋_GB2312" w:eastAsia="仿宋_GB2312" w:cs="仿宋_GB2312"/>
          <w:color w:val="000000"/>
          <w:sz w:val="32"/>
          <w:szCs w:val="32"/>
          <w:highlight w:val="none"/>
          <w:lang w:eastAsia="zh-CN"/>
        </w:rPr>
        <w:t>2026年</w:t>
      </w:r>
      <w:r>
        <w:rPr>
          <w:rFonts w:hint="eastAsia" w:ascii="仿宋_GB2312" w:hAnsi="仿宋_GB2312" w:eastAsia="仿宋_GB2312" w:cs="仿宋_GB2312"/>
          <w:color w:val="000000"/>
          <w:sz w:val="32"/>
          <w:szCs w:val="32"/>
          <w:highlight w:val="none"/>
        </w:rPr>
        <w:t>支出预算9707.73万元，比上年执行数增加</w:t>
      </w:r>
      <w:r>
        <w:rPr>
          <w:rFonts w:hint="eastAsia" w:ascii="仿宋_GB2312" w:hAnsi="仿宋_GB2312" w:eastAsia="仿宋_GB2312" w:cs="仿宋_GB2312"/>
          <w:color w:val="000000"/>
          <w:sz w:val="32"/>
          <w:szCs w:val="32"/>
          <w:highlight w:val="none"/>
          <w:lang w:val="en-US" w:eastAsia="zh-CN"/>
        </w:rPr>
        <w:t>2201.29</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highlight w:val="none"/>
        </w:rPr>
        <w:t>增长</w:t>
      </w:r>
      <w:r>
        <w:rPr>
          <w:rFonts w:hint="eastAsia" w:ascii="仿宋_GB2312" w:hAnsi="仿宋_GB2312" w:eastAsia="仿宋_GB2312" w:cs="仿宋_GB2312"/>
          <w:color w:val="000000"/>
          <w:sz w:val="32"/>
          <w:highlight w:val="none"/>
          <w:lang w:val="en-US" w:eastAsia="zh-CN"/>
        </w:rPr>
        <w:t>29.3</w:t>
      </w:r>
      <w:r>
        <w:rPr>
          <w:rFonts w:hint="eastAsia" w:ascii="仿宋_GB2312" w:hAnsi="仿宋_GB2312" w:eastAsia="仿宋_GB2312" w:cs="仿宋_GB2312"/>
          <w:color w:val="000000"/>
          <w:sz w:val="32"/>
          <w:highlight w:val="none"/>
        </w:rPr>
        <w:t>%，</w:t>
      </w:r>
      <w:r>
        <w:rPr>
          <w:rFonts w:hint="eastAsia" w:ascii="仿宋_GB2312" w:hAnsi="仿宋_GB2312" w:eastAsia="仿宋_GB2312" w:cs="仿宋_GB2312"/>
          <w:color w:val="000000"/>
          <w:sz w:val="32"/>
          <w:szCs w:val="32"/>
          <w:highlight w:val="none"/>
        </w:rPr>
        <w:t>主要是</w:t>
      </w:r>
      <w:r>
        <w:rPr>
          <w:rFonts w:hint="eastAsia" w:ascii="仿宋_GB2312" w:hAnsi="仿宋_GB2312" w:eastAsia="仿宋_GB2312" w:cs="仿宋_GB2312"/>
          <w:color w:val="auto"/>
          <w:sz w:val="32"/>
          <w:szCs w:val="32"/>
          <w:highlight w:val="none"/>
          <w:lang w:val="en-US" w:eastAsia="zh-CN"/>
        </w:rPr>
        <w:t>2026年需</w:t>
      </w:r>
      <w:r>
        <w:rPr>
          <w:rFonts w:hint="eastAsia" w:ascii="仿宋_GB2312" w:hAnsi="仿宋_GB2312" w:eastAsia="仿宋_GB2312" w:cs="仿宋_GB2312"/>
          <w:color w:val="auto"/>
          <w:sz w:val="32"/>
          <w:szCs w:val="32"/>
          <w:highlight w:val="none"/>
        </w:rPr>
        <w:t>补发2025年度的村干部基本报酬，以及年终考核报酬</w:t>
      </w:r>
      <w:r>
        <w:rPr>
          <w:rFonts w:hint="eastAsia" w:ascii="仿宋_GB2312" w:hAnsi="仿宋_GB2312" w:eastAsia="仿宋_GB2312" w:cs="仿宋_GB2312"/>
          <w:color w:val="000000"/>
          <w:sz w:val="32"/>
          <w:szCs w:val="32"/>
          <w:highlight w:val="none"/>
        </w:rPr>
        <w:t>。</w:t>
      </w:r>
    </w:p>
    <w:p>
      <w:pPr>
        <w:spacing w:line="520" w:lineRule="exact"/>
        <w:ind w:firstLine="630"/>
        <w:rPr>
          <w:rFonts w:ascii="仿宋_GB2312" w:eastAsia="仿宋_GB2312"/>
          <w:color w:val="000000"/>
          <w:sz w:val="32"/>
          <w:szCs w:val="32"/>
        </w:rPr>
      </w:pPr>
      <w:r>
        <w:rPr>
          <w:rFonts w:hint="eastAsia" w:ascii="仿宋_GB2312" w:eastAsia="仿宋_GB2312"/>
          <w:color w:val="000000"/>
          <w:sz w:val="32"/>
          <w:szCs w:val="32"/>
        </w:rPr>
        <w:t>1.按支出功能分类，包括一般公共服务支出9419.48万元、社会保障和就业支出143.90万元、卫生健康支出47.93万元、住房保障支出96.42万元、。</w:t>
      </w:r>
    </w:p>
    <w:p>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rPr>
        <w:t>2.按支出用途分类，包括人员支出1121.77万元，占11.6%；日常公用支出188.98万元，占1.9%；项目支出8396.98万元，占86.5%。</w:t>
      </w:r>
    </w:p>
    <w:p>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rPr>
        <w:t>年终结转结余0.00万元。</w:t>
      </w:r>
    </w:p>
    <w:p>
      <w:pPr>
        <w:spacing w:line="520" w:lineRule="exact"/>
        <w:ind w:firstLine="627" w:firstLineChars="196"/>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（四）关于中共浦江县委组织部</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财政拨款收支预算情况的总体说明</w:t>
      </w:r>
    </w:p>
    <w:p>
      <w:pPr>
        <w:spacing w:line="520" w:lineRule="exact"/>
        <w:ind w:firstLine="640"/>
        <w:rPr>
          <w:rFonts w:ascii="仿宋_GB2312" w:eastAsia="仿宋_GB2312"/>
          <w:color w:val="000000"/>
          <w:sz w:val="32"/>
          <w:szCs w:val="32"/>
        </w:rPr>
      </w:pPr>
      <w:r>
        <w:rPr>
          <w:rFonts w:hint="eastAsia" w:ascii="仿宋_GB2312" w:eastAsia="仿宋_GB2312"/>
          <w:color w:val="000000"/>
          <w:sz w:val="32"/>
          <w:szCs w:val="32"/>
        </w:rPr>
        <w:t>中共浦江县委组织部</w:t>
      </w:r>
      <w:r>
        <w:rPr>
          <w:rFonts w:hint="eastAsia" w:ascii="仿宋_GB2312" w:eastAsia="仿宋_GB2312"/>
          <w:color w:val="000000"/>
          <w:sz w:val="32"/>
          <w:szCs w:val="32"/>
          <w:lang w:eastAsia="zh-CN"/>
        </w:rPr>
        <w:t>2026年</w:t>
      </w:r>
      <w:r>
        <w:rPr>
          <w:rFonts w:hint="eastAsia" w:ascii="仿宋_GB2312" w:eastAsia="仿宋_GB2312"/>
          <w:color w:val="000000"/>
          <w:sz w:val="32"/>
          <w:szCs w:val="32"/>
        </w:rPr>
        <w:t>财政拨款收支总预算9662.73万元。收入包括：一般公共预算9662.73万元；支出包括：一般公共服务支出9374.48万元、社会保障和就业支出143.90万元、卫生健康支出47.93万元、住房保障支出96.42万元。</w:t>
      </w:r>
    </w:p>
    <w:p>
      <w:pPr>
        <w:numPr>
          <w:ilvl w:val="0"/>
          <w:numId w:val="1"/>
        </w:numPr>
        <w:spacing w:line="520" w:lineRule="exact"/>
        <w:ind w:firstLine="640"/>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关于中共浦江县委组织部</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一般公共预算拨款情况说明</w:t>
      </w:r>
    </w:p>
    <w:p>
      <w:pPr>
        <w:spacing w:line="520" w:lineRule="exact"/>
        <w:ind w:firstLine="64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1.一般公共预算拨款规模变化情况。</w:t>
      </w:r>
    </w:p>
    <w:p>
      <w:pPr>
        <w:spacing w:line="520" w:lineRule="exact"/>
        <w:ind w:firstLine="642"/>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中共浦江县委组织部</w:t>
      </w:r>
      <w:r>
        <w:rPr>
          <w:rFonts w:hint="eastAsia" w:ascii="仿宋_GB2312" w:hAnsi="仿宋_GB2312" w:eastAsia="仿宋_GB2312" w:cs="仿宋_GB2312"/>
          <w:color w:val="000000"/>
          <w:sz w:val="32"/>
          <w:szCs w:val="32"/>
          <w:highlight w:val="none"/>
          <w:lang w:eastAsia="zh-CN"/>
        </w:rPr>
        <w:t>2026年</w:t>
      </w:r>
      <w:r>
        <w:rPr>
          <w:rFonts w:hint="eastAsia" w:ascii="仿宋_GB2312" w:hAnsi="仿宋_GB2312" w:eastAsia="仿宋_GB2312" w:cs="仿宋_GB2312"/>
          <w:color w:val="000000"/>
          <w:sz w:val="32"/>
          <w:szCs w:val="32"/>
          <w:highlight w:val="none"/>
        </w:rPr>
        <w:t>一般公共预算拨款</w:t>
      </w:r>
      <w:r>
        <w:rPr>
          <w:rFonts w:hint="eastAsia" w:ascii="仿宋_GB2312" w:hAnsi="仿宋_GB2312" w:eastAsia="仿宋_GB2312" w:cs="仿宋_GB2312"/>
          <w:bCs/>
          <w:color w:val="000000"/>
          <w:sz w:val="32"/>
          <w:szCs w:val="32"/>
          <w:highlight w:val="none"/>
        </w:rPr>
        <w:t>9662.73</w:t>
      </w:r>
      <w:r>
        <w:rPr>
          <w:rFonts w:hint="eastAsia" w:ascii="仿宋_GB2312" w:hAnsi="仿宋_GB2312" w:eastAsia="仿宋_GB2312" w:cs="仿宋_GB2312"/>
          <w:color w:val="000000"/>
          <w:sz w:val="32"/>
          <w:szCs w:val="32"/>
          <w:highlight w:val="none"/>
        </w:rPr>
        <w:t>万元，比上年执行数增加</w:t>
      </w:r>
      <w:r>
        <w:rPr>
          <w:rFonts w:hint="eastAsia" w:ascii="仿宋_GB2312" w:hAnsi="仿宋_GB2312" w:eastAsia="仿宋_GB2312" w:cs="仿宋_GB2312"/>
          <w:color w:val="000000"/>
          <w:sz w:val="32"/>
          <w:szCs w:val="32"/>
          <w:highlight w:val="none"/>
          <w:lang w:val="en-US" w:eastAsia="zh-CN"/>
        </w:rPr>
        <w:t>2191.29</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highlight w:val="none"/>
        </w:rPr>
        <w:t>增长</w:t>
      </w:r>
      <w:r>
        <w:rPr>
          <w:rFonts w:hint="eastAsia" w:ascii="仿宋_GB2312" w:hAnsi="仿宋_GB2312" w:eastAsia="仿宋_GB2312" w:cs="仿宋_GB2312"/>
          <w:color w:val="000000"/>
          <w:sz w:val="32"/>
          <w:szCs w:val="32"/>
          <w:highlight w:val="none"/>
          <w:lang w:val="en-US" w:eastAsia="zh-CN"/>
        </w:rPr>
        <w:t>29.3</w:t>
      </w:r>
      <w:r>
        <w:rPr>
          <w:rFonts w:hint="eastAsia" w:ascii="仿宋_GB2312" w:hAnsi="仿宋_GB2312" w:eastAsia="仿宋_GB2312" w:cs="仿宋_GB2312"/>
          <w:color w:val="000000"/>
          <w:sz w:val="32"/>
          <w:highlight w:val="none"/>
        </w:rPr>
        <w:t>%，</w:t>
      </w:r>
      <w:r>
        <w:rPr>
          <w:rFonts w:hint="eastAsia" w:ascii="仿宋_GB2312" w:hAnsi="仿宋_GB2312" w:eastAsia="仿宋_GB2312" w:cs="仿宋_GB2312"/>
          <w:color w:val="000000"/>
          <w:sz w:val="32"/>
          <w:szCs w:val="32"/>
          <w:highlight w:val="none"/>
        </w:rPr>
        <w:t>主要是</w:t>
      </w:r>
      <w:r>
        <w:rPr>
          <w:rFonts w:hint="eastAsia" w:ascii="仿宋_GB2312" w:hAnsi="仿宋_GB2312" w:eastAsia="仿宋_GB2312" w:cs="仿宋_GB2312"/>
          <w:color w:val="auto"/>
          <w:sz w:val="32"/>
          <w:szCs w:val="32"/>
          <w:highlight w:val="none"/>
          <w:lang w:val="en-US" w:eastAsia="zh-CN"/>
        </w:rPr>
        <w:t>2026年需</w:t>
      </w:r>
      <w:r>
        <w:rPr>
          <w:rFonts w:hint="eastAsia" w:ascii="仿宋_GB2312" w:hAnsi="仿宋_GB2312" w:eastAsia="仿宋_GB2312" w:cs="仿宋_GB2312"/>
          <w:color w:val="auto"/>
          <w:sz w:val="32"/>
          <w:szCs w:val="32"/>
          <w:highlight w:val="none"/>
        </w:rPr>
        <w:t>补发2025年度的村干部基本报酬，以及年终考核报酬</w:t>
      </w:r>
      <w:r>
        <w:rPr>
          <w:rFonts w:hint="eastAsia" w:ascii="仿宋_GB2312" w:hAnsi="仿宋_GB2312" w:eastAsia="仿宋_GB2312" w:cs="仿宋_GB2312"/>
          <w:color w:val="000000"/>
          <w:sz w:val="32"/>
          <w:szCs w:val="32"/>
          <w:highlight w:val="none"/>
        </w:rPr>
        <w:t>。</w:t>
      </w:r>
    </w:p>
    <w:p>
      <w:pPr>
        <w:spacing w:line="520" w:lineRule="exact"/>
        <w:ind w:firstLine="64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2.一般公共预算拨款结构情况。</w:t>
      </w:r>
    </w:p>
    <w:p>
      <w:pPr>
        <w:spacing w:line="520"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一般公共服务支出9374.48万元，占97.0%；社会保障和就业支出143.90万元，占1.5%；卫生健康支出47.93万元，占0.5%；住房保障支出96.42万元，占1.0%。</w:t>
      </w:r>
    </w:p>
    <w:p>
      <w:pPr>
        <w:spacing w:line="520" w:lineRule="exact"/>
        <w:ind w:firstLine="64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3.一般公共预算拨款具体使用情况。</w:t>
      </w:r>
    </w:p>
    <w:p>
      <w:pPr>
        <w:spacing w:line="52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（1）一般公共服务支出9374.48万元，主要用于行政运行1022.50</w:t>
      </w:r>
      <w:r>
        <w:rPr>
          <w:rFonts w:hint="eastAsia" w:ascii="仿宋_GB2312" w:hAnsi="仿宋_GB2312" w:eastAsia="仿宋_GB2312" w:cs="仿宋_GB2312"/>
          <w:color w:val="000000"/>
          <w:sz w:val="32"/>
          <w:szCs w:val="32"/>
          <w:lang w:eastAsia="zh-CN"/>
        </w:rPr>
        <w:t>万元，其他组织事务支出8351.98万元</w:t>
      </w:r>
      <w:r>
        <w:rPr>
          <w:rFonts w:hint="eastAsia" w:ascii="仿宋_GB2312" w:hAnsi="仿宋_GB2312" w:eastAsia="仿宋_GB2312" w:cs="仿宋_GB2312"/>
          <w:color w:val="000000"/>
          <w:sz w:val="32"/>
          <w:szCs w:val="32"/>
        </w:rPr>
        <w:t>。</w:t>
      </w:r>
    </w:p>
    <w:p>
      <w:pPr>
        <w:spacing w:line="52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（2）社会保障和就业支出143.90万元，主要用于机关事业单位基本养老保险缴费支出</w:t>
      </w:r>
      <w:r>
        <w:rPr>
          <w:rFonts w:hint="eastAsia" w:ascii="仿宋_GB2312" w:hAnsi="仿宋_GB2312" w:eastAsia="仿宋_GB2312" w:cs="仿宋_GB2312"/>
          <w:color w:val="000000"/>
          <w:sz w:val="32"/>
          <w:szCs w:val="32"/>
          <w:lang w:eastAsia="zh-CN"/>
        </w:rPr>
        <w:t>等支出</w:t>
      </w:r>
      <w:r>
        <w:rPr>
          <w:rFonts w:hint="eastAsia" w:ascii="仿宋_GB2312" w:hAnsi="仿宋_GB2312" w:eastAsia="仿宋_GB2312" w:cs="仿宋_GB2312"/>
          <w:color w:val="000000"/>
          <w:sz w:val="32"/>
          <w:szCs w:val="32"/>
        </w:rPr>
        <w:t>。</w:t>
      </w:r>
    </w:p>
    <w:p>
      <w:pPr>
        <w:spacing w:line="52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（3）卫生健康支出47.93万元，主要用于行政单位医疗</w:t>
      </w:r>
      <w:r>
        <w:rPr>
          <w:rFonts w:hint="eastAsia" w:ascii="仿宋_GB2312" w:hAnsi="仿宋_GB2312" w:eastAsia="仿宋_GB2312" w:cs="仿宋_GB2312"/>
          <w:color w:val="000000"/>
          <w:sz w:val="32"/>
          <w:szCs w:val="32"/>
          <w:lang w:eastAsia="zh-CN"/>
        </w:rPr>
        <w:t>等支出</w:t>
      </w:r>
      <w:r>
        <w:rPr>
          <w:rFonts w:hint="eastAsia" w:ascii="仿宋_GB2312" w:hAnsi="仿宋_GB2312" w:eastAsia="仿宋_GB2312" w:cs="仿宋_GB2312"/>
          <w:color w:val="000000"/>
          <w:sz w:val="32"/>
          <w:szCs w:val="32"/>
        </w:rPr>
        <w:t>。</w:t>
      </w:r>
    </w:p>
    <w:p>
      <w:pPr>
        <w:pStyle w:val="2"/>
        <w:rPr>
          <w:rFonts w:hint="default" w:eastAsia="仿宋_GB2312"/>
          <w:lang w:val="en-US" w:eastAsia="zh-CN"/>
        </w:rPr>
      </w:pPr>
      <w:r>
        <w:rPr>
          <w:rFonts w:hint="eastAsia" w:cs="仿宋_GB2312"/>
          <w:color w:val="000000"/>
          <w:sz w:val="32"/>
          <w:szCs w:val="32"/>
          <w:lang w:val="en-US" w:eastAsia="zh-CN"/>
        </w:rPr>
        <w:t xml:space="preserve">    （4）住房保障支出96.42万元，主要用于住房公积金</w:t>
      </w:r>
      <w:r>
        <w:rPr>
          <w:rFonts w:hint="eastAsia" w:ascii="仿宋_GB2312" w:hAnsi="仿宋_GB2312" w:eastAsia="仿宋_GB2312" w:cs="仿宋_GB2312"/>
          <w:color w:val="000000"/>
          <w:sz w:val="32"/>
          <w:szCs w:val="32"/>
          <w:lang w:eastAsia="zh-CN"/>
        </w:rPr>
        <w:t>等支出</w:t>
      </w:r>
      <w:r>
        <w:rPr>
          <w:rFonts w:hint="eastAsia" w:ascii="仿宋_GB2312" w:hAnsi="仿宋_GB2312" w:eastAsia="仿宋_GB2312" w:cs="仿宋_GB2312"/>
          <w:color w:val="000000"/>
          <w:sz w:val="32"/>
          <w:szCs w:val="32"/>
        </w:rPr>
        <w:t>。</w:t>
      </w:r>
      <w:bookmarkStart w:id="1" w:name="_GoBack"/>
      <w:bookmarkEnd w:id="1"/>
    </w:p>
    <w:p>
      <w:pPr>
        <w:spacing w:line="520" w:lineRule="exact"/>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 xml:space="preserve">    （六）关于中共浦江县委组织部</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一般公共预算基本支出情况说明</w:t>
      </w:r>
    </w:p>
    <w:p>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rPr>
        <w:t>中共浦江县委组织部</w:t>
      </w:r>
      <w:r>
        <w:rPr>
          <w:rFonts w:hint="eastAsia" w:ascii="仿宋_GB2312" w:eastAsia="仿宋_GB2312"/>
          <w:color w:val="000000"/>
          <w:sz w:val="32"/>
          <w:szCs w:val="32"/>
          <w:lang w:eastAsia="zh-CN"/>
        </w:rPr>
        <w:t>2026年</w:t>
      </w:r>
      <w:r>
        <w:rPr>
          <w:rFonts w:hint="eastAsia" w:ascii="仿宋_GB2312" w:eastAsia="仿宋_GB2312"/>
          <w:color w:val="000000"/>
          <w:sz w:val="32"/>
          <w:szCs w:val="32"/>
        </w:rPr>
        <w:t>一般公共预算基本支出1310.75万元，其中：</w:t>
      </w:r>
    </w:p>
    <w:p>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rPr>
        <w:t>人员</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1121.77万元，主要包括：基本工资、津贴补贴、奖金、绩效工资、机关事业单位基本养老保险缴费、职业年金缴费、职工基本医疗保险缴费、公务员医疗补助缴费、其他社会保障缴费、住房公积金、医疗费、其他工资福利支出、离休费、生活补助</w:t>
      </w:r>
      <w:r>
        <w:rPr>
          <w:rFonts w:hint="eastAsia" w:ascii="仿宋_GB2312" w:eastAsia="仿宋_GB2312"/>
          <w:color w:val="000000"/>
          <w:sz w:val="32"/>
          <w:szCs w:val="32"/>
          <w:lang w:val="en-US" w:eastAsia="zh-CN"/>
        </w:rPr>
        <w:t>等</w:t>
      </w:r>
      <w:r>
        <w:rPr>
          <w:rFonts w:hint="eastAsia" w:ascii="仿宋_GB2312" w:eastAsia="仿宋_GB2312"/>
          <w:color w:val="000000"/>
          <w:sz w:val="32"/>
          <w:szCs w:val="32"/>
        </w:rPr>
        <w:t>；</w:t>
      </w:r>
    </w:p>
    <w:p>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lang w:val="en-US" w:eastAsia="zh-CN"/>
        </w:rPr>
        <w:t>日常</w:t>
      </w:r>
      <w:r>
        <w:rPr>
          <w:rFonts w:hint="eastAsia" w:ascii="仿宋_GB2312" w:eastAsia="仿宋_GB2312"/>
          <w:color w:val="000000"/>
          <w:sz w:val="32"/>
          <w:szCs w:val="32"/>
        </w:rPr>
        <w:t>公用</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188.98万元，主要包括：办公费、印刷费、水费、电费、邮电费、差旅费、维修（护）费、劳务费、工会经费、其他交通费用、其他商品和服务支出</w:t>
      </w:r>
      <w:r>
        <w:rPr>
          <w:rFonts w:hint="eastAsia" w:ascii="仿宋_GB2312" w:eastAsia="仿宋_GB2312"/>
          <w:color w:val="000000"/>
          <w:sz w:val="32"/>
          <w:szCs w:val="32"/>
          <w:lang w:val="en-US" w:eastAsia="zh-CN"/>
        </w:rPr>
        <w:t>等</w:t>
      </w:r>
      <w:r>
        <w:rPr>
          <w:rFonts w:hint="eastAsia" w:ascii="仿宋_GB2312" w:eastAsia="仿宋_GB2312"/>
          <w:color w:val="000000"/>
          <w:sz w:val="32"/>
          <w:szCs w:val="32"/>
        </w:rPr>
        <w:t>。</w:t>
      </w:r>
    </w:p>
    <w:p>
      <w:pPr>
        <w:spacing w:line="520" w:lineRule="exact"/>
        <w:ind w:firstLine="642"/>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（七）关于中共浦江县委组织部</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政府性基金预算支出情况说明</w:t>
      </w:r>
    </w:p>
    <w:p>
      <w:pPr>
        <w:spacing w:line="520" w:lineRule="exact"/>
        <w:ind w:left="477" w:leftChars="227"/>
        <w:rPr>
          <w:rFonts w:hint="eastAsia" w:eastAsia="仿宋_GB2312"/>
          <w:lang w:eastAsia="zh-CN"/>
        </w:rPr>
      </w:pPr>
      <w:r>
        <w:rPr>
          <w:rFonts w:hint="eastAsia" w:ascii="仿宋_GB2312" w:hAnsi="仿宋_GB2312" w:eastAsia="仿宋_GB2312" w:cs="仿宋_GB2312"/>
          <w:color w:val="000000"/>
          <w:sz w:val="32"/>
          <w:szCs w:val="32"/>
        </w:rPr>
        <w:t>中共浦江县委组织部</w:t>
      </w:r>
      <w:r>
        <w:rPr>
          <w:rFonts w:hint="eastAsia" w:ascii="仿宋_GB2312" w:hAnsi="仿宋_GB2312" w:eastAsia="仿宋_GB2312" w:cs="仿宋_GB2312"/>
          <w:color w:val="000000"/>
          <w:sz w:val="32"/>
          <w:szCs w:val="32"/>
          <w:lang w:eastAsia="zh-CN"/>
        </w:rPr>
        <w:t>2026年</w:t>
      </w:r>
      <w:r>
        <w:rPr>
          <w:rFonts w:hint="eastAsia" w:ascii="仿宋_GB2312" w:hAnsi="仿宋_GB2312" w:eastAsia="仿宋_GB2312" w:cs="仿宋_GB2312"/>
          <w:color w:val="000000"/>
          <w:sz w:val="32"/>
          <w:szCs w:val="32"/>
        </w:rPr>
        <w:t>没有使用政府性基金预算拨款安排的支出</w:t>
      </w:r>
      <w:r>
        <w:rPr>
          <w:rFonts w:hint="eastAsia" w:ascii="仿宋_GB2312" w:hAnsi="仿宋_GB2312" w:eastAsia="仿宋_GB2312" w:cs="仿宋_GB2312"/>
          <w:color w:val="000000"/>
          <w:sz w:val="32"/>
          <w:szCs w:val="32"/>
          <w:lang w:eastAsia="zh-CN"/>
        </w:rPr>
        <w:t>。</w:t>
      </w:r>
    </w:p>
    <w:p>
      <w:pPr>
        <w:spacing w:line="520" w:lineRule="exact"/>
        <w:ind w:firstLine="627" w:firstLineChars="196"/>
        <w:rPr>
          <w:rFonts w:ascii="楷体_GB2312" w:hAnsi="楷体_GB2312" w:eastAsia="楷体_GB2312" w:cs="楷体_GB2312"/>
          <w:bCs/>
          <w:color w:val="000000"/>
          <w:sz w:val="32"/>
          <w:szCs w:val="32"/>
          <w:highlight w:val="none"/>
        </w:rPr>
      </w:pPr>
      <w:r>
        <w:rPr>
          <w:rFonts w:hint="eastAsia" w:ascii="楷体_GB2312" w:hAnsi="楷体_GB2312" w:eastAsia="楷体_GB2312" w:cs="楷体_GB2312"/>
          <w:bCs/>
          <w:color w:val="000000"/>
          <w:sz w:val="32"/>
          <w:szCs w:val="32"/>
          <w:highlight w:val="none"/>
        </w:rPr>
        <w:t>（八）关于</w:t>
      </w:r>
      <w:r>
        <w:rPr>
          <w:rFonts w:ascii="楷体_GB2312" w:hAnsi="楷体_GB2312" w:eastAsia="楷体_GB2312" w:cs="楷体_GB2312"/>
          <w:bCs/>
          <w:color w:val="000000"/>
          <w:sz w:val="32"/>
          <w:szCs w:val="32"/>
          <w:highlight w:val="none"/>
        </w:rPr>
        <w:t>中共浦江县委组织部</w:t>
      </w:r>
      <w:r>
        <w:rPr>
          <w:rFonts w:hint="eastAsia" w:ascii="楷体_GB2312" w:hAnsi="楷体_GB2312" w:eastAsia="楷体_GB2312" w:cs="楷体_GB2312"/>
          <w:bCs/>
          <w:color w:val="000000"/>
          <w:sz w:val="32"/>
          <w:szCs w:val="32"/>
          <w:highlight w:val="none"/>
          <w:lang w:eastAsia="zh-CN"/>
        </w:rPr>
        <w:t>2026年</w:t>
      </w:r>
      <w:r>
        <w:rPr>
          <w:rFonts w:hint="eastAsia" w:ascii="楷体_GB2312" w:hAnsi="楷体_GB2312" w:eastAsia="楷体_GB2312" w:cs="楷体_GB2312"/>
          <w:bCs/>
          <w:color w:val="000000"/>
          <w:sz w:val="32"/>
          <w:szCs w:val="32"/>
          <w:highlight w:val="none"/>
        </w:rPr>
        <w:t>国有资本经营预算支出情况说明</w:t>
      </w:r>
    </w:p>
    <w:p>
      <w:pPr>
        <w:ind w:firstLine="640" w:firstLineChars="200"/>
        <w:rPr>
          <w:rFonts w:hint="eastAsia" w:eastAsia="仿宋_GB2312"/>
          <w:highlight w:val="none"/>
          <w:lang w:eastAsia="zh-CN"/>
        </w:rPr>
      </w:pPr>
      <w:r>
        <w:rPr>
          <w:rFonts w:hint="eastAsia" w:ascii="仿宋_GB2312" w:hAnsi="仿宋_GB2312" w:eastAsia="仿宋_GB2312" w:cs="仿宋_GB2312"/>
          <w:color w:val="000000"/>
          <w:sz w:val="32"/>
          <w:szCs w:val="32"/>
          <w:highlight w:val="none"/>
        </w:rPr>
        <w:t>中共浦江县委组织部</w:t>
      </w:r>
      <w:r>
        <w:rPr>
          <w:rFonts w:hint="eastAsia" w:ascii="仿宋_GB2312" w:hAnsi="仿宋_GB2312" w:eastAsia="仿宋_GB2312" w:cs="仿宋_GB2312"/>
          <w:color w:val="000000"/>
          <w:sz w:val="32"/>
          <w:szCs w:val="32"/>
          <w:highlight w:val="none"/>
          <w:lang w:eastAsia="zh-CN"/>
        </w:rPr>
        <w:t>2026年</w:t>
      </w:r>
      <w:r>
        <w:rPr>
          <w:rFonts w:hint="eastAsia" w:ascii="仿宋_GB2312" w:hAnsi="仿宋_GB2312" w:eastAsia="仿宋_GB2312" w:cs="仿宋_GB2312"/>
          <w:color w:val="000000"/>
          <w:sz w:val="32"/>
          <w:szCs w:val="32"/>
          <w:highlight w:val="none"/>
        </w:rPr>
        <w:t>没有使用国有资本经营预算拨款安排的支出</w:t>
      </w:r>
      <w:r>
        <w:rPr>
          <w:rFonts w:hint="eastAsia" w:ascii="仿宋_GB2312" w:hAnsi="仿宋_GB2312" w:eastAsia="仿宋_GB2312" w:cs="仿宋_GB2312"/>
          <w:color w:val="000000"/>
          <w:sz w:val="32"/>
          <w:szCs w:val="32"/>
          <w:highlight w:val="none"/>
          <w:lang w:eastAsia="zh-CN"/>
        </w:rPr>
        <w:t>。</w:t>
      </w:r>
    </w:p>
    <w:p>
      <w:pPr>
        <w:spacing w:line="520" w:lineRule="exact"/>
        <w:ind w:firstLine="627" w:firstLineChars="196"/>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（九）关于中共浦江县委组织部</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sz w:val="32"/>
          <w:szCs w:val="32"/>
        </w:rPr>
        <w:t>一般公共预算</w:t>
      </w:r>
      <w:r>
        <w:rPr>
          <w:rFonts w:hint="eastAsia" w:ascii="楷体_GB2312" w:hAnsi="楷体_GB2312" w:eastAsia="楷体_GB2312" w:cs="楷体_GB2312"/>
          <w:bCs/>
          <w:color w:val="000000"/>
          <w:sz w:val="32"/>
          <w:szCs w:val="32"/>
        </w:rPr>
        <w:t>“三公”经费预算情况说明</w:t>
      </w:r>
    </w:p>
    <w:p>
      <w:pPr>
        <w:pStyle w:val="14"/>
        <w:spacing w:line="520" w:lineRule="exact"/>
        <w:ind w:firstLine="640" w:firstLineChars="200"/>
        <w:rPr>
          <w:rFonts w:hint="eastAsia" w:ascii="仿宋_GB2312" w:hAnsi="仿宋_GB2312" w:eastAsia="仿宋_GB2312"/>
          <w:sz w:val="32"/>
          <w:shd w:val="clear" w:color="auto" w:fill="FFFFFF"/>
        </w:rPr>
      </w:pPr>
      <w:r>
        <w:rPr>
          <w:rFonts w:hint="eastAsia" w:ascii="仿宋_GB2312" w:hAnsi="仿宋_GB2312" w:eastAsia="仿宋_GB2312"/>
          <w:sz w:val="32"/>
        </w:rPr>
        <w:t>中共浦江县委组织部</w:t>
      </w:r>
      <w:r>
        <w:rPr>
          <w:rFonts w:hint="eastAsia" w:ascii="仿宋_GB2312" w:hAnsi="仿宋_GB2312" w:eastAsia="仿宋_GB2312"/>
          <w:sz w:val="32"/>
          <w:lang w:eastAsia="zh-CN"/>
        </w:rPr>
        <w:t>2026年</w:t>
      </w:r>
      <w:r>
        <w:rPr>
          <w:rFonts w:hint="eastAsia" w:ascii="仿宋_GB2312" w:hAnsi="仿宋_GB2312" w:eastAsia="仿宋_GB2312"/>
          <w:sz w:val="32"/>
        </w:rPr>
        <w:t>“三公”经费预算数为5.00万元，</w:t>
      </w:r>
      <w:r>
        <w:rPr>
          <w:rFonts w:hint="eastAsia" w:ascii="仿宋_GB2312" w:hAnsi="仿宋_GB2312" w:eastAsia="仿宋_GB2312"/>
          <w:sz w:val="32"/>
          <w:shd w:val="clear" w:color="auto" w:fill="FFFFFF"/>
        </w:rPr>
        <w:t>与上年预算数持平，具体如下：</w:t>
      </w:r>
    </w:p>
    <w:p>
      <w:pPr>
        <w:pStyle w:val="14"/>
        <w:spacing w:line="520" w:lineRule="exact"/>
        <w:ind w:firstLine="640" w:firstLineChars="200"/>
        <w:rPr>
          <w:rFonts w:hint="eastAsia" w:ascii="仿宋_GB2312" w:hAnsi="仿宋_GB2312" w:eastAsia="仿宋_GB2312"/>
          <w:sz w:val="32"/>
          <w:shd w:val="clear" w:color="auto" w:fill="FFFFFF"/>
        </w:rPr>
      </w:pPr>
      <w:r>
        <w:rPr>
          <w:rFonts w:hint="eastAsia" w:ascii="仿宋_GB2312" w:hAnsi="仿宋_GB2312" w:eastAsia="仿宋_GB2312"/>
          <w:sz w:val="32"/>
          <w:shd w:val="clear" w:color="auto" w:fill="FFFFFF"/>
        </w:rPr>
        <w:t>1.因公出国（境）费用：根据因公出国计划和实际工作需要，202</w:t>
      </w:r>
      <w:r>
        <w:rPr>
          <w:rFonts w:hint="eastAsia" w:ascii="仿宋_GB2312" w:hAnsi="仿宋_GB2312" w:eastAsia="仿宋_GB2312"/>
          <w:sz w:val="32"/>
          <w:shd w:val="clear" w:color="auto" w:fill="FFFFFF"/>
          <w:lang w:val="en-US" w:eastAsia="zh-CN"/>
        </w:rPr>
        <w:t>6</w:t>
      </w:r>
      <w:r>
        <w:rPr>
          <w:rFonts w:hint="eastAsia" w:ascii="仿宋_GB2312" w:hAnsi="仿宋_GB2312" w:eastAsia="仿宋_GB2312"/>
          <w:sz w:val="32"/>
          <w:shd w:val="clear" w:color="auto" w:fill="FFFFFF"/>
        </w:rPr>
        <w:t>年安排因公出国（境）费用预算0.00万元，与上年预算数持平。</w:t>
      </w:r>
    </w:p>
    <w:p>
      <w:pPr>
        <w:pStyle w:val="14"/>
        <w:spacing w:line="520" w:lineRule="exact"/>
        <w:ind w:firstLine="640" w:firstLineChars="200"/>
        <w:rPr>
          <w:rFonts w:hint="eastAsia" w:ascii="仿宋_GB2312" w:hAnsi="仿宋_GB2312" w:eastAsia="仿宋_GB2312"/>
          <w:sz w:val="32"/>
          <w:shd w:val="clear" w:color="auto" w:fill="FFFFFF"/>
        </w:rPr>
      </w:pPr>
      <w:r>
        <w:rPr>
          <w:rFonts w:hint="eastAsia" w:ascii="仿宋_GB2312" w:hAnsi="仿宋_GB2312" w:eastAsia="仿宋_GB2312"/>
          <w:sz w:val="32"/>
          <w:shd w:val="clear" w:color="auto" w:fill="FFFFFF"/>
        </w:rPr>
        <w:t>2.公务接待费：202</w:t>
      </w:r>
      <w:r>
        <w:rPr>
          <w:rFonts w:hint="eastAsia" w:ascii="仿宋_GB2312" w:hAnsi="仿宋_GB2312" w:eastAsia="仿宋_GB2312"/>
          <w:sz w:val="32"/>
          <w:shd w:val="clear" w:color="auto" w:fill="FFFFFF"/>
          <w:lang w:val="en-US" w:eastAsia="zh-CN"/>
        </w:rPr>
        <w:t>6</w:t>
      </w:r>
      <w:r>
        <w:rPr>
          <w:rFonts w:hint="eastAsia" w:ascii="仿宋_GB2312" w:hAnsi="仿宋_GB2312" w:eastAsia="仿宋_GB2312"/>
          <w:sz w:val="32"/>
          <w:shd w:val="clear" w:color="auto" w:fill="FFFFFF"/>
        </w:rPr>
        <w:t>年安排公务接待费预算5.00万元，与上年预算数持平。</w:t>
      </w:r>
    </w:p>
    <w:p>
      <w:pPr>
        <w:pStyle w:val="14"/>
        <w:spacing w:line="520" w:lineRule="exact"/>
        <w:ind w:firstLine="640" w:firstLineChars="200"/>
        <w:rPr>
          <w:rFonts w:hint="eastAsia" w:ascii="仿宋_GB2312" w:hAnsi="仿宋_GB2312" w:eastAsia="仿宋_GB2312"/>
          <w:b/>
          <w:bCs/>
          <w:sz w:val="32"/>
          <w:szCs w:val="32"/>
          <w:shd w:val="clear" w:color="auto" w:fill="FFFFFF"/>
        </w:rPr>
      </w:pPr>
      <w:r>
        <w:rPr>
          <w:rFonts w:hint="eastAsia" w:ascii="仿宋_GB2312" w:hAnsi="仿宋_GB2312" w:eastAsia="仿宋_GB2312"/>
          <w:sz w:val="32"/>
          <w:shd w:val="clear" w:color="auto" w:fill="FFFFFF"/>
        </w:rPr>
        <w:t>3.公务用车购置及运行维护费：202</w:t>
      </w:r>
      <w:r>
        <w:rPr>
          <w:rFonts w:hint="eastAsia" w:ascii="仿宋_GB2312" w:hAnsi="仿宋_GB2312" w:eastAsia="仿宋_GB2312"/>
          <w:sz w:val="32"/>
          <w:shd w:val="clear" w:color="auto" w:fill="FFFFFF"/>
          <w:lang w:val="en-US" w:eastAsia="zh-CN"/>
        </w:rPr>
        <w:t>6</w:t>
      </w:r>
      <w:r>
        <w:rPr>
          <w:rFonts w:hint="eastAsia" w:ascii="仿宋_GB2312" w:hAnsi="仿宋_GB2312" w:eastAsia="仿宋_GB2312"/>
          <w:sz w:val="32"/>
          <w:shd w:val="clear" w:color="auto" w:fill="FFFFFF"/>
        </w:rPr>
        <w:t>年安排公务用车购置及运行维护费预算0.00万元，与上年预算数持平。</w:t>
      </w:r>
    </w:p>
    <w:p>
      <w:pPr>
        <w:spacing w:line="520" w:lineRule="exact"/>
        <w:ind w:firstLine="627" w:firstLineChars="196"/>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（十）其他重要事项的情况说明</w:t>
      </w:r>
    </w:p>
    <w:p>
      <w:pPr>
        <w:spacing w:line="520" w:lineRule="exact"/>
        <w:ind w:firstLine="64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1.机关运行经费（行政参公单位填写，事业单位请删除）。</w:t>
      </w:r>
    </w:p>
    <w:p>
      <w:pPr>
        <w:pStyle w:val="14"/>
        <w:spacing w:line="520" w:lineRule="exact"/>
        <w:ind w:firstLine="640" w:firstLineChars="200"/>
        <w:rPr>
          <w:rFonts w:ascii="仿宋_GB2312" w:eastAsia="仿宋_GB2312"/>
          <w:sz w:val="32"/>
          <w:szCs w:val="32"/>
        </w:rPr>
      </w:pPr>
      <w:r>
        <w:rPr>
          <w:rFonts w:hint="eastAsia" w:ascii="仿宋_GB2312" w:eastAsia="仿宋_GB2312"/>
          <w:sz w:val="32"/>
          <w:szCs w:val="32"/>
          <w:lang w:eastAsia="zh-CN"/>
        </w:rPr>
        <w:t>2026年</w:t>
      </w:r>
      <w:r>
        <w:rPr>
          <w:rFonts w:hint="eastAsia" w:ascii="仿宋_GB2312" w:eastAsia="仿宋_GB2312"/>
          <w:sz w:val="32"/>
          <w:szCs w:val="32"/>
        </w:rPr>
        <w:t>中共浦江县委组织部</w:t>
      </w:r>
      <w:r>
        <w:rPr>
          <w:rFonts w:hint="eastAsia" w:ascii="仿宋_GB2312" w:eastAsia="仿宋_GB2312"/>
          <w:color w:val="000000"/>
          <w:sz w:val="32"/>
          <w:szCs w:val="32"/>
        </w:rPr>
        <w:t>本级的机关运行经费财政拨款预算188.98万元，比上年预算增加</w:t>
      </w:r>
      <w:r>
        <w:rPr>
          <w:rFonts w:hint="eastAsia" w:ascii="仿宋_GB2312" w:eastAsia="仿宋_GB2312"/>
          <w:color w:val="000000"/>
          <w:sz w:val="32"/>
          <w:szCs w:val="32"/>
          <w:lang w:val="en-US" w:eastAsia="zh-CN"/>
        </w:rPr>
        <w:t>22.75</w:t>
      </w:r>
      <w:r>
        <w:rPr>
          <w:rFonts w:hint="eastAsia" w:ascii="仿宋_GB2312" w:eastAsia="仿宋_GB2312"/>
          <w:sz w:val="32"/>
          <w:szCs w:val="32"/>
        </w:rPr>
        <w:t>万元</w:t>
      </w:r>
      <w:r>
        <w:rPr>
          <w:rFonts w:hint="eastAsia" w:ascii="仿宋_GB2312" w:hAnsi="仿宋_GB2312" w:eastAsia="仿宋_GB2312"/>
          <w:kern w:val="2"/>
          <w:sz w:val="32"/>
          <w:szCs w:val="20"/>
        </w:rPr>
        <w:t>，增长</w:t>
      </w:r>
      <w:r>
        <w:rPr>
          <w:rFonts w:hint="eastAsia" w:ascii="仿宋_GB2312" w:hAnsi="仿宋_GB2312" w:eastAsia="仿宋_GB2312"/>
          <w:kern w:val="2"/>
          <w:sz w:val="32"/>
          <w:szCs w:val="20"/>
          <w:lang w:val="en-US" w:eastAsia="zh-CN"/>
        </w:rPr>
        <w:t>13.7</w:t>
      </w:r>
      <w:r>
        <w:rPr>
          <w:rFonts w:hint="eastAsia" w:ascii="仿宋_GB2312" w:hAnsi="仿宋_GB2312" w:eastAsia="仿宋_GB2312"/>
          <w:kern w:val="2"/>
          <w:sz w:val="32"/>
          <w:szCs w:val="20"/>
        </w:rPr>
        <w:t>%，主要是职工数增加</w:t>
      </w:r>
      <w:r>
        <w:rPr>
          <w:rFonts w:hint="eastAsia" w:ascii="仿宋_GB2312" w:eastAsia="仿宋_GB2312"/>
          <w:color w:val="000000"/>
          <w:sz w:val="32"/>
          <w:szCs w:val="32"/>
        </w:rPr>
        <w:t>。</w:t>
      </w:r>
    </w:p>
    <w:p>
      <w:pPr>
        <w:pStyle w:val="14"/>
        <w:numPr>
          <w:ilvl w:val="0"/>
          <w:numId w:val="2"/>
        </w:numPr>
        <w:spacing w:line="520" w:lineRule="exact"/>
        <w:ind w:firstLine="600"/>
        <w:rPr>
          <w:rFonts w:ascii="仿宋_GB2312" w:eastAsia="仿宋_GB2312"/>
          <w:b/>
          <w:bCs/>
          <w:sz w:val="32"/>
          <w:szCs w:val="32"/>
        </w:rPr>
      </w:pPr>
      <w:r>
        <w:rPr>
          <w:rFonts w:hint="eastAsia" w:ascii="仿宋_GB2312" w:eastAsia="仿宋_GB2312"/>
          <w:b/>
          <w:bCs/>
          <w:sz w:val="32"/>
          <w:szCs w:val="32"/>
        </w:rPr>
        <w:t>政府采购情况。</w:t>
      </w:r>
    </w:p>
    <w:p>
      <w:pPr>
        <w:pStyle w:val="14"/>
        <w:spacing w:line="520" w:lineRule="exact"/>
        <w:ind w:firstLine="640" w:firstLineChars="200"/>
        <w:rPr>
          <w:rFonts w:ascii="仿宋_GB2312" w:eastAsia="仿宋_GB2312"/>
          <w:sz w:val="32"/>
          <w:szCs w:val="32"/>
        </w:rPr>
      </w:pPr>
      <w:r>
        <w:rPr>
          <w:rFonts w:hint="eastAsia" w:ascii="仿宋_GB2312" w:eastAsia="仿宋_GB2312"/>
          <w:sz w:val="32"/>
          <w:szCs w:val="32"/>
          <w:lang w:eastAsia="zh-CN"/>
        </w:rPr>
        <w:t>2026年</w:t>
      </w:r>
      <w:bookmarkStart w:id="0" w:name="OLE_LINK1"/>
      <w:r>
        <w:rPr>
          <w:rFonts w:hint="eastAsia" w:ascii="仿宋_GB2312" w:eastAsia="仿宋_GB2312"/>
          <w:sz w:val="32"/>
          <w:szCs w:val="32"/>
        </w:rPr>
        <w:t>中共浦江县委组织部</w:t>
      </w:r>
      <w:bookmarkEnd w:id="0"/>
      <w:r>
        <w:rPr>
          <w:rFonts w:hint="eastAsia" w:ascii="仿宋_GB2312" w:eastAsia="仿宋_GB2312"/>
          <w:color w:val="000000"/>
          <w:sz w:val="32"/>
          <w:szCs w:val="32"/>
        </w:rPr>
        <w:t>各单位政府采购预算总额</w:t>
      </w:r>
      <w:r>
        <w:rPr>
          <w:rFonts w:ascii="仿宋_GB2312" w:eastAsia="仿宋_GB2312"/>
          <w:color w:val="000000"/>
          <w:sz w:val="32"/>
          <w:szCs w:val="32"/>
        </w:rPr>
        <w:t>4.00</w:t>
      </w:r>
      <w:r>
        <w:rPr>
          <w:rFonts w:hint="eastAsia" w:ascii="仿宋_GB2312" w:eastAsia="仿宋_GB2312"/>
          <w:color w:val="000000"/>
          <w:sz w:val="32"/>
          <w:szCs w:val="32"/>
        </w:rPr>
        <w:t>万元，其中：政府采购货物预算4.00万元。</w:t>
      </w:r>
    </w:p>
    <w:p>
      <w:pPr>
        <w:pStyle w:val="14"/>
        <w:spacing w:line="520" w:lineRule="exact"/>
        <w:ind w:firstLine="642"/>
        <w:rPr>
          <w:rFonts w:ascii="仿宋_GB2312" w:eastAsia="仿宋_GB2312"/>
          <w:sz w:val="32"/>
          <w:szCs w:val="32"/>
        </w:rPr>
      </w:pPr>
      <w:r>
        <w:rPr>
          <w:rFonts w:hint="eastAsia" w:ascii="仿宋_GB2312" w:eastAsia="仿宋_GB2312"/>
          <w:b/>
          <w:bCs/>
          <w:sz w:val="32"/>
          <w:szCs w:val="32"/>
        </w:rPr>
        <w:t>3.国有资产占有使用情况。</w:t>
      </w:r>
    </w:p>
    <w:p>
      <w:pPr>
        <w:spacing w:line="520" w:lineRule="exact"/>
        <w:ind w:firstLine="640"/>
        <w:rPr>
          <w:rFonts w:ascii="仿宋_GB2312" w:hAnsi="仿宋_GB2312" w:eastAsia="仿宋_GB2312" w:cs="仿宋_GB2312"/>
          <w:sz w:val="32"/>
          <w:szCs w:val="32"/>
        </w:rPr>
      </w:pPr>
      <w:r>
        <w:rPr>
          <w:rFonts w:hint="eastAsia" w:ascii="仿宋_GB2312" w:hAnsi="仿宋_GB2312" w:eastAsia="仿宋_GB2312" w:cs="仿宋_GB2312"/>
          <w:spacing w:val="6"/>
          <w:sz w:val="32"/>
          <w:szCs w:val="32"/>
        </w:rPr>
        <w:t>截至</w:t>
      </w:r>
      <w:r>
        <w:rPr>
          <w:rFonts w:hint="eastAsia" w:ascii="仿宋_GB2312" w:hAnsi="仿宋_GB2312" w:eastAsia="仿宋_GB2312" w:cs="仿宋_GB2312"/>
          <w:spacing w:val="6"/>
          <w:sz w:val="32"/>
          <w:szCs w:val="32"/>
          <w:lang w:eastAsia="zh-CN"/>
        </w:rPr>
        <w:t>2025</w:t>
      </w:r>
      <w:r>
        <w:rPr>
          <w:rFonts w:hint="eastAsia" w:ascii="仿宋_GB2312" w:hAnsi="仿宋_GB2312" w:eastAsia="仿宋_GB2312" w:cs="仿宋_GB2312"/>
          <w:spacing w:val="6"/>
          <w:sz w:val="32"/>
          <w:szCs w:val="32"/>
        </w:rPr>
        <w:t>年12月31日，</w:t>
      </w:r>
      <w:r>
        <w:rPr>
          <w:rFonts w:hint="eastAsia" w:ascii="仿宋_GB2312" w:eastAsia="仿宋_GB2312"/>
          <w:sz w:val="32"/>
          <w:szCs w:val="32"/>
        </w:rPr>
        <w:t>中共浦江县委组织部</w:t>
      </w:r>
      <w:r>
        <w:rPr>
          <w:rFonts w:hint="eastAsia" w:ascii="仿宋_GB2312" w:hAnsi="仿宋_GB2312" w:eastAsia="仿宋_GB2312" w:cs="仿宋_GB2312"/>
          <w:spacing w:val="6"/>
          <w:sz w:val="32"/>
          <w:szCs w:val="32"/>
        </w:rPr>
        <w:t>共有车辆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 xml:space="preserve">台（套）。 </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2026年</w:t>
      </w:r>
      <w:r>
        <w:rPr>
          <w:rFonts w:ascii="仿宋_GB2312" w:hAnsi="仿宋_GB2312" w:eastAsia="仿宋_GB2312" w:cs="仿宋_GB2312"/>
          <w:sz w:val="32"/>
          <w:szCs w:val="32"/>
        </w:rPr>
        <w:t>部门预算未安排购置车辆、单位价值100万元以上设备</w:t>
      </w:r>
      <w:r>
        <w:rPr>
          <w:rFonts w:hint="eastAsia" w:ascii="仿宋_GB2312" w:hAnsi="仿宋_GB2312" w:eastAsia="仿宋_GB2312" w:cs="仿宋_GB2312"/>
          <w:sz w:val="32"/>
          <w:szCs w:val="32"/>
        </w:rPr>
        <w:t>。</w:t>
      </w:r>
    </w:p>
    <w:p>
      <w:pPr>
        <w:pStyle w:val="14"/>
        <w:spacing w:line="520" w:lineRule="exact"/>
        <w:rPr>
          <w:rFonts w:ascii="仿宋_GB2312" w:eastAsia="仿宋_GB2312"/>
          <w:b/>
          <w:bCs/>
          <w:sz w:val="32"/>
          <w:szCs w:val="32"/>
        </w:rPr>
      </w:pPr>
      <w:r>
        <w:rPr>
          <w:rFonts w:hint="eastAsia" w:ascii="仿宋_GB2312" w:eastAsia="仿宋_GB2312"/>
          <w:b/>
          <w:bCs/>
          <w:sz w:val="32"/>
          <w:szCs w:val="32"/>
        </w:rPr>
        <w:t xml:space="preserve">    4.预算绩效情况说明。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2026年</w:t>
      </w:r>
      <w:r>
        <w:rPr>
          <w:rFonts w:ascii="仿宋_GB2312" w:hAnsi="仿宋_GB2312" w:eastAsia="仿宋_GB2312" w:cs="仿宋_GB2312"/>
          <w:sz w:val="32"/>
          <w:szCs w:val="32"/>
        </w:rPr>
        <w:t>中共浦江县委组织部其他运转类项目和特定目标类项目均实行绩效目标管理，共计4个一级项目，涉及当年资金8396.98万元。同时，将按照相关制度规定开展绩效自评。一级项目绩效目标表，详见“</w:t>
      </w:r>
      <w:r>
        <w:rPr>
          <w:rFonts w:hint="eastAsia" w:ascii="仿宋_GB2312" w:hAnsi="仿宋_GB2312" w:eastAsia="仿宋_GB2312" w:cs="仿宋_GB2312"/>
          <w:sz w:val="32"/>
          <w:szCs w:val="32"/>
        </w:rPr>
        <w:t>单位</w:t>
      </w:r>
      <w:r>
        <w:rPr>
          <w:rFonts w:ascii="仿宋_GB2312" w:hAnsi="仿宋_GB2312" w:eastAsia="仿宋_GB2312" w:cs="仿宋_GB2312"/>
          <w:sz w:val="32"/>
          <w:szCs w:val="32"/>
        </w:rPr>
        <w:t>项目支出绩效表”</w:t>
      </w:r>
      <w:r>
        <w:rPr>
          <w:rFonts w:hint="eastAsia" w:ascii="仿宋_GB2312" w:hAnsi="仿宋_GB2312" w:eastAsia="仿宋_GB2312" w:cs="仿宋_GB2312"/>
          <w:sz w:val="32"/>
          <w:szCs w:val="32"/>
        </w:rPr>
        <w:t>。</w:t>
      </w:r>
    </w:p>
    <w:p>
      <w:pPr>
        <w:pStyle w:val="14"/>
        <w:spacing w:line="520" w:lineRule="exact"/>
        <w:ind w:firstLine="640" w:firstLineChars="200"/>
        <w:rPr>
          <w:rFonts w:ascii="黑体" w:hAnsi="黑体" w:eastAsia="黑体" w:cs="黑体"/>
          <w:bCs/>
          <w:kern w:val="2"/>
          <w:sz w:val="32"/>
          <w:szCs w:val="32"/>
        </w:rPr>
      </w:pPr>
      <w:r>
        <w:rPr>
          <w:rFonts w:hint="eastAsia" w:ascii="黑体" w:hAnsi="黑体" w:eastAsia="黑体" w:cs="黑体"/>
          <w:bCs/>
          <w:kern w:val="2"/>
          <w:sz w:val="32"/>
          <w:szCs w:val="32"/>
        </w:rPr>
        <w:t>三、名词解释</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1.财政拨款收入：本级财政部门当年拨付的财政预算资金，包括一般公共预算财政拨款</w:t>
      </w:r>
      <w:r>
        <w:rPr>
          <w:rFonts w:hint="eastAsia" w:ascii="仿宋_GB2312" w:eastAsia="仿宋_GB2312"/>
          <w:color w:val="000000"/>
          <w:sz w:val="32"/>
          <w:szCs w:val="32"/>
        </w:rPr>
        <w:t>、</w:t>
      </w:r>
      <w:r>
        <w:rPr>
          <w:rFonts w:hint="eastAsia" w:ascii="仿宋_GB2312" w:hAnsi="仿宋_GB2312" w:eastAsia="仿宋_GB2312" w:cs="仿宋_GB2312"/>
          <w:sz w:val="32"/>
          <w:szCs w:val="32"/>
        </w:rPr>
        <w:t>政府性基金预算和国有资本经营预算财政拨款。</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2.财政专户管理资金:教育收费作为本部门的事业收入，纳入财政专户管理的资金。</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3.事业收入：事业单位开展专业业务活动及辅助活动所取得的收入，不含财政专户管理资金收入。</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4.事业单位经营收入：事业单位在专业业务活动及辅助活动之外开展非独立核算经营活动取得的收入。</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其他收入：预算单位在“一般公共预算”“政府性基金预算”“国有资本经营预算”“财政专户管理资金”“事业收入”“事业单位经营收入”“上级补助收入”和“附属单位上缴收入”等之外取得的各项收入。</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6.上年结转结余：包括财政拨款结转结余、财政专户管理结转结余和单位资金结转结余。</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7.基本支出：是预算单位为保障其正常运转，完成日常工作任务所发生的支出，包括人员支出和日常公用支出。</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8.项目支出：是预算单位为完成其特定的行政工作任务或事业发展目标所发生的支出。</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.“三公”经费：纳入财政预决算管理的“三公”经费，是指部门用一般公共预算财政拨款安排的因公出国（境）费</w:t>
      </w:r>
      <w:r>
        <w:rPr>
          <w:rFonts w:hint="eastAsia" w:ascii="仿宋_GB2312" w:hAnsi="仿宋_GB2312" w:eastAsia="仿宋_GB2312" w:cs="仿宋_GB2312"/>
          <w:sz w:val="32"/>
          <w:szCs w:val="32"/>
          <w:lang w:val="en-US" w:eastAsia="zh-CN"/>
        </w:rPr>
        <w:t>用</w:t>
      </w:r>
      <w:r>
        <w:rPr>
          <w:rFonts w:hint="eastAsia" w:ascii="仿宋_GB2312" w:hAnsi="仿宋_GB2312" w:eastAsia="仿宋_GB2312" w:cs="仿宋_GB2312"/>
          <w:sz w:val="32"/>
          <w:szCs w:val="32"/>
        </w:rPr>
        <w:t>、公务用车购置及运行费和公务接待费。其中，因公出国（境）费</w:t>
      </w:r>
      <w:r>
        <w:rPr>
          <w:rFonts w:hint="eastAsia" w:ascii="仿宋_GB2312" w:hAnsi="仿宋_GB2312" w:eastAsia="仿宋_GB2312" w:cs="仿宋_GB2312"/>
          <w:sz w:val="32"/>
          <w:szCs w:val="32"/>
          <w:lang w:val="en-US" w:eastAsia="zh-CN"/>
        </w:rPr>
        <w:t>用</w:t>
      </w:r>
      <w:r>
        <w:rPr>
          <w:rFonts w:hint="eastAsia" w:ascii="仿宋_GB2312" w:hAnsi="仿宋_GB2312" w:eastAsia="仿宋_GB2312" w:cs="仿宋_GB2312"/>
          <w:sz w:val="32"/>
          <w:szCs w:val="32"/>
        </w:rPr>
        <w:t>反映单位公务出国（境）的国际旅费、国外城市间交通费、住宿费、伙食费、培训费、公杂费等支出，不含教学科研人员学术交流出国（境）费用；公务用车购置及运行费反映单位公务用车车辆购置支出（含车辆购置税）及燃料费、新能源汽车充电费、维修费、过桥过路费、保险费、安全奖励费用等支出；公务接待费反映单位按规定开支的各类公务接待（含外宾接待）支出。</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.机关运行经费：指为保障行政单位（含参照公务员法管理的事业单位）运行用于购买货物和服务的各项资金，包括办公</w:t>
      </w:r>
      <w:r>
        <w:rPr>
          <w:rFonts w:hint="eastAsia" w:ascii="仿宋_GB2312" w:hAnsi="仿宋_GB2312" w:eastAsia="仿宋_GB2312" w:cs="仿宋_GB2312"/>
          <w:sz w:val="32"/>
          <w:szCs w:val="32"/>
          <w:lang w:val="en-US" w:eastAsia="zh-CN"/>
        </w:rPr>
        <w:t>费、</w:t>
      </w:r>
      <w:r>
        <w:rPr>
          <w:rFonts w:hint="eastAsia" w:ascii="仿宋_GB2312" w:hAnsi="仿宋_GB2312" w:eastAsia="仿宋_GB2312" w:cs="仿宋_GB2312"/>
          <w:sz w:val="32"/>
          <w:szCs w:val="32"/>
        </w:rPr>
        <w:t>印刷费、邮电费、差旅费、会议费、福利费、日常维修费、专用材料</w:t>
      </w:r>
      <w:r>
        <w:rPr>
          <w:rFonts w:hint="eastAsia" w:ascii="仿宋_GB2312" w:hAnsi="仿宋_GB2312" w:eastAsia="仿宋_GB2312" w:cs="仿宋_GB2312"/>
          <w:sz w:val="32"/>
          <w:szCs w:val="32"/>
          <w:lang w:val="en-US" w:eastAsia="zh-CN"/>
        </w:rPr>
        <w:t>费</w:t>
      </w:r>
      <w:r>
        <w:rPr>
          <w:rFonts w:hint="eastAsia" w:ascii="仿宋_GB2312" w:hAnsi="仿宋_GB2312" w:eastAsia="仿宋_GB2312" w:cs="仿宋_GB2312"/>
          <w:sz w:val="32"/>
          <w:szCs w:val="32"/>
        </w:rPr>
        <w:t>及</w:t>
      </w:r>
      <w:r>
        <w:rPr>
          <w:rFonts w:hint="eastAsia" w:ascii="仿宋_GB2312" w:hAnsi="仿宋_GB2312" w:eastAsia="仿宋_GB2312" w:cs="仿宋_GB2312"/>
          <w:sz w:val="32"/>
          <w:szCs w:val="32"/>
          <w:lang w:val="en-US" w:eastAsia="zh-CN"/>
        </w:rPr>
        <w:t>办公</w:t>
      </w:r>
      <w:r>
        <w:rPr>
          <w:rFonts w:hint="eastAsia" w:ascii="仿宋_GB2312" w:hAnsi="仿宋_GB2312" w:eastAsia="仿宋_GB2312" w:cs="仿宋_GB2312"/>
          <w:sz w:val="32"/>
          <w:szCs w:val="32"/>
        </w:rPr>
        <w:t>设备购置费、办公用房水电费、办公用房取暖费、办公用房物业管理费、公务用车运行维护费以及其他费用。</w:t>
      </w:r>
    </w:p>
    <w:p>
      <w:pPr>
        <w:pStyle w:val="2"/>
      </w:pPr>
      <w:r>
        <w:rPr>
          <w:rFonts w:hint="eastAsia" w:cs="仿宋_GB2312"/>
          <w:sz w:val="32"/>
          <w:szCs w:val="32"/>
          <w:lang w:val="en-US" w:eastAsia="zh-CN"/>
        </w:rPr>
        <w:t xml:space="preserve">    </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highlight w:val="none"/>
          <w:lang w:val="en-US" w:eastAsia="zh-CN"/>
        </w:rPr>
        <w:t>委托业务费：指的是因委托外单位办理业务而支付的委托业务费。</w:t>
      </w: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6"/>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93F62F"/>
    <w:multiLevelType w:val="singleLevel"/>
    <w:tmpl w:val="5893F62F"/>
    <w:lvl w:ilvl="0" w:tentative="0">
      <w:start w:val="2"/>
      <w:numFmt w:val="decimal"/>
      <w:suff w:val="nothing"/>
      <w:lvlText w:val="%1."/>
      <w:lvlJc w:val="left"/>
    </w:lvl>
  </w:abstractNum>
  <w:abstractNum w:abstractNumId="1">
    <w:nsid w:val="5895A99C"/>
    <w:multiLevelType w:val="singleLevel"/>
    <w:tmpl w:val="5895A99C"/>
    <w:lvl w:ilvl="0" w:tentative="0">
      <w:start w:val="5"/>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8453C"/>
    <w:rsid w:val="00037FBA"/>
    <w:rsid w:val="00084C3B"/>
    <w:rsid w:val="000F6704"/>
    <w:rsid w:val="0014553D"/>
    <w:rsid w:val="00151805"/>
    <w:rsid w:val="0018453C"/>
    <w:rsid w:val="001C6D6F"/>
    <w:rsid w:val="001D7273"/>
    <w:rsid w:val="001F186B"/>
    <w:rsid w:val="0025199F"/>
    <w:rsid w:val="00262BFB"/>
    <w:rsid w:val="002E190E"/>
    <w:rsid w:val="00312421"/>
    <w:rsid w:val="0034320B"/>
    <w:rsid w:val="0035041B"/>
    <w:rsid w:val="00352D79"/>
    <w:rsid w:val="003533AA"/>
    <w:rsid w:val="00372A55"/>
    <w:rsid w:val="003A54FF"/>
    <w:rsid w:val="003E68CE"/>
    <w:rsid w:val="004C1A7E"/>
    <w:rsid w:val="004E07B6"/>
    <w:rsid w:val="004F65D0"/>
    <w:rsid w:val="004F6D96"/>
    <w:rsid w:val="0054517F"/>
    <w:rsid w:val="0055355B"/>
    <w:rsid w:val="00576237"/>
    <w:rsid w:val="005B1AB5"/>
    <w:rsid w:val="005D0D77"/>
    <w:rsid w:val="005E0A27"/>
    <w:rsid w:val="005E47B3"/>
    <w:rsid w:val="005E7D52"/>
    <w:rsid w:val="00655F61"/>
    <w:rsid w:val="006B2E4F"/>
    <w:rsid w:val="006C39E2"/>
    <w:rsid w:val="006D5442"/>
    <w:rsid w:val="006D7FE3"/>
    <w:rsid w:val="006E085B"/>
    <w:rsid w:val="006F455E"/>
    <w:rsid w:val="007072D9"/>
    <w:rsid w:val="00731A0A"/>
    <w:rsid w:val="0073245A"/>
    <w:rsid w:val="00755A48"/>
    <w:rsid w:val="007715EF"/>
    <w:rsid w:val="007A0C65"/>
    <w:rsid w:val="007A2925"/>
    <w:rsid w:val="007B431F"/>
    <w:rsid w:val="007D24B2"/>
    <w:rsid w:val="007E4CC3"/>
    <w:rsid w:val="00801E01"/>
    <w:rsid w:val="00823268"/>
    <w:rsid w:val="00834DDF"/>
    <w:rsid w:val="00850DC9"/>
    <w:rsid w:val="0089440C"/>
    <w:rsid w:val="00937AE8"/>
    <w:rsid w:val="009415A1"/>
    <w:rsid w:val="009427F2"/>
    <w:rsid w:val="009A7459"/>
    <w:rsid w:val="009B71E7"/>
    <w:rsid w:val="00A76362"/>
    <w:rsid w:val="00A86842"/>
    <w:rsid w:val="00AB2741"/>
    <w:rsid w:val="00B109C2"/>
    <w:rsid w:val="00B85FDA"/>
    <w:rsid w:val="00BA6311"/>
    <w:rsid w:val="00C35F38"/>
    <w:rsid w:val="00C35FDD"/>
    <w:rsid w:val="00C47BB8"/>
    <w:rsid w:val="00C50353"/>
    <w:rsid w:val="00C52D1F"/>
    <w:rsid w:val="00CC1B9F"/>
    <w:rsid w:val="00CE3F52"/>
    <w:rsid w:val="00D7617F"/>
    <w:rsid w:val="00D81B35"/>
    <w:rsid w:val="00DA4451"/>
    <w:rsid w:val="00DA6F5B"/>
    <w:rsid w:val="00DA7F84"/>
    <w:rsid w:val="00DF037C"/>
    <w:rsid w:val="00E16F71"/>
    <w:rsid w:val="00E20FB4"/>
    <w:rsid w:val="00E40834"/>
    <w:rsid w:val="00E429D8"/>
    <w:rsid w:val="00E44C58"/>
    <w:rsid w:val="00E61E40"/>
    <w:rsid w:val="00E925CD"/>
    <w:rsid w:val="00E95C9E"/>
    <w:rsid w:val="00ED0384"/>
    <w:rsid w:val="00F23B56"/>
    <w:rsid w:val="00F56A05"/>
    <w:rsid w:val="00F7116F"/>
    <w:rsid w:val="01405C62"/>
    <w:rsid w:val="01F263DB"/>
    <w:rsid w:val="01F648EB"/>
    <w:rsid w:val="024C6702"/>
    <w:rsid w:val="026505B4"/>
    <w:rsid w:val="028630A1"/>
    <w:rsid w:val="02FD4879"/>
    <w:rsid w:val="038C7FF1"/>
    <w:rsid w:val="03AA3E3B"/>
    <w:rsid w:val="03C00050"/>
    <w:rsid w:val="03EA5C50"/>
    <w:rsid w:val="0458580D"/>
    <w:rsid w:val="04600135"/>
    <w:rsid w:val="05054F3D"/>
    <w:rsid w:val="05F46152"/>
    <w:rsid w:val="05F835B0"/>
    <w:rsid w:val="06113422"/>
    <w:rsid w:val="063B27DE"/>
    <w:rsid w:val="065E25EC"/>
    <w:rsid w:val="06835E42"/>
    <w:rsid w:val="06F965CB"/>
    <w:rsid w:val="07487AC1"/>
    <w:rsid w:val="07623DA7"/>
    <w:rsid w:val="081119C7"/>
    <w:rsid w:val="08DE4DFD"/>
    <w:rsid w:val="0A1D1E06"/>
    <w:rsid w:val="0A4C7CCD"/>
    <w:rsid w:val="0AC8117A"/>
    <w:rsid w:val="0B486D9D"/>
    <w:rsid w:val="0B4F52A1"/>
    <w:rsid w:val="0B652DFD"/>
    <w:rsid w:val="0B654246"/>
    <w:rsid w:val="0BD448F3"/>
    <w:rsid w:val="0C7B7749"/>
    <w:rsid w:val="0CE2397A"/>
    <w:rsid w:val="0CEE5818"/>
    <w:rsid w:val="0DDF3EA9"/>
    <w:rsid w:val="0F0A0BC6"/>
    <w:rsid w:val="0F216C64"/>
    <w:rsid w:val="0F3E23E2"/>
    <w:rsid w:val="0F5C4EB1"/>
    <w:rsid w:val="0F760C96"/>
    <w:rsid w:val="0F8B51E9"/>
    <w:rsid w:val="0FEA06B3"/>
    <w:rsid w:val="106B2554"/>
    <w:rsid w:val="1085571C"/>
    <w:rsid w:val="10AD6224"/>
    <w:rsid w:val="113F7BA5"/>
    <w:rsid w:val="11F23C38"/>
    <w:rsid w:val="12970A77"/>
    <w:rsid w:val="12D300E7"/>
    <w:rsid w:val="136B79EF"/>
    <w:rsid w:val="1370543F"/>
    <w:rsid w:val="13811EEE"/>
    <w:rsid w:val="13817C14"/>
    <w:rsid w:val="13FF3975"/>
    <w:rsid w:val="14861683"/>
    <w:rsid w:val="14887B46"/>
    <w:rsid w:val="14EF3497"/>
    <w:rsid w:val="153C45B3"/>
    <w:rsid w:val="157947AC"/>
    <w:rsid w:val="15DB09EF"/>
    <w:rsid w:val="1650535C"/>
    <w:rsid w:val="16B75B8F"/>
    <w:rsid w:val="16FE1938"/>
    <w:rsid w:val="170C3948"/>
    <w:rsid w:val="178056C8"/>
    <w:rsid w:val="17EC7FC1"/>
    <w:rsid w:val="17F81734"/>
    <w:rsid w:val="180061CB"/>
    <w:rsid w:val="18154C5A"/>
    <w:rsid w:val="18EF3804"/>
    <w:rsid w:val="19001E74"/>
    <w:rsid w:val="195C3A7E"/>
    <w:rsid w:val="1A2375F0"/>
    <w:rsid w:val="1AC0275A"/>
    <w:rsid w:val="1AE500E3"/>
    <w:rsid w:val="1B1D1342"/>
    <w:rsid w:val="1B2A6629"/>
    <w:rsid w:val="1BBC2184"/>
    <w:rsid w:val="1C103D2D"/>
    <w:rsid w:val="1C1965EC"/>
    <w:rsid w:val="1C7701B9"/>
    <w:rsid w:val="1CEA3F89"/>
    <w:rsid w:val="1CF73295"/>
    <w:rsid w:val="1D451326"/>
    <w:rsid w:val="1D5F4748"/>
    <w:rsid w:val="1D99665F"/>
    <w:rsid w:val="1DA2662B"/>
    <w:rsid w:val="1DAE3F9A"/>
    <w:rsid w:val="1E621D9B"/>
    <w:rsid w:val="1E9448CB"/>
    <w:rsid w:val="1E945AB3"/>
    <w:rsid w:val="1EA3498E"/>
    <w:rsid w:val="1EFB5835"/>
    <w:rsid w:val="1F5052F4"/>
    <w:rsid w:val="1F8A1433"/>
    <w:rsid w:val="1FD94E57"/>
    <w:rsid w:val="205247F6"/>
    <w:rsid w:val="205508A0"/>
    <w:rsid w:val="206501BF"/>
    <w:rsid w:val="20C21B5F"/>
    <w:rsid w:val="20D8491F"/>
    <w:rsid w:val="21035D38"/>
    <w:rsid w:val="2163103A"/>
    <w:rsid w:val="217D79B3"/>
    <w:rsid w:val="219B3B12"/>
    <w:rsid w:val="219E2440"/>
    <w:rsid w:val="21F8300E"/>
    <w:rsid w:val="22D4227E"/>
    <w:rsid w:val="22FA27EC"/>
    <w:rsid w:val="230477A4"/>
    <w:rsid w:val="234550B7"/>
    <w:rsid w:val="2384696C"/>
    <w:rsid w:val="23B968AE"/>
    <w:rsid w:val="240772FF"/>
    <w:rsid w:val="24183DF0"/>
    <w:rsid w:val="247778DD"/>
    <w:rsid w:val="247A77A8"/>
    <w:rsid w:val="24D6630F"/>
    <w:rsid w:val="24F84929"/>
    <w:rsid w:val="252A0A7B"/>
    <w:rsid w:val="257B506C"/>
    <w:rsid w:val="259F7519"/>
    <w:rsid w:val="25AF42DB"/>
    <w:rsid w:val="25B348BA"/>
    <w:rsid w:val="25DE1005"/>
    <w:rsid w:val="25FD2566"/>
    <w:rsid w:val="26146B0C"/>
    <w:rsid w:val="26816946"/>
    <w:rsid w:val="26DB7398"/>
    <w:rsid w:val="27033FBD"/>
    <w:rsid w:val="2705728B"/>
    <w:rsid w:val="27417BF8"/>
    <w:rsid w:val="27693B45"/>
    <w:rsid w:val="283A129B"/>
    <w:rsid w:val="28FE78EF"/>
    <w:rsid w:val="29672817"/>
    <w:rsid w:val="29763DAA"/>
    <w:rsid w:val="29954B63"/>
    <w:rsid w:val="29A41943"/>
    <w:rsid w:val="29B831E7"/>
    <w:rsid w:val="29DF16A7"/>
    <w:rsid w:val="29F74F67"/>
    <w:rsid w:val="2A484907"/>
    <w:rsid w:val="2B755902"/>
    <w:rsid w:val="2BA81833"/>
    <w:rsid w:val="2BAC3F70"/>
    <w:rsid w:val="2BB02AB9"/>
    <w:rsid w:val="2C4E3F93"/>
    <w:rsid w:val="2C56166B"/>
    <w:rsid w:val="2C772798"/>
    <w:rsid w:val="2CE33635"/>
    <w:rsid w:val="2D391980"/>
    <w:rsid w:val="2D7C6F9A"/>
    <w:rsid w:val="2ED263DE"/>
    <w:rsid w:val="2F312BD6"/>
    <w:rsid w:val="2F4F315F"/>
    <w:rsid w:val="2F5260FE"/>
    <w:rsid w:val="2F78760A"/>
    <w:rsid w:val="30780EC9"/>
    <w:rsid w:val="309A0801"/>
    <w:rsid w:val="31651329"/>
    <w:rsid w:val="31C46552"/>
    <w:rsid w:val="31EC7268"/>
    <w:rsid w:val="32691E0F"/>
    <w:rsid w:val="33722AF4"/>
    <w:rsid w:val="339F6CDD"/>
    <w:rsid w:val="344952F9"/>
    <w:rsid w:val="34962644"/>
    <w:rsid w:val="34F20284"/>
    <w:rsid w:val="3619346A"/>
    <w:rsid w:val="366152C5"/>
    <w:rsid w:val="37DD34EA"/>
    <w:rsid w:val="3859649B"/>
    <w:rsid w:val="386D2696"/>
    <w:rsid w:val="38CA384A"/>
    <w:rsid w:val="39227B1B"/>
    <w:rsid w:val="39406911"/>
    <w:rsid w:val="39850296"/>
    <w:rsid w:val="39C26750"/>
    <w:rsid w:val="3A7F1D43"/>
    <w:rsid w:val="3A8D223E"/>
    <w:rsid w:val="3B291386"/>
    <w:rsid w:val="3B563038"/>
    <w:rsid w:val="3B7A306D"/>
    <w:rsid w:val="3B80307E"/>
    <w:rsid w:val="3B955435"/>
    <w:rsid w:val="3BCA7BD7"/>
    <w:rsid w:val="3C0E4317"/>
    <w:rsid w:val="3C6C37E2"/>
    <w:rsid w:val="3C7D1C3F"/>
    <w:rsid w:val="3CDF42B5"/>
    <w:rsid w:val="3CEA3E5A"/>
    <w:rsid w:val="3CFD6A0C"/>
    <w:rsid w:val="3DDA1E4D"/>
    <w:rsid w:val="400943B7"/>
    <w:rsid w:val="40143523"/>
    <w:rsid w:val="406B2735"/>
    <w:rsid w:val="4171469C"/>
    <w:rsid w:val="41857EAB"/>
    <w:rsid w:val="42C454C8"/>
    <w:rsid w:val="42EC4BA0"/>
    <w:rsid w:val="43482ADF"/>
    <w:rsid w:val="43497E11"/>
    <w:rsid w:val="438C52D1"/>
    <w:rsid w:val="43AF1DC7"/>
    <w:rsid w:val="442360D8"/>
    <w:rsid w:val="443F1158"/>
    <w:rsid w:val="450B3104"/>
    <w:rsid w:val="45374F70"/>
    <w:rsid w:val="45A32D85"/>
    <w:rsid w:val="45E922E2"/>
    <w:rsid w:val="46181B9F"/>
    <w:rsid w:val="46B73DB3"/>
    <w:rsid w:val="46B85A12"/>
    <w:rsid w:val="46C20ABF"/>
    <w:rsid w:val="471C5409"/>
    <w:rsid w:val="474038F5"/>
    <w:rsid w:val="475E76EE"/>
    <w:rsid w:val="47B54AE2"/>
    <w:rsid w:val="47C24104"/>
    <w:rsid w:val="484652C3"/>
    <w:rsid w:val="489E735B"/>
    <w:rsid w:val="48EF215B"/>
    <w:rsid w:val="49190F7D"/>
    <w:rsid w:val="49547ADE"/>
    <w:rsid w:val="499358EA"/>
    <w:rsid w:val="49A70025"/>
    <w:rsid w:val="4A9518DB"/>
    <w:rsid w:val="4AAE7501"/>
    <w:rsid w:val="4AB935E6"/>
    <w:rsid w:val="4B1F601E"/>
    <w:rsid w:val="4B65339C"/>
    <w:rsid w:val="4BE2220E"/>
    <w:rsid w:val="4C2D2789"/>
    <w:rsid w:val="4CBF2857"/>
    <w:rsid w:val="4CF82AE4"/>
    <w:rsid w:val="4D097364"/>
    <w:rsid w:val="4D154C85"/>
    <w:rsid w:val="4D667BB3"/>
    <w:rsid w:val="4D7808AB"/>
    <w:rsid w:val="4DC87963"/>
    <w:rsid w:val="4E0626FD"/>
    <w:rsid w:val="4EA45B39"/>
    <w:rsid w:val="4EED2017"/>
    <w:rsid w:val="4F2E2211"/>
    <w:rsid w:val="4F4E78CD"/>
    <w:rsid w:val="4FA62E1E"/>
    <w:rsid w:val="4FAC0AB2"/>
    <w:rsid w:val="4FC809F8"/>
    <w:rsid w:val="4FE85961"/>
    <w:rsid w:val="50072C4D"/>
    <w:rsid w:val="50341189"/>
    <w:rsid w:val="50837233"/>
    <w:rsid w:val="514C5668"/>
    <w:rsid w:val="51513799"/>
    <w:rsid w:val="518C29B6"/>
    <w:rsid w:val="52170DB7"/>
    <w:rsid w:val="52AA23A8"/>
    <w:rsid w:val="52B7187A"/>
    <w:rsid w:val="52BF3A93"/>
    <w:rsid w:val="53A5465B"/>
    <w:rsid w:val="53B6028C"/>
    <w:rsid w:val="54392B16"/>
    <w:rsid w:val="54442E65"/>
    <w:rsid w:val="545B2AA1"/>
    <w:rsid w:val="549B5701"/>
    <w:rsid w:val="54A9277D"/>
    <w:rsid w:val="55182E77"/>
    <w:rsid w:val="553F16B7"/>
    <w:rsid w:val="558856A9"/>
    <w:rsid w:val="55B843BA"/>
    <w:rsid w:val="55CA2A9E"/>
    <w:rsid w:val="55CA3B80"/>
    <w:rsid w:val="55E50F1B"/>
    <w:rsid w:val="565F6886"/>
    <w:rsid w:val="56BC237C"/>
    <w:rsid w:val="56CD4B4D"/>
    <w:rsid w:val="575C7815"/>
    <w:rsid w:val="5798381B"/>
    <w:rsid w:val="57D4447A"/>
    <w:rsid w:val="57F759F2"/>
    <w:rsid w:val="585447AE"/>
    <w:rsid w:val="58AF736D"/>
    <w:rsid w:val="58D704D4"/>
    <w:rsid w:val="58EC4DE1"/>
    <w:rsid w:val="58F34D54"/>
    <w:rsid w:val="596B72CE"/>
    <w:rsid w:val="59B3494A"/>
    <w:rsid w:val="59EB1B1F"/>
    <w:rsid w:val="59EC6E24"/>
    <w:rsid w:val="5A0B2520"/>
    <w:rsid w:val="5A186813"/>
    <w:rsid w:val="5A3B2376"/>
    <w:rsid w:val="5A40591F"/>
    <w:rsid w:val="5A6F0692"/>
    <w:rsid w:val="5ABF2E42"/>
    <w:rsid w:val="5ACA6C0C"/>
    <w:rsid w:val="5B586398"/>
    <w:rsid w:val="5B5E26D5"/>
    <w:rsid w:val="5B916903"/>
    <w:rsid w:val="5BEF472E"/>
    <w:rsid w:val="5C001E00"/>
    <w:rsid w:val="5C932202"/>
    <w:rsid w:val="5CC87E6F"/>
    <w:rsid w:val="5CD918EA"/>
    <w:rsid w:val="5D247D3D"/>
    <w:rsid w:val="5DAE1AC9"/>
    <w:rsid w:val="5E153AF5"/>
    <w:rsid w:val="5F0E1E7F"/>
    <w:rsid w:val="5F112305"/>
    <w:rsid w:val="5F2767B3"/>
    <w:rsid w:val="5FE31F70"/>
    <w:rsid w:val="60045498"/>
    <w:rsid w:val="614C1844"/>
    <w:rsid w:val="617A6C2D"/>
    <w:rsid w:val="61855523"/>
    <w:rsid w:val="618968F0"/>
    <w:rsid w:val="619E6355"/>
    <w:rsid w:val="61BD64DA"/>
    <w:rsid w:val="6215384D"/>
    <w:rsid w:val="627460EE"/>
    <w:rsid w:val="62AC06BC"/>
    <w:rsid w:val="633B4987"/>
    <w:rsid w:val="63525D55"/>
    <w:rsid w:val="63F321C7"/>
    <w:rsid w:val="64BD699D"/>
    <w:rsid w:val="64C20A08"/>
    <w:rsid w:val="64F06443"/>
    <w:rsid w:val="65737FB9"/>
    <w:rsid w:val="65DF5ECF"/>
    <w:rsid w:val="661D7FD4"/>
    <w:rsid w:val="665A45AE"/>
    <w:rsid w:val="66A662C4"/>
    <w:rsid w:val="66DE2D4E"/>
    <w:rsid w:val="67222B8A"/>
    <w:rsid w:val="679D182D"/>
    <w:rsid w:val="67BB6396"/>
    <w:rsid w:val="68794E30"/>
    <w:rsid w:val="687B5327"/>
    <w:rsid w:val="688621C1"/>
    <w:rsid w:val="68C15BDE"/>
    <w:rsid w:val="6AD23ACD"/>
    <w:rsid w:val="6AE706B2"/>
    <w:rsid w:val="6B103823"/>
    <w:rsid w:val="6B315A81"/>
    <w:rsid w:val="6B4E7636"/>
    <w:rsid w:val="6C3F4637"/>
    <w:rsid w:val="6C9D07C7"/>
    <w:rsid w:val="6CB426A8"/>
    <w:rsid w:val="6D3835CD"/>
    <w:rsid w:val="6D9B59D3"/>
    <w:rsid w:val="6DDF18A8"/>
    <w:rsid w:val="6E7742D5"/>
    <w:rsid w:val="6E947A29"/>
    <w:rsid w:val="6EFB1E55"/>
    <w:rsid w:val="701E0D35"/>
    <w:rsid w:val="708C2BAE"/>
    <w:rsid w:val="717A54B6"/>
    <w:rsid w:val="71E47115"/>
    <w:rsid w:val="72124418"/>
    <w:rsid w:val="72394C9A"/>
    <w:rsid w:val="72BF52A3"/>
    <w:rsid w:val="73520170"/>
    <w:rsid w:val="73B32D5B"/>
    <w:rsid w:val="74906E74"/>
    <w:rsid w:val="74D2633E"/>
    <w:rsid w:val="75061B64"/>
    <w:rsid w:val="75127B2A"/>
    <w:rsid w:val="756B70AB"/>
    <w:rsid w:val="758069CB"/>
    <w:rsid w:val="762D45E7"/>
    <w:rsid w:val="76432C97"/>
    <w:rsid w:val="76472E5B"/>
    <w:rsid w:val="76622032"/>
    <w:rsid w:val="76DA2B8D"/>
    <w:rsid w:val="773F1B2E"/>
    <w:rsid w:val="776141C0"/>
    <w:rsid w:val="77E71EE7"/>
    <w:rsid w:val="78403651"/>
    <w:rsid w:val="784051C1"/>
    <w:rsid w:val="789E16E5"/>
    <w:rsid w:val="78DB40C6"/>
    <w:rsid w:val="7954401D"/>
    <w:rsid w:val="79547EF1"/>
    <w:rsid w:val="79A24C96"/>
    <w:rsid w:val="7AC02D1F"/>
    <w:rsid w:val="7AE80A7B"/>
    <w:rsid w:val="7AE861A8"/>
    <w:rsid w:val="7B452E9A"/>
    <w:rsid w:val="7B5C7060"/>
    <w:rsid w:val="7B5E14E4"/>
    <w:rsid w:val="7B741965"/>
    <w:rsid w:val="7BBF78B4"/>
    <w:rsid w:val="7BFE30BC"/>
    <w:rsid w:val="7C0A7BF1"/>
    <w:rsid w:val="7CD24C07"/>
    <w:rsid w:val="7CDD0037"/>
    <w:rsid w:val="7D2C5AF6"/>
    <w:rsid w:val="7D8F4D87"/>
    <w:rsid w:val="7DBB66FE"/>
    <w:rsid w:val="7DBE27C1"/>
    <w:rsid w:val="7DCA5F0F"/>
    <w:rsid w:val="7E1F736F"/>
    <w:rsid w:val="7E300305"/>
    <w:rsid w:val="7E7D74C3"/>
    <w:rsid w:val="7EB52BD6"/>
    <w:rsid w:val="7F346A78"/>
    <w:rsid w:val="7FA57776"/>
    <w:rsid w:val="7FC250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styleId="3">
    <w:name w:val="Document Map"/>
    <w:basedOn w:val="1"/>
    <w:semiHidden/>
    <w:qFormat/>
    <w:uiPriority w:val="0"/>
    <w:pPr>
      <w:shd w:val="clear" w:color="auto" w:fill="00008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bCs/>
    </w:rPr>
  </w:style>
  <w:style w:type="paragraph" w:customStyle="1" w:styleId="10">
    <w:name w:val="Char"/>
    <w:basedOn w:val="1"/>
    <w:qFormat/>
    <w:uiPriority w:val="0"/>
    <w:rPr>
      <w:rFonts w:ascii="宋体" w:hAnsi="宋体" w:cs="Courier New"/>
      <w:sz w:val="32"/>
      <w:szCs w:val="32"/>
    </w:rPr>
  </w:style>
  <w:style w:type="character" w:customStyle="1" w:styleId="11">
    <w:name w:val="页眉 Char"/>
    <w:link w:val="5"/>
    <w:qFormat/>
    <w:uiPriority w:val="0"/>
    <w:rPr>
      <w:kern w:val="2"/>
      <w:sz w:val="18"/>
      <w:szCs w:val="18"/>
    </w:rPr>
  </w:style>
  <w:style w:type="character" w:customStyle="1" w:styleId="12">
    <w:name w:val="页脚 Char"/>
    <w:link w:val="4"/>
    <w:qFormat/>
    <w:uiPriority w:val="0"/>
    <w:rPr>
      <w:kern w:val="2"/>
      <w:sz w:val="18"/>
      <w:szCs w:val="18"/>
    </w:rPr>
  </w:style>
  <w:style w:type="paragraph" w:customStyle="1" w:styleId="13">
    <w:name w:val="[Normal]"/>
    <w:qFormat/>
    <w:uiPriority w:val="0"/>
    <w:rPr>
      <w:rFonts w:ascii="宋体" w:hAnsi="宋体" w:eastAsia="宋体" w:cs="Times New Roman"/>
      <w:sz w:val="24"/>
      <w:lang w:val="zh-CN" w:eastAsia="zh-CN" w:bidi="ar-SA"/>
    </w:rPr>
  </w:style>
  <w:style w:type="paragraph" w:customStyle="1" w:styleId="14">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xc</Company>
  <Pages>19</Pages>
  <Words>9562</Words>
  <Characters>10324</Characters>
  <Lines>145</Lines>
  <Paragraphs>54</Paragraphs>
  <TotalTime>156</TotalTime>
  <ScaleCrop>false</ScaleCrop>
  <LinksUpToDate>false</LinksUpToDate>
  <CharactersWithSpaces>10355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2020-01-06T08:45:00Z</dcterms:created>
  <dc:creator>dsx</dc:creator>
  <cp:lastModifiedBy>组织部文书</cp:lastModifiedBy>
  <dcterms:modified xsi:type="dcterms:W3CDTF">2026-02-24T08:56:34Z</dcterms:modified>
  <dc:title>关于2019年部门预算的批复</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EDOID">
    <vt:r8>5838458</vt:r8>
  </property>
  <property fmtid="{D5CDD505-2E9C-101B-9397-08002B2CF9AE}" pid="4" name="ICV">
    <vt:lpwstr>B2DAE48389DD45F99BAEB5BBC73C0C50</vt:lpwstr>
  </property>
  <property fmtid="{D5CDD505-2E9C-101B-9397-08002B2CF9AE}" pid="5" name="KSOTemplateDocerSaveRecord">
    <vt:lpwstr>eyJoZGlkIjoiMDkyMzBhOWU1ZmQyNTE3YzlkZWViNjFmMzM0OWUyNGQifQ==</vt:lpwstr>
  </property>
</Properties>
</file>