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pacing w:before="0" w:beforeAutospacing="0" w:after="0" w:afterAutospacing="0" w:line="578" w:lineRule="exact"/>
        <w:jc w:val="center"/>
        <w:rPr>
          <w:rFonts w:hint="eastAsia" w:ascii="Times New Roman" w:hAnsi="Times New Roman" w:eastAsia="方正小标宋简体" w:cs="Times New Roman"/>
          <w:sz w:val="44"/>
          <w:szCs w:val="44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shd w:val="clear" w:color="auto" w:fill="FFFFFF"/>
        </w:rPr>
        <w:t>202</w:t>
      </w:r>
      <w:r>
        <w:rPr>
          <w:rFonts w:hint="eastAsia" w:ascii="Times New Roman" w:hAnsi="Times New Roman" w:eastAsia="方正小标宋简体" w:cs="Times New Roman"/>
          <w:sz w:val="44"/>
          <w:szCs w:val="44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44"/>
          <w:szCs w:val="44"/>
          <w:shd w:val="clear" w:color="auto" w:fill="FFFFFF"/>
        </w:rPr>
        <w:t>年度</w:t>
      </w:r>
      <w:r>
        <w:rPr>
          <w:rFonts w:hint="eastAsia" w:ascii="Times New Roman" w:hAnsi="Times New Roman" w:eastAsia="方正小标宋简体" w:cs="Times New Roman"/>
          <w:sz w:val="44"/>
          <w:szCs w:val="44"/>
          <w:shd w:val="clear" w:color="auto" w:fill="FFFFFF"/>
          <w:lang w:val="en-US" w:eastAsia="zh-CN"/>
        </w:rPr>
        <w:t>泸县党校</w:t>
      </w:r>
    </w:p>
    <w:p>
      <w:pPr>
        <w:pStyle w:val="4"/>
        <w:widowControl/>
        <w:spacing w:before="0" w:beforeAutospacing="0" w:after="0" w:afterAutospacing="0" w:line="578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  <w:shd w:val="clear" w:color="auto" w:fill="FFFFFF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shd w:val="clear" w:color="auto" w:fill="FFFFFF"/>
        </w:rPr>
        <w:t>整体绩效目标申报表</w:t>
      </w:r>
    </w:p>
    <w:tbl>
      <w:tblPr>
        <w:tblStyle w:val="5"/>
        <w:tblW w:w="4991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502"/>
        <w:gridCol w:w="944"/>
        <w:gridCol w:w="1208"/>
        <w:gridCol w:w="2031"/>
        <w:gridCol w:w="1125"/>
        <w:gridCol w:w="918"/>
        <w:gridCol w:w="856"/>
        <w:gridCol w:w="854"/>
        <w:gridCol w:w="123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7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部门名称</w:t>
            </w:r>
          </w:p>
        </w:tc>
        <w:tc>
          <w:tcPr>
            <w:tcW w:w="3627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泸县党校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7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年度部门整体预算</w:t>
            </w:r>
          </w:p>
        </w:tc>
        <w:tc>
          <w:tcPr>
            <w:tcW w:w="16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资金总额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9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财政拨款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108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其他资金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7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收入预算</w:t>
            </w:r>
          </w:p>
        </w:tc>
        <w:tc>
          <w:tcPr>
            <w:tcW w:w="16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445.46</w:t>
            </w:r>
          </w:p>
        </w:tc>
        <w:tc>
          <w:tcPr>
            <w:tcW w:w="9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445.46</w:t>
            </w:r>
          </w:p>
        </w:tc>
        <w:tc>
          <w:tcPr>
            <w:tcW w:w="108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7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支出预算</w:t>
            </w:r>
          </w:p>
        </w:tc>
        <w:tc>
          <w:tcPr>
            <w:tcW w:w="31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445.46</w:t>
            </w:r>
          </w:p>
        </w:tc>
        <w:tc>
          <w:tcPr>
            <w:tcW w:w="17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445.46</w:t>
            </w:r>
          </w:p>
        </w:tc>
        <w:tc>
          <w:tcPr>
            <w:tcW w:w="20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37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3627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深入学习贯彻习近平总书记重要指示精神，深刻领会把握习近平总书记关于党校工作的重要论述，坚持高质量育才、高水平献策。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、抓实基本培训。突出党的理论教育、党性教育和履职能力培训，充分发挥干部和党员教育培训主渠道作用。组织全县各级领导干部、中青年后备干部和基层党员等参加培训，提高干部队伍思想素质、实践锻炼、业务能力，锻造适应新时代发展的高素质干部队伍。</w:t>
            </w:r>
            <w:bookmarkStart w:id="0" w:name="_GoBack"/>
            <w:bookmarkEnd w:id="0"/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全年举办主体班不少于11期。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二、 深化重大理论问题研究。围绕党的中心任务和县委、县政府的部署，结合中央、省委、市委、县委重要会议及重要文件精神，及时开展相关理论研究，努力当好党的思想理论建设的生力军。每年获得县委县政府领导肯定性批示的咨政报告不少于3篇，在公开刊物或内部刊物上发表理论文章不少于9篇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、开展基层理论宣讲。组织骨干教师围绕习近平新时代中国特色社会主义思想、党的二十届四中全会精神、全民国防教育等主题，深入机关、镇村开展宣讲，推动党的创新理论飞入寻常百姓家。全年开展理论宣讲不少于10场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26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管理效率</w:t>
            </w:r>
          </w:p>
        </w:tc>
        <w:tc>
          <w:tcPr>
            <w:tcW w:w="488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624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049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581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指标值</w:t>
            </w:r>
          </w:p>
        </w:tc>
        <w:tc>
          <w:tcPr>
            <w:tcW w:w="199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指标设置参考值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2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8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4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49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1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三年均值</w:t>
            </w:r>
          </w:p>
        </w:tc>
        <w:tc>
          <w:tcPr>
            <w:tcW w:w="44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2023年</w:t>
            </w:r>
          </w:p>
        </w:tc>
        <w:tc>
          <w:tcPr>
            <w:tcW w:w="441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2024年</w:t>
            </w:r>
          </w:p>
        </w:tc>
        <w:tc>
          <w:tcPr>
            <w:tcW w:w="63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2" w:hRule="atLeast"/>
        </w:trPr>
        <w:tc>
          <w:tcPr>
            <w:tcW w:w="2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8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4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49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1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2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1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2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62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预算管理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财政拨款预算编制偏离度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≤3%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3%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2%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4%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2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预算年终结余率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≤0%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0%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0%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0%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2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一般性支出金额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≤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2.49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万元</w:t>
            </w:r>
          </w:p>
        </w:tc>
        <w:tc>
          <w:tcPr>
            <w:tcW w:w="199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2.49万元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为上年一般性支出金额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2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财务管理规范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</w:t>
            </w:r>
          </w:p>
        </w:tc>
        <w:tc>
          <w:tcPr>
            <w:tcW w:w="199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优：严格遵守国家和企业的各项财务管理制度，无任何违规行为。财务预算编制准确，执行偏差率在 5% 以内。对财务风险有极强的预判能力，能提前采取有效措施进行防范，全年未发生任何财务风险事件。财务报表及时、准确、完整，数据真实可靠，无任何错误或遗漏。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良：较好地遵守国家和企业的财务管理制度，偶尔有轻微违规行为但能及时纠正。财务预算编制较为准确，执行偏差率在 10% 以内。对财务风险有一定的预判能力，能采取相应措施进行防范，全年仅发生少量轻微财务风险事件且能迅速解决。财务报表较为及时、准确、完整，数据真实可靠，偶尔有小的错误但能及时更正。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中：基本遵守国家和企业的财务管理制度，存在一些违规行为但未造成严重后果。财务预算编制基本准确，执行偏差率在 15% 以内。对财务风险有一定的认识，但预判能力不足，发生财务风险事件后能在一定时间内解决。财务报表基本及时、准确、完整，数据真实可靠，存在一些错误需要经过审核才能发现并更正。对财务流程优化有一定的认识，但提出的建议可行性一般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差：经常违反国家和企业的财务管理制度，造成一定不良后果。财务预算编制不准确，执行偏差率超过 15%。对财务风险认识不足，发生财务风险事件后不能及时解决，造成较大损失。财务报表不及时、不准确、不完整，数据存在较多错误且难以发现和更正。对财务流程优化缺乏认识，不能提出任何有价值的建议。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2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采购管理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采购执行率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≥96%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96%</w:t>
            </w:r>
          </w:p>
        </w:tc>
        <w:tc>
          <w:tcPr>
            <w:tcW w:w="4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96%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96%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26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履职效能</w:t>
            </w:r>
          </w:p>
        </w:tc>
        <w:tc>
          <w:tcPr>
            <w:tcW w:w="4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257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指标值（包含数字及文字描述）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2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完成培训、文章发表等数量</w:t>
            </w:r>
          </w:p>
        </w:tc>
        <w:tc>
          <w:tcPr>
            <w:tcW w:w="257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举办培训班11期，文章发表10篇。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2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培训学员满意度</w:t>
            </w:r>
          </w:p>
        </w:tc>
        <w:tc>
          <w:tcPr>
            <w:tcW w:w="257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≥90%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2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运转时间</w:t>
            </w:r>
          </w:p>
        </w:tc>
        <w:tc>
          <w:tcPr>
            <w:tcW w:w="257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=1年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2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科研成果转换率</w:t>
            </w:r>
          </w:p>
        </w:tc>
        <w:tc>
          <w:tcPr>
            <w:tcW w:w="257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≥90%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2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持续开展干部教育培训及基层宣讲时间</w:t>
            </w:r>
          </w:p>
        </w:tc>
        <w:tc>
          <w:tcPr>
            <w:tcW w:w="257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≥1年</w:t>
            </w:r>
          </w:p>
        </w:tc>
      </w:tr>
    </w:tbl>
    <w:p/>
    <w:sectPr>
      <w:pgSz w:w="11906" w:h="16838"/>
      <w:pgMar w:top="1587" w:right="1134" w:bottom="158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GWZT-EN">
    <w:panose1 w:val="020204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EB68A7"/>
    <w:rsid w:val="02742095"/>
    <w:rsid w:val="02A318E0"/>
    <w:rsid w:val="052971A9"/>
    <w:rsid w:val="056A57F8"/>
    <w:rsid w:val="05C1727E"/>
    <w:rsid w:val="06071F71"/>
    <w:rsid w:val="071546AD"/>
    <w:rsid w:val="07747F4A"/>
    <w:rsid w:val="09727371"/>
    <w:rsid w:val="0AE4604C"/>
    <w:rsid w:val="0BFB3BB6"/>
    <w:rsid w:val="12745A53"/>
    <w:rsid w:val="129B1196"/>
    <w:rsid w:val="1322106F"/>
    <w:rsid w:val="13D7311C"/>
    <w:rsid w:val="145A112D"/>
    <w:rsid w:val="14ED2C64"/>
    <w:rsid w:val="151C5693"/>
    <w:rsid w:val="16766EE8"/>
    <w:rsid w:val="167E7B78"/>
    <w:rsid w:val="1AD2428E"/>
    <w:rsid w:val="1D6951CC"/>
    <w:rsid w:val="228D1FBC"/>
    <w:rsid w:val="27A6429D"/>
    <w:rsid w:val="2A1C2CB5"/>
    <w:rsid w:val="2AA34B7F"/>
    <w:rsid w:val="2D223C99"/>
    <w:rsid w:val="2EE4717D"/>
    <w:rsid w:val="2FF124EE"/>
    <w:rsid w:val="32EB1216"/>
    <w:rsid w:val="34463A51"/>
    <w:rsid w:val="37296A11"/>
    <w:rsid w:val="375A4E1C"/>
    <w:rsid w:val="391A2AB5"/>
    <w:rsid w:val="39440601"/>
    <w:rsid w:val="3BF5376E"/>
    <w:rsid w:val="3F9F4656"/>
    <w:rsid w:val="3FA532F5"/>
    <w:rsid w:val="40D91972"/>
    <w:rsid w:val="448C1D82"/>
    <w:rsid w:val="46D73EC6"/>
    <w:rsid w:val="479B1265"/>
    <w:rsid w:val="47AD0F98"/>
    <w:rsid w:val="494707C7"/>
    <w:rsid w:val="4A3C1FD9"/>
    <w:rsid w:val="4B1132B6"/>
    <w:rsid w:val="4DB45A88"/>
    <w:rsid w:val="4DD3633D"/>
    <w:rsid w:val="4F195165"/>
    <w:rsid w:val="4F8E4414"/>
    <w:rsid w:val="509C604E"/>
    <w:rsid w:val="544E36DD"/>
    <w:rsid w:val="554C1DF1"/>
    <w:rsid w:val="56611E44"/>
    <w:rsid w:val="56811F6E"/>
    <w:rsid w:val="577C3895"/>
    <w:rsid w:val="58AD0DF8"/>
    <w:rsid w:val="5B8A0B3C"/>
    <w:rsid w:val="5CC20BEA"/>
    <w:rsid w:val="5D923490"/>
    <w:rsid w:val="5DEB68A7"/>
    <w:rsid w:val="6264757B"/>
    <w:rsid w:val="63883E5B"/>
    <w:rsid w:val="669B59E7"/>
    <w:rsid w:val="66A739F8"/>
    <w:rsid w:val="683A1C10"/>
    <w:rsid w:val="6C2E1DF8"/>
    <w:rsid w:val="6D740BA3"/>
    <w:rsid w:val="6E091096"/>
    <w:rsid w:val="7205731D"/>
    <w:rsid w:val="72B172DF"/>
    <w:rsid w:val="77E635C6"/>
    <w:rsid w:val="78994A9D"/>
    <w:rsid w:val="7A9C1535"/>
    <w:rsid w:val="7BC635A1"/>
    <w:rsid w:val="7C012101"/>
    <w:rsid w:val="7FC9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7">
    <w:name w:val="font41"/>
    <w:basedOn w:val="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8">
    <w:name w:val="font21"/>
    <w:basedOn w:val="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9">
    <w:name w:val="font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91"/>
    <w:basedOn w:val="6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  <w:style w:type="character" w:customStyle="1" w:styleId="11">
    <w:name w:val="font81"/>
    <w:basedOn w:val="6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2">
    <w:name w:val="font101"/>
    <w:basedOn w:val="6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  <w:style w:type="character" w:customStyle="1" w:styleId="13">
    <w:name w:val="font111"/>
    <w:basedOn w:val="6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4">
    <w:name w:val="font51"/>
    <w:basedOn w:val="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5">
    <w:name w:val="font61"/>
    <w:basedOn w:val="6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6">
    <w:name w:val="font71"/>
    <w:basedOn w:val="6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7">
    <w:name w:val="font3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font13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Office_12.8.2.16969_F1E327BC-269C-435d-A152-05C5408002CA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2026-03-08T10:18:00Z</dcterms:created>
  <dc:creator>¿</dc:creator>
  <cp:lastModifiedBy>kylin</cp:lastModifiedBy>
  <dcterms:modified xsi:type="dcterms:W3CDTF">2026-03-11T11:21:53Z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2052-12.8.2.16969</vt:lpwstr>
  </property>
  <property fmtid="{D5CDD505-2E9C-101B-9397-08002B2CF9AE}" pid="3" name="ICV">
    <vt:lpwstr>D8B21162BAE14451AC02D818DDBC6C44_13</vt:lpwstr>
  </property>
  <property fmtid="{D5CDD505-2E9C-101B-9397-08002B2CF9AE}" pid="4" name="KSOTemplateDocerSaveRecord">
    <vt:lpwstr>eyJoZGlkIjoiMDkyZjM4MDJmNTUxMzYyOTk2MmUxMmEyMzMyYTk2N2MiLCJ1c2VySWQiOiIxMjk3MTA3NDY3In0=</vt:lpwstr>
  </property>
</Properties>
</file>