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20AF51">
      <w:pPr>
        <w:jc w:val="center"/>
        <w:rPr>
          <w:rFonts w:ascii="方正小标宋简体" w:eastAsia="方正小标宋简体"/>
          <w:b/>
          <w:sz w:val="44"/>
          <w:szCs w:val="44"/>
        </w:rPr>
      </w:pPr>
    </w:p>
    <w:p w14:paraId="6D6B8D48">
      <w:pPr>
        <w:jc w:val="center"/>
        <w:rPr>
          <w:rFonts w:ascii="方正小标宋简体" w:eastAsia="方正小标宋简体"/>
          <w:b/>
          <w:sz w:val="44"/>
          <w:szCs w:val="44"/>
        </w:rPr>
      </w:pPr>
    </w:p>
    <w:p w14:paraId="46E1EC43">
      <w:pPr>
        <w:jc w:val="center"/>
        <w:rPr>
          <w:rFonts w:ascii="方正小标宋简体" w:eastAsia="方正小标宋简体"/>
          <w:b/>
          <w:sz w:val="44"/>
          <w:szCs w:val="44"/>
        </w:rPr>
      </w:pPr>
    </w:p>
    <w:p w14:paraId="42E84588">
      <w:pPr>
        <w:jc w:val="center"/>
        <w:rPr>
          <w:rFonts w:ascii="方正小标宋简体" w:eastAsia="方正小标宋简体"/>
          <w:b/>
          <w:sz w:val="44"/>
          <w:szCs w:val="44"/>
        </w:rPr>
      </w:pPr>
    </w:p>
    <w:p w14:paraId="3AE143C3">
      <w:pPr>
        <w:jc w:val="center"/>
        <w:rPr>
          <w:rFonts w:ascii="方正小标宋简体" w:eastAsia="方正小标宋简体"/>
          <w:b/>
          <w:sz w:val="44"/>
          <w:szCs w:val="44"/>
        </w:rPr>
      </w:pPr>
    </w:p>
    <w:p w14:paraId="1C27C24F">
      <w:pPr>
        <w:jc w:val="center"/>
        <w:rPr>
          <w:rFonts w:hint="eastAsia" w:ascii="方正小标宋简体" w:eastAsia="方正小标宋简体"/>
          <w:b/>
          <w:sz w:val="52"/>
          <w:szCs w:val="52"/>
          <w:lang w:eastAsia="zh-CN"/>
        </w:rPr>
      </w:pPr>
      <w:r>
        <w:rPr>
          <w:rFonts w:hint="eastAsia" w:ascii="方正小标宋简体" w:eastAsia="方正小标宋简体"/>
          <w:b/>
          <w:sz w:val="52"/>
          <w:szCs w:val="52"/>
          <w:lang w:eastAsia="zh-CN"/>
        </w:rPr>
        <w:t>中共理塘县委党校</w:t>
      </w:r>
    </w:p>
    <w:p w14:paraId="0577B356">
      <w:pPr>
        <w:jc w:val="center"/>
        <w:rPr>
          <w:rFonts w:ascii="方正小标宋简体" w:eastAsia="方正小标宋简体"/>
          <w:b/>
          <w:sz w:val="52"/>
          <w:szCs w:val="52"/>
        </w:rPr>
      </w:pPr>
      <w:r>
        <w:rPr>
          <w:rFonts w:hint="eastAsia" w:ascii="方正小标宋简体" w:eastAsia="方正小标宋简体"/>
          <w:b/>
          <w:sz w:val="52"/>
          <w:szCs w:val="52"/>
        </w:rPr>
        <w:t>20</w:t>
      </w:r>
      <w:r>
        <w:rPr>
          <w:rFonts w:hint="eastAsia" w:ascii="方正小标宋简体" w:eastAsia="方正小标宋简体"/>
          <w:b/>
          <w:sz w:val="52"/>
          <w:szCs w:val="52"/>
          <w:lang w:val="en-US" w:eastAsia="zh-CN"/>
        </w:rPr>
        <w:t>26</w:t>
      </w:r>
      <w:r>
        <w:rPr>
          <w:rFonts w:hint="eastAsia" w:ascii="方正小标宋简体" w:eastAsia="方正小标宋简体"/>
          <w:b/>
          <w:sz w:val="52"/>
          <w:szCs w:val="52"/>
        </w:rPr>
        <w:t>年部门预算</w:t>
      </w:r>
    </w:p>
    <w:p w14:paraId="7ED2BCEF">
      <w:pPr>
        <w:jc w:val="center"/>
        <w:rPr>
          <w:rFonts w:ascii="方正小标宋简体" w:eastAsia="方正小标宋简体"/>
          <w:b/>
          <w:sz w:val="44"/>
          <w:szCs w:val="44"/>
        </w:rPr>
      </w:pPr>
    </w:p>
    <w:p w14:paraId="7DD8EBF2">
      <w:pPr>
        <w:jc w:val="center"/>
        <w:rPr>
          <w:rFonts w:ascii="方正小标宋简体" w:eastAsia="方正小标宋简体"/>
          <w:b/>
          <w:sz w:val="44"/>
          <w:szCs w:val="44"/>
        </w:rPr>
      </w:pPr>
    </w:p>
    <w:p w14:paraId="5DF13A81">
      <w:pPr>
        <w:jc w:val="center"/>
        <w:rPr>
          <w:rFonts w:ascii="方正小标宋简体" w:eastAsia="方正小标宋简体"/>
          <w:b/>
          <w:sz w:val="44"/>
          <w:szCs w:val="44"/>
        </w:rPr>
      </w:pPr>
    </w:p>
    <w:p w14:paraId="26A836DF">
      <w:pPr>
        <w:jc w:val="center"/>
        <w:rPr>
          <w:rFonts w:ascii="方正小标宋简体" w:eastAsia="方正小标宋简体"/>
          <w:b/>
          <w:sz w:val="44"/>
          <w:szCs w:val="44"/>
        </w:rPr>
      </w:pPr>
    </w:p>
    <w:p w14:paraId="4BEAF7E4">
      <w:pPr>
        <w:jc w:val="center"/>
        <w:rPr>
          <w:rFonts w:ascii="方正小标宋简体" w:eastAsia="方正小标宋简体"/>
          <w:b/>
          <w:sz w:val="44"/>
          <w:szCs w:val="44"/>
        </w:rPr>
      </w:pPr>
    </w:p>
    <w:p w14:paraId="394A7570">
      <w:pPr>
        <w:jc w:val="center"/>
        <w:rPr>
          <w:rFonts w:ascii="方正小标宋简体" w:eastAsia="方正小标宋简体"/>
          <w:b/>
          <w:sz w:val="44"/>
          <w:szCs w:val="44"/>
        </w:rPr>
      </w:pPr>
    </w:p>
    <w:p w14:paraId="222DF293">
      <w:pPr>
        <w:jc w:val="center"/>
        <w:rPr>
          <w:rFonts w:ascii="方正小标宋简体" w:eastAsia="方正小标宋简体"/>
          <w:b/>
          <w:sz w:val="44"/>
          <w:szCs w:val="44"/>
        </w:rPr>
      </w:pPr>
    </w:p>
    <w:p w14:paraId="412B7C57">
      <w:pPr>
        <w:jc w:val="center"/>
        <w:rPr>
          <w:rFonts w:ascii="方正小标宋简体" w:eastAsia="方正小标宋简体"/>
          <w:b/>
          <w:sz w:val="44"/>
          <w:szCs w:val="44"/>
        </w:rPr>
      </w:pPr>
    </w:p>
    <w:p w14:paraId="504E8352">
      <w:pPr>
        <w:jc w:val="center"/>
        <w:rPr>
          <w:rFonts w:ascii="方正小标宋简体" w:eastAsia="方正小标宋简体"/>
          <w:b/>
          <w:sz w:val="32"/>
          <w:szCs w:val="32"/>
        </w:rPr>
      </w:pPr>
      <w:r>
        <w:rPr>
          <w:rFonts w:hint="eastAsia" w:ascii="方正小标宋简体" w:eastAsia="方正小标宋简体"/>
          <w:b/>
          <w:sz w:val="32"/>
          <w:szCs w:val="32"/>
        </w:rPr>
        <w:t>目录</w:t>
      </w:r>
    </w:p>
    <w:p w14:paraId="7985A9A1">
      <w:pPr>
        <w:jc w:val="left"/>
        <w:rPr>
          <w:rFonts w:hint="eastAsia" w:ascii="方正小标宋简体" w:eastAsia="方正小标宋简体"/>
          <w:b/>
          <w:sz w:val="32"/>
          <w:szCs w:val="32"/>
        </w:rPr>
      </w:pPr>
      <w:r>
        <w:rPr>
          <w:rFonts w:hint="eastAsia" w:ascii="方正小标宋简体" w:eastAsia="方正小标宋简体"/>
          <w:b/>
          <w:sz w:val="32"/>
          <w:szCs w:val="32"/>
        </w:rPr>
        <w:t xml:space="preserve">第一部分   </w:t>
      </w:r>
      <w:r>
        <w:rPr>
          <w:rFonts w:hint="eastAsia" w:ascii="方正小标宋简体" w:eastAsia="方正小标宋简体"/>
          <w:b/>
          <w:sz w:val="32"/>
          <w:szCs w:val="32"/>
          <w:lang w:eastAsia="zh-CN"/>
        </w:rPr>
        <w:t>中共理塘县委党校</w:t>
      </w:r>
      <w:r>
        <w:rPr>
          <w:rFonts w:hint="eastAsia" w:ascii="方正小标宋简体" w:eastAsia="方正小标宋简体"/>
          <w:b/>
          <w:sz w:val="32"/>
          <w:szCs w:val="32"/>
        </w:rPr>
        <w:t>部门概况</w:t>
      </w:r>
    </w:p>
    <w:p w14:paraId="6462F21E">
      <w:pPr>
        <w:jc w:val="left"/>
        <w:rPr>
          <w:rFonts w:ascii="仿宋_GB2312" w:eastAsia="仿宋_GB2312" w:hAnsiTheme="minorEastAsia"/>
          <w:sz w:val="32"/>
          <w:szCs w:val="32"/>
        </w:rPr>
      </w:pPr>
      <w:r>
        <w:rPr>
          <w:rFonts w:hint="eastAsia" w:ascii="仿宋_GB2312" w:eastAsia="仿宋_GB2312" w:hAnsiTheme="minorEastAsia"/>
          <w:sz w:val="32"/>
          <w:szCs w:val="32"/>
        </w:rPr>
        <w:t>一、职能介绍及主要工作</w:t>
      </w:r>
    </w:p>
    <w:p w14:paraId="0F29C947">
      <w:pPr>
        <w:jc w:val="left"/>
        <w:rPr>
          <w:rFonts w:ascii="方正小标宋简体" w:eastAsia="方正小标宋简体" w:hAnsiTheme="minorEastAsia"/>
          <w:sz w:val="32"/>
          <w:szCs w:val="32"/>
        </w:rPr>
      </w:pPr>
      <w:r>
        <w:rPr>
          <w:rFonts w:hint="eastAsia" w:ascii="仿宋_GB2312" w:eastAsia="仿宋_GB2312" w:hAnsiTheme="minorEastAsia"/>
          <w:sz w:val="32"/>
          <w:szCs w:val="32"/>
        </w:rPr>
        <w:t>二、部门预算单位构成</w:t>
      </w:r>
    </w:p>
    <w:p w14:paraId="71A8447A">
      <w:pPr>
        <w:pStyle w:val="2"/>
        <w:jc w:val="left"/>
      </w:pPr>
      <w:r>
        <w:rPr>
          <w:rFonts w:hint="eastAsia" w:ascii="方正小标宋简体" w:hAnsi="Times New Roman" w:eastAsia="方正小标宋简体" w:cs="Times New Roman"/>
          <w:b/>
          <w:bCs w:val="0"/>
          <w:kern w:val="2"/>
          <w:sz w:val="32"/>
          <w:szCs w:val="32"/>
          <w:lang w:val="en-US" w:eastAsia="zh-CN" w:bidi="ar-SA"/>
        </w:rPr>
        <w:t>第二部分  中共理塘县委党校2026年部门预算</w:t>
      </w:r>
      <w:r>
        <w:rPr>
          <w:rFonts w:hint="eastAsia" w:ascii="方正小标宋简体" w:hAnsi="Times New Roman" w:eastAsia="方正小标宋简体" w:cs="Times New Roman"/>
          <w:b/>
          <w:bCs w:val="0"/>
          <w:kern w:val="2"/>
          <w:sz w:val="32"/>
          <w:szCs w:val="32"/>
          <w:lang w:val="en-US" w:eastAsia="zh-CN" w:bidi="ar-SA"/>
        </w:rPr>
        <w:t>表</w:t>
      </w:r>
    </w:p>
    <w:p w14:paraId="1F5905A3">
      <w:pPr>
        <w:jc w:val="left"/>
        <w:rPr>
          <w:rFonts w:ascii="仿宋_GB2312" w:eastAsia="仿宋_GB2312" w:hAnsiTheme="minorEastAsia"/>
          <w:sz w:val="32"/>
          <w:szCs w:val="32"/>
        </w:rPr>
      </w:pPr>
      <w:r>
        <w:rPr>
          <w:rFonts w:hint="eastAsia" w:ascii="仿宋_GB2312" w:eastAsia="仿宋_GB2312" w:hAnsiTheme="minorEastAsia"/>
          <w:sz w:val="32"/>
          <w:szCs w:val="32"/>
        </w:rPr>
        <w:t>一、部门收支总表</w:t>
      </w:r>
    </w:p>
    <w:p w14:paraId="5F33EE4E">
      <w:pPr>
        <w:jc w:val="left"/>
        <w:rPr>
          <w:rFonts w:ascii="仿宋_GB2312" w:eastAsia="仿宋_GB2312" w:hAnsiTheme="minorEastAsia"/>
          <w:sz w:val="32"/>
          <w:szCs w:val="32"/>
        </w:rPr>
      </w:pPr>
      <w:r>
        <w:rPr>
          <w:rFonts w:hint="eastAsia" w:ascii="仿宋_GB2312" w:eastAsia="仿宋_GB2312" w:hAnsiTheme="minorEastAsia"/>
          <w:sz w:val="32"/>
          <w:szCs w:val="32"/>
        </w:rPr>
        <w:t>二、部门收入总表</w:t>
      </w:r>
    </w:p>
    <w:p w14:paraId="4BBCA4F8">
      <w:pPr>
        <w:jc w:val="left"/>
        <w:rPr>
          <w:rFonts w:ascii="仿宋_GB2312" w:eastAsia="仿宋_GB2312" w:hAnsiTheme="minorEastAsia"/>
          <w:sz w:val="32"/>
          <w:szCs w:val="32"/>
        </w:rPr>
      </w:pPr>
      <w:r>
        <w:rPr>
          <w:rFonts w:hint="eastAsia" w:ascii="仿宋_GB2312" w:eastAsia="仿宋_GB2312" w:hAnsiTheme="minorEastAsia"/>
          <w:sz w:val="32"/>
          <w:szCs w:val="32"/>
        </w:rPr>
        <w:t>三、部门支出总表</w:t>
      </w:r>
    </w:p>
    <w:p w14:paraId="119BEA52">
      <w:pPr>
        <w:jc w:val="left"/>
        <w:rPr>
          <w:rFonts w:ascii="仿宋_GB2312" w:eastAsia="仿宋_GB2312" w:hAnsiTheme="minorEastAsia"/>
          <w:sz w:val="32"/>
          <w:szCs w:val="32"/>
        </w:rPr>
      </w:pPr>
      <w:r>
        <w:rPr>
          <w:rFonts w:hint="eastAsia" w:ascii="仿宋_GB2312" w:eastAsia="仿宋_GB2312" w:hAnsiTheme="minorEastAsia"/>
          <w:sz w:val="32"/>
          <w:szCs w:val="32"/>
        </w:rPr>
        <w:t>四、财政拨款收支预算总表</w:t>
      </w:r>
    </w:p>
    <w:p w14:paraId="0BC63511">
      <w:pPr>
        <w:jc w:val="left"/>
        <w:rPr>
          <w:rFonts w:ascii="仿宋_GB2312" w:eastAsia="仿宋_GB2312" w:hAnsiTheme="minorEastAsia"/>
          <w:sz w:val="32"/>
          <w:szCs w:val="32"/>
        </w:rPr>
      </w:pPr>
      <w:r>
        <w:rPr>
          <w:rFonts w:hint="eastAsia" w:ascii="仿宋_GB2312" w:eastAsia="仿宋_GB2312" w:hAnsiTheme="minorEastAsia"/>
          <w:sz w:val="32"/>
          <w:szCs w:val="32"/>
        </w:rPr>
        <w:t>五、财政拨款支出预算表（部门经济分类科目）</w:t>
      </w:r>
    </w:p>
    <w:p w14:paraId="02672096">
      <w:pPr>
        <w:jc w:val="left"/>
        <w:rPr>
          <w:rFonts w:ascii="仿宋_GB2312" w:eastAsia="仿宋_GB2312" w:hAnsiTheme="minorEastAsia"/>
          <w:sz w:val="32"/>
          <w:szCs w:val="32"/>
        </w:rPr>
      </w:pPr>
      <w:r>
        <w:rPr>
          <w:rFonts w:hint="eastAsia" w:ascii="仿宋_GB2312" w:eastAsia="仿宋_GB2312" w:hAnsiTheme="minorEastAsia"/>
          <w:sz w:val="32"/>
          <w:szCs w:val="32"/>
        </w:rPr>
        <w:t>六、一般公共预算支出预算表</w:t>
      </w:r>
    </w:p>
    <w:p w14:paraId="50A71209">
      <w:pPr>
        <w:jc w:val="left"/>
        <w:rPr>
          <w:rFonts w:ascii="仿宋_GB2312" w:eastAsia="仿宋_GB2312" w:hAnsiTheme="minorEastAsia"/>
          <w:sz w:val="32"/>
          <w:szCs w:val="32"/>
        </w:rPr>
      </w:pPr>
      <w:r>
        <w:rPr>
          <w:rFonts w:hint="eastAsia" w:ascii="仿宋_GB2312" w:eastAsia="仿宋_GB2312" w:hAnsiTheme="minorEastAsia"/>
          <w:sz w:val="32"/>
          <w:szCs w:val="32"/>
        </w:rPr>
        <w:t>七、一般公共预算基本支出预算表</w:t>
      </w:r>
    </w:p>
    <w:p w14:paraId="2E177201">
      <w:pPr>
        <w:jc w:val="left"/>
        <w:rPr>
          <w:rFonts w:ascii="仿宋_GB2312" w:eastAsia="仿宋_GB2312" w:hAnsiTheme="minorEastAsia"/>
          <w:sz w:val="32"/>
          <w:szCs w:val="32"/>
        </w:rPr>
      </w:pPr>
      <w:r>
        <w:rPr>
          <w:rFonts w:hint="eastAsia" w:ascii="仿宋_GB2312" w:eastAsia="仿宋_GB2312" w:hAnsiTheme="minorEastAsia"/>
          <w:sz w:val="32"/>
          <w:szCs w:val="32"/>
        </w:rPr>
        <w:t>八、一般公共预算项目支出预算表</w:t>
      </w:r>
    </w:p>
    <w:p w14:paraId="6BE63A2A">
      <w:pPr>
        <w:jc w:val="left"/>
        <w:rPr>
          <w:rFonts w:ascii="仿宋_GB2312" w:eastAsia="仿宋_GB2312" w:hAnsiTheme="minorEastAsia"/>
          <w:sz w:val="32"/>
          <w:szCs w:val="32"/>
        </w:rPr>
      </w:pPr>
      <w:r>
        <w:rPr>
          <w:rFonts w:hint="eastAsia" w:ascii="仿宋_GB2312" w:eastAsia="仿宋_GB2312" w:hAnsiTheme="minorEastAsia"/>
          <w:sz w:val="32"/>
          <w:szCs w:val="32"/>
        </w:rPr>
        <w:t>九、一般公共预算“三公”经费支出预算表</w:t>
      </w:r>
    </w:p>
    <w:p w14:paraId="60340EA2">
      <w:pPr>
        <w:jc w:val="left"/>
        <w:rPr>
          <w:rFonts w:ascii="仿宋_GB2312" w:eastAsia="仿宋_GB2312" w:hAnsiTheme="minorEastAsia"/>
          <w:sz w:val="32"/>
          <w:szCs w:val="32"/>
        </w:rPr>
      </w:pPr>
      <w:r>
        <w:rPr>
          <w:rFonts w:hint="eastAsia" w:ascii="仿宋_GB2312" w:eastAsia="仿宋_GB2312" w:hAnsiTheme="minorEastAsia"/>
          <w:sz w:val="32"/>
          <w:szCs w:val="32"/>
        </w:rPr>
        <w:t>十、政府性基金预算支出表</w:t>
      </w:r>
    </w:p>
    <w:p w14:paraId="4F9E0E4B">
      <w:pPr>
        <w:jc w:val="left"/>
        <w:rPr>
          <w:rFonts w:ascii="仿宋_GB2312" w:eastAsia="仿宋_GB2312" w:hAnsiTheme="minorEastAsia"/>
          <w:sz w:val="32"/>
          <w:szCs w:val="32"/>
        </w:rPr>
      </w:pPr>
      <w:r>
        <w:rPr>
          <w:rFonts w:hint="eastAsia" w:ascii="仿宋_GB2312" w:eastAsia="仿宋_GB2312" w:hAnsiTheme="minorEastAsia"/>
          <w:sz w:val="32"/>
          <w:szCs w:val="32"/>
        </w:rPr>
        <w:t>十一、政府性基金预算“三公”经费支出预算表</w:t>
      </w:r>
    </w:p>
    <w:p w14:paraId="7C2B8A93">
      <w:pPr>
        <w:jc w:val="left"/>
        <w:rPr>
          <w:rFonts w:ascii="仿宋_GB2312" w:eastAsia="仿宋_GB2312" w:hAnsiTheme="minorEastAsia"/>
          <w:sz w:val="32"/>
          <w:szCs w:val="32"/>
        </w:rPr>
      </w:pPr>
      <w:r>
        <w:rPr>
          <w:rFonts w:hint="eastAsia" w:ascii="仿宋_GB2312" w:eastAsia="仿宋_GB2312" w:hAnsiTheme="minorEastAsia"/>
          <w:sz w:val="32"/>
          <w:szCs w:val="32"/>
        </w:rPr>
        <w:t>十二、国有资本经营预算支出表</w:t>
      </w:r>
    </w:p>
    <w:p w14:paraId="7753E8E2">
      <w:pPr>
        <w:jc w:val="left"/>
        <w:rPr>
          <w:rFonts w:ascii="仿宋_GB2312" w:eastAsia="仿宋_GB2312" w:hAnsiTheme="minorEastAsia"/>
          <w:sz w:val="32"/>
          <w:szCs w:val="32"/>
        </w:rPr>
      </w:pPr>
      <w:r>
        <w:rPr>
          <w:rFonts w:hint="eastAsia" w:ascii="仿宋_GB2312" w:eastAsia="仿宋_GB2312" w:hAnsiTheme="minorEastAsia"/>
          <w:sz w:val="32"/>
          <w:szCs w:val="32"/>
        </w:rPr>
        <w:t>十三、部门预算项目支出绩效目标表</w:t>
      </w:r>
    </w:p>
    <w:p w14:paraId="2437F898">
      <w:pPr>
        <w:jc w:val="left"/>
        <w:rPr>
          <w:rFonts w:ascii="方正小标宋简体" w:eastAsia="方正小标宋简体"/>
          <w:b/>
          <w:sz w:val="44"/>
          <w:szCs w:val="44"/>
        </w:rPr>
      </w:pPr>
      <w:r>
        <w:rPr>
          <w:rFonts w:hint="eastAsia" w:ascii="仿宋_GB2312" w:eastAsia="仿宋_GB2312" w:hAnsiTheme="minorEastAsia"/>
          <w:sz w:val="32"/>
          <w:szCs w:val="32"/>
        </w:rPr>
        <w:t>十四、部门整体支出绩效目标表</w:t>
      </w:r>
    </w:p>
    <w:p w14:paraId="049AF8A6">
      <w:pPr>
        <w:pStyle w:val="2"/>
        <w:jc w:val="left"/>
        <w:rPr>
          <w:rFonts w:hint="eastAsia" w:ascii="方正小标宋简体" w:hAnsi="Times New Roman" w:eastAsia="方正小标宋简体" w:cs="Times New Roman"/>
          <w:b/>
          <w:bCs w:val="0"/>
          <w:kern w:val="2"/>
          <w:sz w:val="32"/>
          <w:szCs w:val="32"/>
          <w:lang w:val="en-US" w:eastAsia="zh-CN" w:bidi="ar-SA"/>
        </w:rPr>
      </w:pPr>
      <w:r>
        <w:rPr>
          <w:rFonts w:hint="eastAsia" w:ascii="方正小标宋简体" w:hAnsi="Times New Roman" w:eastAsia="方正小标宋简体" w:cs="Times New Roman"/>
          <w:b/>
          <w:bCs w:val="0"/>
          <w:kern w:val="2"/>
          <w:sz w:val="32"/>
          <w:szCs w:val="32"/>
          <w:lang w:val="en-US" w:eastAsia="zh-CN" w:bidi="ar-SA"/>
        </w:rPr>
        <w:t>第二部分 中共理塘县委党校2025年部门预算情况说明</w:t>
      </w:r>
    </w:p>
    <w:p w14:paraId="7DC15D61">
      <w:pPr>
        <w:jc w:val="left"/>
        <w:rPr>
          <w:rFonts w:ascii="方正小标宋简体" w:eastAsia="方正小标宋简体"/>
          <w:b/>
          <w:sz w:val="32"/>
          <w:szCs w:val="32"/>
        </w:rPr>
      </w:pPr>
      <w:r>
        <w:rPr>
          <w:rFonts w:hint="eastAsia" w:ascii="方正小标宋简体" w:eastAsia="方正小标宋简体"/>
          <w:b/>
          <w:sz w:val="32"/>
          <w:szCs w:val="32"/>
        </w:rPr>
        <w:t>第四部分  名词解释</w:t>
      </w:r>
    </w:p>
    <w:p w14:paraId="5276A0E6">
      <w:pPr>
        <w:jc w:val="center"/>
        <w:rPr>
          <w:rFonts w:ascii="方正小标宋简体" w:eastAsia="方正小标宋简体"/>
          <w:b/>
          <w:sz w:val="44"/>
          <w:szCs w:val="44"/>
        </w:rPr>
      </w:pPr>
      <w:r>
        <w:rPr>
          <w:rFonts w:hint="eastAsia" w:ascii="方正小标宋简体" w:eastAsia="方正小标宋简体"/>
          <w:b/>
          <w:sz w:val="44"/>
          <w:szCs w:val="44"/>
        </w:rPr>
        <w:t xml:space="preserve">第一部分 </w:t>
      </w:r>
      <w:r>
        <w:rPr>
          <w:rFonts w:hint="eastAsia" w:ascii="方正小标宋简体" w:eastAsia="方正小标宋简体"/>
          <w:b/>
          <w:sz w:val="44"/>
          <w:szCs w:val="44"/>
          <w:lang w:eastAsia="zh-CN"/>
        </w:rPr>
        <w:t>中共理塘县委党校</w:t>
      </w:r>
      <w:r>
        <w:rPr>
          <w:rFonts w:hint="eastAsia" w:ascii="方正小标宋简体" w:eastAsia="方正小标宋简体"/>
          <w:b/>
          <w:sz w:val="44"/>
          <w:szCs w:val="44"/>
        </w:rPr>
        <w:t>部门概况</w:t>
      </w:r>
    </w:p>
    <w:p w14:paraId="68CFFD47">
      <w:pPr>
        <w:rPr>
          <w:rFonts w:ascii="仿宋_GB2312" w:eastAsia="仿宋_GB2312" w:hAnsiTheme="majorEastAsia"/>
          <w:b/>
          <w:sz w:val="32"/>
          <w:szCs w:val="32"/>
        </w:rPr>
      </w:pPr>
    </w:p>
    <w:p w14:paraId="35D55CBB">
      <w:pPr>
        <w:rPr>
          <w:rFonts w:ascii="黑体" w:hAnsi="黑体" w:eastAsia="黑体"/>
          <w:sz w:val="32"/>
          <w:szCs w:val="32"/>
        </w:rPr>
      </w:pPr>
      <w:r>
        <w:rPr>
          <w:rFonts w:hint="eastAsia" w:ascii="黑体" w:hAnsi="黑体" w:eastAsia="黑体"/>
          <w:b/>
          <w:sz w:val="32"/>
          <w:szCs w:val="32"/>
        </w:rPr>
        <w:t xml:space="preserve">    </w:t>
      </w:r>
      <w:r>
        <w:rPr>
          <w:rFonts w:hint="eastAsia" w:ascii="黑体" w:hAnsi="黑体" w:eastAsia="黑体"/>
          <w:sz w:val="32"/>
          <w:szCs w:val="32"/>
        </w:rPr>
        <w:t>一、基本职能及主要工作</w:t>
      </w:r>
    </w:p>
    <w:p w14:paraId="67F84EF2">
      <w:pPr>
        <w:rPr>
          <w:rFonts w:ascii="楷体_GB2312" w:hAnsi="黑体" w:eastAsia="楷体_GB2312"/>
          <w:sz w:val="32"/>
          <w:szCs w:val="32"/>
        </w:rPr>
      </w:pPr>
      <w:r>
        <w:rPr>
          <w:rFonts w:hint="eastAsia" w:ascii="黑体" w:hAnsi="黑体" w:eastAsia="黑体"/>
          <w:b/>
          <w:sz w:val="32"/>
          <w:szCs w:val="32"/>
        </w:rPr>
        <w:t xml:space="preserve">   </w:t>
      </w:r>
      <w:r>
        <w:rPr>
          <w:rFonts w:hint="eastAsia" w:ascii="楷体_GB2312" w:hAnsi="黑体" w:eastAsia="楷体_GB2312"/>
          <w:sz w:val="32"/>
          <w:szCs w:val="32"/>
        </w:rPr>
        <w:t xml:space="preserve"> （一）</w:t>
      </w:r>
      <w:r>
        <w:rPr>
          <w:rFonts w:hint="eastAsia" w:ascii="楷体_GB2312" w:hAnsi="黑体" w:eastAsia="楷体_GB2312"/>
          <w:sz w:val="32"/>
          <w:szCs w:val="32"/>
          <w:lang w:eastAsia="zh-CN"/>
        </w:rPr>
        <w:t>中共理塘县委党校</w:t>
      </w:r>
      <w:r>
        <w:rPr>
          <w:rFonts w:hint="eastAsia" w:ascii="楷体_GB2312" w:hAnsi="黑体" w:eastAsia="楷体_GB2312"/>
          <w:sz w:val="32"/>
          <w:szCs w:val="32"/>
        </w:rPr>
        <w:t>部门职能简介</w:t>
      </w:r>
    </w:p>
    <w:p w14:paraId="3A9E143F">
      <w:pPr>
        <w:pStyle w:val="16"/>
        <w:keepNext w:val="0"/>
        <w:keepLines w:val="0"/>
        <w:pageBreakBefore w:val="0"/>
        <w:widowControl/>
        <w:numPr>
          <w:ilvl w:val="0"/>
          <w:numId w:val="0"/>
        </w:numPr>
        <w:kinsoku/>
        <w:wordWrap/>
        <w:overflowPunct/>
        <w:topLinePunct w:val="0"/>
        <w:autoSpaceDE/>
        <w:autoSpaceDN/>
        <w:bidi w:val="0"/>
        <w:adjustRightInd/>
        <w:snapToGrid/>
        <w:ind w:leftChars="0" w:firstLine="640" w:firstLineChars="20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中共理塘县委党校是县委直属公益一类事业单位，核心职能为干部教育培训，主要承担全县各级党政干部、村（社区）干部、后备干部的理论培训、党性教育、能力提升等工作；同时开展党的理论、方针、政策研究和宣传解读，为县委、县政府决策提供理论参考和实践建议，是全县干部教育培训的主阵地、主渠道。</w:t>
      </w:r>
    </w:p>
    <w:p w14:paraId="16C4F109">
      <w:pPr>
        <w:rPr>
          <w:rFonts w:ascii="楷体_GB2312" w:hAnsi="黑体" w:eastAsia="楷体_GB2312"/>
          <w:sz w:val="32"/>
          <w:szCs w:val="32"/>
        </w:rPr>
      </w:pPr>
      <w:r>
        <w:rPr>
          <w:rFonts w:hint="eastAsia" w:ascii="黑体" w:hAnsi="黑体" w:eastAsia="黑体"/>
          <w:b/>
          <w:sz w:val="32"/>
          <w:szCs w:val="32"/>
        </w:rPr>
        <w:t xml:space="preserve">    </w:t>
      </w:r>
      <w:r>
        <w:rPr>
          <w:rFonts w:hint="eastAsia" w:ascii="楷体_GB2312" w:hAnsi="黑体" w:eastAsia="楷体_GB2312"/>
          <w:sz w:val="32"/>
          <w:szCs w:val="32"/>
        </w:rPr>
        <w:t>（二）20</w:t>
      </w:r>
      <w:r>
        <w:rPr>
          <w:rFonts w:hint="eastAsia" w:ascii="楷体_GB2312" w:hAnsi="黑体" w:eastAsia="楷体_GB2312"/>
          <w:sz w:val="32"/>
          <w:szCs w:val="32"/>
          <w:lang w:val="en-US" w:eastAsia="zh-CN"/>
        </w:rPr>
        <w:t>25</w:t>
      </w:r>
      <w:r>
        <w:rPr>
          <w:rFonts w:hint="eastAsia" w:ascii="楷体_GB2312" w:hAnsi="黑体" w:eastAsia="楷体_GB2312"/>
          <w:sz w:val="32"/>
          <w:szCs w:val="32"/>
        </w:rPr>
        <w:t>年重点工作</w:t>
      </w:r>
    </w:p>
    <w:p w14:paraId="2907FF60">
      <w:pPr>
        <w:pStyle w:val="16"/>
        <w:keepNext w:val="0"/>
        <w:keepLines w:val="0"/>
        <w:pageBreakBefore w:val="0"/>
        <w:widowControl/>
        <w:numPr>
          <w:ilvl w:val="0"/>
          <w:numId w:val="0"/>
        </w:numPr>
        <w:kinsoku/>
        <w:wordWrap/>
        <w:overflowPunct/>
        <w:topLinePunct w:val="0"/>
        <w:autoSpaceDE/>
        <w:autoSpaceDN/>
        <w:bidi w:val="0"/>
        <w:adjustRightInd/>
        <w:snapToGrid/>
        <w:ind w:leftChars="0" w:firstLine="643" w:firstLineChars="20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b/>
          <w:bCs/>
          <w:kern w:val="2"/>
          <w:sz w:val="32"/>
          <w:szCs w:val="32"/>
          <w:lang w:val="en-US" w:eastAsia="zh-CN" w:bidi="ar-SA"/>
        </w:rPr>
        <w:t>一是</w:t>
      </w:r>
      <w:r>
        <w:rPr>
          <w:rFonts w:hint="eastAsia" w:ascii="仿宋" w:hAnsi="仿宋" w:eastAsia="仿宋" w:cs="仿宋"/>
          <w:kern w:val="2"/>
          <w:sz w:val="32"/>
          <w:szCs w:val="32"/>
          <w:lang w:val="en-US" w:eastAsia="zh-CN" w:bidi="ar-SA"/>
        </w:rPr>
        <w:t>紧扣县委、县政府中心工作，制定年度干部教育培训计划，完成各级各类干部培训任务，提升干部政治素养和履职能力。</w:t>
      </w:r>
      <w:r>
        <w:rPr>
          <w:rFonts w:hint="eastAsia" w:ascii="仿宋" w:hAnsi="仿宋" w:eastAsia="仿宋" w:cs="仿宋"/>
          <w:b/>
          <w:bCs/>
          <w:kern w:val="2"/>
          <w:sz w:val="32"/>
          <w:szCs w:val="32"/>
          <w:lang w:val="en-US" w:eastAsia="zh-CN" w:bidi="ar-SA"/>
        </w:rPr>
        <w:t>二是</w:t>
      </w:r>
      <w:r>
        <w:rPr>
          <w:rFonts w:hint="eastAsia" w:ascii="仿宋" w:hAnsi="仿宋" w:eastAsia="仿宋" w:cs="仿宋"/>
          <w:kern w:val="2"/>
          <w:sz w:val="32"/>
          <w:szCs w:val="32"/>
          <w:lang w:val="en-US" w:eastAsia="zh-CN" w:bidi="ar-SA"/>
        </w:rPr>
        <w:t>加强师资队伍建设，开展教学研讨、业务培训和基层调研，提升教学科研水平。</w:t>
      </w:r>
      <w:r>
        <w:rPr>
          <w:rFonts w:hint="eastAsia" w:ascii="仿宋" w:hAnsi="仿宋" w:eastAsia="仿宋" w:cs="仿宋"/>
          <w:b/>
          <w:bCs/>
          <w:kern w:val="2"/>
          <w:sz w:val="32"/>
          <w:szCs w:val="32"/>
          <w:lang w:val="en-US" w:eastAsia="zh-CN" w:bidi="ar-SA"/>
        </w:rPr>
        <w:t>三是</w:t>
      </w:r>
      <w:r>
        <w:rPr>
          <w:rFonts w:hint="eastAsia" w:ascii="仿宋" w:hAnsi="仿宋" w:eastAsia="仿宋" w:cs="仿宋"/>
          <w:kern w:val="2"/>
          <w:sz w:val="32"/>
          <w:szCs w:val="32"/>
          <w:lang w:val="en-US" w:eastAsia="zh-CN" w:bidi="ar-SA"/>
        </w:rPr>
        <w:t>推进干部教育培训机构质量提升项目建设，完善教学设施、更新办公设备，优化培训办学条件。</w:t>
      </w:r>
      <w:r>
        <w:rPr>
          <w:rFonts w:hint="eastAsia" w:ascii="仿宋" w:hAnsi="仿宋" w:eastAsia="仿宋" w:cs="仿宋"/>
          <w:b/>
          <w:bCs/>
          <w:kern w:val="2"/>
          <w:sz w:val="32"/>
          <w:szCs w:val="32"/>
          <w:lang w:val="en-US" w:eastAsia="zh-CN" w:bidi="ar-SA"/>
        </w:rPr>
        <w:t>四是</w:t>
      </w:r>
      <w:r>
        <w:rPr>
          <w:rFonts w:hint="eastAsia" w:ascii="仿宋" w:hAnsi="仿宋" w:eastAsia="仿宋" w:cs="仿宋"/>
          <w:kern w:val="2"/>
          <w:sz w:val="32"/>
          <w:szCs w:val="32"/>
          <w:lang w:val="en-US" w:eastAsia="zh-CN" w:bidi="ar-SA"/>
        </w:rPr>
        <w:t>强化党的创新理论宣传普及，深入基层开展政策宣讲活动，推动理论武装走深走实。五是严格落实各项财经制度，规范预算管理和经费使用，提升资金使用效益。</w:t>
      </w:r>
    </w:p>
    <w:p w14:paraId="450B4E57">
      <w:pPr>
        <w:pStyle w:val="7"/>
        <w:keepLines w:val="0"/>
        <w:widowControl/>
        <w:suppressLineNumbers w:val="0"/>
        <w:shd w:val="clear" w:color="auto" w:fill="FFFFFF"/>
        <w:snapToGrid/>
        <w:spacing w:before="0" w:beforeAutospacing="0" w:after="0" w:afterAutospacing="0" w:line="576" w:lineRule="exact"/>
        <w:ind w:left="0" w:firstLine="640" w:firstLineChars="200"/>
        <w:jc w:val="left"/>
        <w:textAlignment w:val="baseline"/>
        <w:rPr>
          <w:rFonts w:hint="eastAsia" w:ascii="仿宋_GB2312" w:hAnsi="仿宋_GB2312" w:eastAsia="仿宋_GB2312" w:cs="仿宋_GB2312"/>
          <w:b w:val="0"/>
          <w:i w:val="0"/>
          <w:iCs w:val="0"/>
          <w:caps w:val="0"/>
          <w:color w:val="000000"/>
          <w:spacing w:val="0"/>
          <w:w w:val="100"/>
          <w:sz w:val="32"/>
          <w:szCs w:val="32"/>
          <w:shd w:val="clear" w:color="auto" w:fill="FFFFFF"/>
          <w:lang w:val="en-US" w:eastAsia="zh-CN"/>
        </w:rPr>
      </w:pPr>
    </w:p>
    <w:p w14:paraId="3582C8C0">
      <w:pPr>
        <w:rPr>
          <w:rFonts w:hint="default"/>
          <w:lang w:val="en-US" w:eastAsia="zh-CN"/>
        </w:rPr>
      </w:pPr>
    </w:p>
    <w:p w14:paraId="75ED284F">
      <w:pPr>
        <w:rPr>
          <w:rFonts w:ascii="黑体" w:hAnsi="黑体" w:eastAsia="黑体"/>
          <w:sz w:val="32"/>
          <w:szCs w:val="32"/>
        </w:rPr>
      </w:pPr>
      <w:r>
        <w:rPr>
          <w:rFonts w:hint="eastAsia" w:ascii="黑体" w:hAnsi="黑体" w:eastAsia="黑体"/>
          <w:b/>
          <w:sz w:val="32"/>
          <w:szCs w:val="32"/>
        </w:rPr>
        <w:t xml:space="preserve">    </w:t>
      </w:r>
      <w:r>
        <w:rPr>
          <w:rFonts w:hint="eastAsia" w:ascii="黑体" w:hAnsi="黑体" w:eastAsia="黑体"/>
          <w:sz w:val="32"/>
          <w:szCs w:val="32"/>
        </w:rPr>
        <w:t>二、部门预算单位构成</w:t>
      </w:r>
    </w:p>
    <w:p w14:paraId="410F7E5D">
      <w:pPr>
        <w:pStyle w:val="16"/>
        <w:rPr>
          <w:rFonts w:hint="eastAsia" w:ascii="仿宋" w:hAnsi="仿宋" w:eastAsia="仿宋" w:cs="仿宋"/>
          <w:kern w:val="2"/>
          <w:sz w:val="32"/>
          <w:szCs w:val="32"/>
          <w:lang w:val="en-US" w:eastAsia="zh-CN" w:bidi="ar-SA"/>
        </w:rPr>
      </w:pPr>
      <w:r>
        <w:rPr>
          <w:rFonts w:hint="eastAsia" w:ascii="仿宋_GB2312" w:eastAsia="仿宋_GB2312" w:hAnsiTheme="majorEastAsia"/>
          <w:sz w:val="32"/>
          <w:szCs w:val="32"/>
        </w:rPr>
        <w:t xml:space="preserve">   </w:t>
      </w:r>
      <w:r>
        <w:rPr>
          <w:rFonts w:hint="eastAsia" w:ascii="仿宋" w:hAnsi="仿宋" w:eastAsia="仿宋" w:cs="仿宋"/>
          <w:kern w:val="2"/>
          <w:sz w:val="32"/>
          <w:szCs w:val="32"/>
          <w:lang w:val="en-US" w:eastAsia="zh-CN" w:bidi="ar-SA"/>
        </w:rPr>
        <w:t>中共理塘县委党校无下属二级预算单位，本预算为单户预算，预算单位仅为中共理塘县委党校本级，属于财政全额保障的事业单位。</w:t>
      </w:r>
    </w:p>
    <w:p w14:paraId="17AE1F4B">
      <w:pPr>
        <w:rPr>
          <w:rFonts w:ascii="仿宋_GB2312" w:eastAsia="仿宋_GB2312" w:hAnsiTheme="majorEastAsia"/>
          <w:sz w:val="32"/>
          <w:szCs w:val="32"/>
        </w:rPr>
      </w:pPr>
    </w:p>
    <w:tbl>
      <w:tblPr>
        <w:tblStyle w:val="8"/>
        <w:tblW w:w="7903" w:type="dxa"/>
        <w:tblInd w:w="427" w:type="dxa"/>
        <w:tblLayout w:type="fixed"/>
        <w:tblCellMar>
          <w:top w:w="0" w:type="dxa"/>
          <w:left w:w="108" w:type="dxa"/>
          <w:bottom w:w="0" w:type="dxa"/>
          <w:right w:w="108" w:type="dxa"/>
        </w:tblCellMar>
      </w:tblPr>
      <w:tblGrid>
        <w:gridCol w:w="1382"/>
        <w:gridCol w:w="6521"/>
      </w:tblGrid>
      <w:tr w14:paraId="663D8F47">
        <w:tblPrEx>
          <w:tblCellMar>
            <w:top w:w="0" w:type="dxa"/>
            <w:left w:w="108" w:type="dxa"/>
            <w:bottom w:w="0" w:type="dxa"/>
            <w:right w:w="108" w:type="dxa"/>
          </w:tblCellMar>
        </w:tblPrEx>
        <w:trPr>
          <w:trHeight w:val="420" w:hRule="atLeast"/>
        </w:trPr>
        <w:tc>
          <w:tcPr>
            <w:tcW w:w="138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62FE6A3">
            <w:pPr>
              <w:widowControl/>
              <w:jc w:val="center"/>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序号</w:t>
            </w:r>
          </w:p>
        </w:tc>
        <w:tc>
          <w:tcPr>
            <w:tcW w:w="6521" w:type="dxa"/>
            <w:tcBorders>
              <w:top w:val="single" w:color="auto" w:sz="4" w:space="0"/>
              <w:left w:val="nil"/>
              <w:bottom w:val="single" w:color="auto" w:sz="4" w:space="0"/>
              <w:right w:val="single" w:color="auto" w:sz="4" w:space="0"/>
            </w:tcBorders>
            <w:shd w:val="clear" w:color="auto" w:fill="auto"/>
            <w:noWrap/>
            <w:vAlign w:val="center"/>
          </w:tcPr>
          <w:p w14:paraId="5D4169EB">
            <w:pPr>
              <w:widowControl/>
              <w:jc w:val="center"/>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预算单位名称</w:t>
            </w:r>
          </w:p>
        </w:tc>
      </w:tr>
      <w:tr w14:paraId="6E1D9BA6">
        <w:tblPrEx>
          <w:tblCellMar>
            <w:top w:w="0" w:type="dxa"/>
            <w:left w:w="108" w:type="dxa"/>
            <w:bottom w:w="0" w:type="dxa"/>
            <w:right w:w="108" w:type="dxa"/>
          </w:tblCellMar>
        </w:tblPrEx>
        <w:trPr>
          <w:trHeight w:val="534" w:hRule="atLeast"/>
        </w:trPr>
        <w:tc>
          <w:tcPr>
            <w:tcW w:w="1382" w:type="dxa"/>
            <w:tcBorders>
              <w:top w:val="nil"/>
              <w:left w:val="single" w:color="auto" w:sz="4" w:space="0"/>
              <w:bottom w:val="single" w:color="auto" w:sz="4" w:space="0"/>
              <w:right w:val="single" w:color="auto" w:sz="4" w:space="0"/>
            </w:tcBorders>
            <w:shd w:val="clear" w:color="auto" w:fill="auto"/>
            <w:noWrap/>
            <w:vAlign w:val="center"/>
          </w:tcPr>
          <w:p w14:paraId="03D43766">
            <w:pPr>
              <w:widowControl/>
              <w:jc w:val="center"/>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1</w:t>
            </w:r>
          </w:p>
        </w:tc>
        <w:tc>
          <w:tcPr>
            <w:tcW w:w="6521" w:type="dxa"/>
            <w:tcBorders>
              <w:top w:val="nil"/>
              <w:left w:val="nil"/>
              <w:bottom w:val="single" w:color="auto" w:sz="4" w:space="0"/>
              <w:right w:val="single" w:color="auto" w:sz="4" w:space="0"/>
            </w:tcBorders>
            <w:shd w:val="clear" w:color="auto" w:fill="auto"/>
            <w:noWrap/>
            <w:vAlign w:val="center"/>
          </w:tcPr>
          <w:p w14:paraId="2E596E65">
            <w:pPr>
              <w:widowControl/>
              <w:jc w:val="center"/>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lang w:eastAsia="zh-CN"/>
              </w:rPr>
              <w:t>中共理塘县委党校（本级）</w:t>
            </w:r>
          </w:p>
        </w:tc>
      </w:tr>
      <w:tr w14:paraId="74EC0510">
        <w:tblPrEx>
          <w:tblCellMar>
            <w:top w:w="0" w:type="dxa"/>
            <w:left w:w="108" w:type="dxa"/>
            <w:bottom w:w="0" w:type="dxa"/>
            <w:right w:w="108" w:type="dxa"/>
          </w:tblCellMar>
        </w:tblPrEx>
        <w:trPr>
          <w:trHeight w:val="420" w:hRule="atLeast"/>
        </w:trPr>
        <w:tc>
          <w:tcPr>
            <w:tcW w:w="1382" w:type="dxa"/>
            <w:tcBorders>
              <w:top w:val="nil"/>
              <w:left w:val="single" w:color="auto" w:sz="4" w:space="0"/>
              <w:bottom w:val="single" w:color="auto" w:sz="4" w:space="0"/>
              <w:right w:val="single" w:color="auto" w:sz="4" w:space="0"/>
            </w:tcBorders>
            <w:shd w:val="clear" w:color="auto" w:fill="auto"/>
            <w:noWrap/>
            <w:vAlign w:val="center"/>
          </w:tcPr>
          <w:p w14:paraId="044E9130">
            <w:pPr>
              <w:widowControl/>
              <w:jc w:val="center"/>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2</w:t>
            </w:r>
          </w:p>
        </w:tc>
        <w:tc>
          <w:tcPr>
            <w:tcW w:w="6521" w:type="dxa"/>
            <w:tcBorders>
              <w:top w:val="nil"/>
              <w:left w:val="nil"/>
              <w:bottom w:val="single" w:color="auto" w:sz="4" w:space="0"/>
              <w:right w:val="single" w:color="auto" w:sz="4" w:space="0"/>
            </w:tcBorders>
            <w:shd w:val="clear" w:color="auto" w:fill="auto"/>
            <w:noWrap/>
            <w:vAlign w:val="center"/>
          </w:tcPr>
          <w:p w14:paraId="40242422">
            <w:pPr>
              <w:widowControl/>
              <w:jc w:val="center"/>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　</w:t>
            </w:r>
          </w:p>
        </w:tc>
      </w:tr>
      <w:tr w14:paraId="6BFA39AD">
        <w:tblPrEx>
          <w:tblCellMar>
            <w:top w:w="0" w:type="dxa"/>
            <w:left w:w="108" w:type="dxa"/>
            <w:bottom w:w="0" w:type="dxa"/>
            <w:right w:w="108" w:type="dxa"/>
          </w:tblCellMar>
        </w:tblPrEx>
        <w:trPr>
          <w:trHeight w:val="420" w:hRule="atLeast"/>
        </w:trPr>
        <w:tc>
          <w:tcPr>
            <w:tcW w:w="1382" w:type="dxa"/>
            <w:tcBorders>
              <w:top w:val="nil"/>
              <w:left w:val="single" w:color="auto" w:sz="4" w:space="0"/>
              <w:bottom w:val="single" w:color="auto" w:sz="4" w:space="0"/>
              <w:right w:val="single" w:color="auto" w:sz="4" w:space="0"/>
            </w:tcBorders>
            <w:shd w:val="clear" w:color="auto" w:fill="auto"/>
            <w:noWrap/>
            <w:vAlign w:val="center"/>
          </w:tcPr>
          <w:p w14:paraId="63ECFC4C">
            <w:pPr>
              <w:widowControl/>
              <w:jc w:val="center"/>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3</w:t>
            </w:r>
          </w:p>
        </w:tc>
        <w:tc>
          <w:tcPr>
            <w:tcW w:w="6521" w:type="dxa"/>
            <w:tcBorders>
              <w:top w:val="nil"/>
              <w:left w:val="nil"/>
              <w:bottom w:val="single" w:color="auto" w:sz="4" w:space="0"/>
              <w:right w:val="single" w:color="auto" w:sz="4" w:space="0"/>
            </w:tcBorders>
            <w:shd w:val="clear" w:color="auto" w:fill="auto"/>
            <w:noWrap/>
            <w:vAlign w:val="center"/>
          </w:tcPr>
          <w:p w14:paraId="78129F0F">
            <w:pPr>
              <w:widowControl/>
              <w:jc w:val="center"/>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　</w:t>
            </w:r>
          </w:p>
        </w:tc>
      </w:tr>
      <w:tr w14:paraId="49E4C478">
        <w:tblPrEx>
          <w:tblCellMar>
            <w:top w:w="0" w:type="dxa"/>
            <w:left w:w="108" w:type="dxa"/>
            <w:bottom w:w="0" w:type="dxa"/>
            <w:right w:w="108" w:type="dxa"/>
          </w:tblCellMar>
        </w:tblPrEx>
        <w:trPr>
          <w:trHeight w:val="420" w:hRule="atLeast"/>
        </w:trPr>
        <w:tc>
          <w:tcPr>
            <w:tcW w:w="1382" w:type="dxa"/>
            <w:tcBorders>
              <w:top w:val="nil"/>
              <w:left w:val="single" w:color="auto" w:sz="4" w:space="0"/>
              <w:bottom w:val="single" w:color="auto" w:sz="4" w:space="0"/>
              <w:right w:val="single" w:color="auto" w:sz="4" w:space="0"/>
            </w:tcBorders>
            <w:shd w:val="clear" w:color="auto" w:fill="auto"/>
            <w:noWrap/>
            <w:vAlign w:val="center"/>
          </w:tcPr>
          <w:p w14:paraId="33DC618B">
            <w:pPr>
              <w:widowControl/>
              <w:jc w:val="center"/>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4</w:t>
            </w:r>
          </w:p>
        </w:tc>
        <w:tc>
          <w:tcPr>
            <w:tcW w:w="6521" w:type="dxa"/>
            <w:tcBorders>
              <w:top w:val="nil"/>
              <w:left w:val="nil"/>
              <w:bottom w:val="single" w:color="auto" w:sz="4" w:space="0"/>
              <w:right w:val="single" w:color="auto" w:sz="4" w:space="0"/>
            </w:tcBorders>
            <w:shd w:val="clear" w:color="auto" w:fill="auto"/>
            <w:noWrap/>
            <w:vAlign w:val="center"/>
          </w:tcPr>
          <w:p w14:paraId="0FB5BE09">
            <w:pPr>
              <w:widowControl/>
              <w:jc w:val="center"/>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　</w:t>
            </w:r>
          </w:p>
        </w:tc>
      </w:tr>
      <w:tr w14:paraId="54B5604A">
        <w:tblPrEx>
          <w:tblCellMar>
            <w:top w:w="0" w:type="dxa"/>
            <w:left w:w="108" w:type="dxa"/>
            <w:bottom w:w="0" w:type="dxa"/>
            <w:right w:w="108" w:type="dxa"/>
          </w:tblCellMar>
        </w:tblPrEx>
        <w:trPr>
          <w:trHeight w:val="420" w:hRule="atLeast"/>
        </w:trPr>
        <w:tc>
          <w:tcPr>
            <w:tcW w:w="1382" w:type="dxa"/>
            <w:tcBorders>
              <w:top w:val="nil"/>
              <w:left w:val="single" w:color="auto" w:sz="4" w:space="0"/>
              <w:bottom w:val="single" w:color="auto" w:sz="4" w:space="0"/>
              <w:right w:val="single" w:color="auto" w:sz="4" w:space="0"/>
            </w:tcBorders>
            <w:shd w:val="clear" w:color="auto" w:fill="auto"/>
            <w:noWrap/>
            <w:vAlign w:val="center"/>
          </w:tcPr>
          <w:p w14:paraId="1EAEED6B">
            <w:pPr>
              <w:widowControl/>
              <w:jc w:val="center"/>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5</w:t>
            </w:r>
          </w:p>
        </w:tc>
        <w:tc>
          <w:tcPr>
            <w:tcW w:w="6521" w:type="dxa"/>
            <w:tcBorders>
              <w:top w:val="nil"/>
              <w:left w:val="nil"/>
              <w:bottom w:val="single" w:color="auto" w:sz="4" w:space="0"/>
              <w:right w:val="single" w:color="auto" w:sz="4" w:space="0"/>
            </w:tcBorders>
            <w:shd w:val="clear" w:color="auto" w:fill="auto"/>
            <w:noWrap/>
            <w:vAlign w:val="center"/>
          </w:tcPr>
          <w:p w14:paraId="2CDAEC5E">
            <w:pPr>
              <w:widowControl/>
              <w:jc w:val="center"/>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　</w:t>
            </w:r>
          </w:p>
        </w:tc>
      </w:tr>
      <w:tr w14:paraId="4C0D7513">
        <w:tblPrEx>
          <w:tblCellMar>
            <w:top w:w="0" w:type="dxa"/>
            <w:left w:w="108" w:type="dxa"/>
            <w:bottom w:w="0" w:type="dxa"/>
            <w:right w:w="108" w:type="dxa"/>
          </w:tblCellMar>
        </w:tblPrEx>
        <w:trPr>
          <w:trHeight w:val="420" w:hRule="atLeast"/>
        </w:trPr>
        <w:tc>
          <w:tcPr>
            <w:tcW w:w="1382" w:type="dxa"/>
            <w:tcBorders>
              <w:top w:val="nil"/>
              <w:left w:val="single" w:color="auto" w:sz="4" w:space="0"/>
              <w:bottom w:val="single" w:color="auto" w:sz="4" w:space="0"/>
              <w:right w:val="single" w:color="auto" w:sz="4" w:space="0"/>
            </w:tcBorders>
            <w:shd w:val="clear" w:color="auto" w:fill="auto"/>
            <w:noWrap/>
            <w:vAlign w:val="center"/>
          </w:tcPr>
          <w:p w14:paraId="03324350">
            <w:pPr>
              <w:widowControl/>
              <w:jc w:val="center"/>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w:t>
            </w:r>
          </w:p>
        </w:tc>
        <w:tc>
          <w:tcPr>
            <w:tcW w:w="6521" w:type="dxa"/>
            <w:tcBorders>
              <w:top w:val="nil"/>
              <w:left w:val="nil"/>
              <w:bottom w:val="single" w:color="auto" w:sz="4" w:space="0"/>
              <w:right w:val="single" w:color="auto" w:sz="4" w:space="0"/>
            </w:tcBorders>
            <w:shd w:val="clear" w:color="auto" w:fill="auto"/>
            <w:noWrap/>
            <w:vAlign w:val="center"/>
          </w:tcPr>
          <w:p w14:paraId="08382366">
            <w:pPr>
              <w:widowControl/>
              <w:jc w:val="center"/>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　</w:t>
            </w:r>
          </w:p>
        </w:tc>
      </w:tr>
    </w:tbl>
    <w:p w14:paraId="4D2C9CF5">
      <w:pPr>
        <w:rPr>
          <w:rFonts w:ascii="仿宋_GB2312" w:eastAsia="仿宋_GB2312" w:hAnsiTheme="majorEastAsia"/>
          <w:sz w:val="32"/>
          <w:szCs w:val="32"/>
        </w:rPr>
      </w:pPr>
    </w:p>
    <w:p w14:paraId="1D30FA57">
      <w:pPr>
        <w:rPr>
          <w:rFonts w:ascii="仿宋_GB2312" w:eastAsia="仿宋_GB2312" w:hAnsiTheme="majorEastAsia"/>
          <w:sz w:val="32"/>
          <w:szCs w:val="32"/>
        </w:rPr>
      </w:pPr>
    </w:p>
    <w:p w14:paraId="22F6C0CD">
      <w:pPr>
        <w:rPr>
          <w:rFonts w:ascii="黑体" w:hAnsi="黑体" w:eastAsia="黑体"/>
          <w:b/>
          <w:sz w:val="32"/>
          <w:szCs w:val="32"/>
        </w:rPr>
      </w:pPr>
    </w:p>
    <w:p w14:paraId="51650EC6">
      <w:pPr>
        <w:rPr>
          <w:rFonts w:ascii="黑体" w:hAnsi="黑体" w:eastAsia="黑体"/>
          <w:b/>
          <w:sz w:val="32"/>
          <w:szCs w:val="32"/>
        </w:rPr>
      </w:pPr>
    </w:p>
    <w:p w14:paraId="325C2D31">
      <w:pPr>
        <w:rPr>
          <w:rFonts w:ascii="黑体" w:hAnsi="黑体" w:eastAsia="黑体"/>
          <w:b/>
          <w:sz w:val="32"/>
          <w:szCs w:val="32"/>
        </w:rPr>
      </w:pPr>
    </w:p>
    <w:p w14:paraId="5D95D7CD">
      <w:pPr>
        <w:rPr>
          <w:rFonts w:ascii="仿宋_GB2312" w:eastAsia="仿宋_GB2312" w:hAnsiTheme="majorEastAsia"/>
          <w:sz w:val="32"/>
          <w:szCs w:val="32"/>
        </w:rPr>
      </w:pPr>
    </w:p>
    <w:p w14:paraId="79732898">
      <w:pPr>
        <w:rPr>
          <w:rFonts w:ascii="仿宋_GB2312" w:eastAsia="仿宋_GB2312" w:hAnsiTheme="majorEastAsia"/>
          <w:sz w:val="32"/>
          <w:szCs w:val="32"/>
        </w:rPr>
      </w:pPr>
    </w:p>
    <w:p w14:paraId="412BAA3F">
      <w:pPr>
        <w:rPr>
          <w:rFonts w:ascii="仿宋_GB2312" w:eastAsia="仿宋_GB2312" w:hAnsiTheme="majorEastAsia"/>
          <w:sz w:val="32"/>
          <w:szCs w:val="32"/>
        </w:rPr>
      </w:pPr>
    </w:p>
    <w:p w14:paraId="59B13F78">
      <w:pPr>
        <w:rPr>
          <w:rFonts w:hint="eastAsia" w:ascii="方正小标宋简体" w:eastAsia="方正小标宋简体"/>
          <w:b/>
          <w:sz w:val="44"/>
          <w:szCs w:val="44"/>
        </w:rPr>
      </w:pPr>
      <w:bookmarkStart w:id="0" w:name="_GoBack"/>
      <w:bookmarkEnd w:id="0"/>
      <w:r>
        <w:rPr>
          <w:rFonts w:hint="eastAsia" w:ascii="方正小标宋简体" w:eastAsia="方正小标宋简体"/>
          <w:b/>
          <w:sz w:val="44"/>
          <w:szCs w:val="44"/>
        </w:rPr>
        <w:br w:type="page"/>
      </w:r>
    </w:p>
    <w:p w14:paraId="10568557">
      <w:pPr>
        <w:pStyle w:val="2"/>
        <w:jc w:val="both"/>
      </w:pPr>
      <w:r>
        <w:t>第二部分  中共理塘县委党校2026年部门预算表</w:t>
      </w:r>
    </w:p>
    <w:p w14:paraId="238BA891">
      <w:pPr>
        <w:pStyle w:val="16"/>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（此部分附对应预算表格扫描件/电子版，具体表格数据依据《中共理塘县委党校部门-部门预算草案报表.xlsx》填报，核心数据已在第三部分说明中体现）</w:t>
      </w:r>
    </w:p>
    <w:p w14:paraId="182C6CD2">
      <w:pPr>
        <w:jc w:val="center"/>
        <w:rPr>
          <w:rFonts w:hint="eastAsia" w:ascii="方正小标宋简体" w:eastAsia="方正小标宋简体"/>
          <w:b/>
          <w:sz w:val="44"/>
          <w:szCs w:val="44"/>
        </w:rPr>
      </w:pPr>
    </w:p>
    <w:p w14:paraId="49C5B49E">
      <w:pPr>
        <w:jc w:val="center"/>
        <w:rPr>
          <w:rFonts w:ascii="方正小标宋简体" w:eastAsia="方正小标宋简体"/>
          <w:b/>
          <w:sz w:val="44"/>
          <w:szCs w:val="44"/>
        </w:rPr>
      </w:pPr>
      <w:r>
        <w:rPr>
          <w:rFonts w:hint="eastAsia" w:ascii="方正小标宋简体" w:eastAsia="方正小标宋简体"/>
          <w:b/>
          <w:sz w:val="44"/>
          <w:szCs w:val="44"/>
        </w:rPr>
        <w:t>第</w:t>
      </w:r>
      <w:r>
        <w:rPr>
          <w:rFonts w:hint="eastAsia" w:ascii="方正小标宋简体" w:eastAsia="方正小标宋简体"/>
          <w:b/>
          <w:sz w:val="44"/>
          <w:szCs w:val="44"/>
          <w:lang w:eastAsia="zh-CN"/>
        </w:rPr>
        <w:t>二</w:t>
      </w:r>
      <w:r>
        <w:rPr>
          <w:rFonts w:hint="eastAsia" w:ascii="方正小标宋简体" w:eastAsia="方正小标宋简体"/>
          <w:b/>
          <w:sz w:val="44"/>
          <w:szCs w:val="44"/>
        </w:rPr>
        <w:t xml:space="preserve">部分 </w:t>
      </w:r>
      <w:r>
        <w:rPr>
          <w:rFonts w:hint="eastAsia" w:ascii="方正小标宋简体" w:eastAsia="方正小标宋简体"/>
          <w:b/>
          <w:sz w:val="44"/>
          <w:szCs w:val="44"/>
          <w:lang w:eastAsia="zh-CN"/>
        </w:rPr>
        <w:t>中共理塘县委党校</w:t>
      </w:r>
    </w:p>
    <w:p w14:paraId="67B19E14">
      <w:pPr>
        <w:jc w:val="center"/>
        <w:rPr>
          <w:rFonts w:ascii="方正小标宋简体" w:eastAsia="方正小标宋简体"/>
          <w:b/>
          <w:sz w:val="44"/>
          <w:szCs w:val="44"/>
        </w:rPr>
      </w:pPr>
      <w:r>
        <w:rPr>
          <w:rFonts w:hint="eastAsia" w:ascii="方正小标宋简体" w:eastAsia="方正小标宋简体"/>
          <w:b/>
          <w:sz w:val="44"/>
          <w:szCs w:val="44"/>
        </w:rPr>
        <w:t>20</w:t>
      </w:r>
      <w:r>
        <w:rPr>
          <w:rFonts w:hint="eastAsia" w:ascii="方正小标宋简体" w:eastAsia="方正小标宋简体"/>
          <w:b/>
          <w:sz w:val="44"/>
          <w:szCs w:val="44"/>
          <w:lang w:val="en-US" w:eastAsia="zh-CN"/>
        </w:rPr>
        <w:t>25</w:t>
      </w:r>
      <w:r>
        <w:rPr>
          <w:rFonts w:hint="eastAsia" w:ascii="方正小标宋简体" w:eastAsia="方正小标宋简体"/>
          <w:b/>
          <w:sz w:val="44"/>
          <w:szCs w:val="44"/>
        </w:rPr>
        <w:t>年部门预算情况说明</w:t>
      </w:r>
    </w:p>
    <w:p w14:paraId="00DBCEC5">
      <w:pPr>
        <w:rPr>
          <w:rFonts w:ascii="黑体" w:hAnsi="黑体" w:eastAsia="黑体"/>
          <w:b/>
          <w:sz w:val="32"/>
          <w:szCs w:val="32"/>
        </w:rPr>
      </w:pPr>
      <w:r>
        <w:rPr>
          <w:rFonts w:hint="eastAsia" w:ascii="黑体" w:hAnsi="黑体" w:eastAsia="黑体"/>
          <w:b/>
          <w:sz w:val="32"/>
          <w:szCs w:val="32"/>
        </w:rPr>
        <w:t xml:space="preserve">    一、预算收支情况说明</w:t>
      </w:r>
    </w:p>
    <w:p w14:paraId="77A5A6ED">
      <w:pPr>
        <w:ind w:firstLine="642"/>
        <w:rPr>
          <w:rFonts w:hint="eastAsia" w:ascii="仿宋_GB2312" w:eastAsia="仿宋_GB2312" w:hAnsiTheme="majorEastAsia"/>
          <w:sz w:val="32"/>
          <w:szCs w:val="32"/>
        </w:rPr>
      </w:pPr>
      <w:r>
        <w:rPr>
          <w:rFonts w:hint="eastAsia" w:ascii="仿宋_GB2312" w:eastAsia="仿宋_GB2312" w:hAnsiTheme="majorEastAsia"/>
          <w:sz w:val="32"/>
          <w:szCs w:val="32"/>
        </w:rPr>
        <w:t>按照综合预算的原则，</w:t>
      </w:r>
      <w:r>
        <w:rPr>
          <w:rFonts w:hint="eastAsia" w:ascii="仿宋_GB2312" w:eastAsia="仿宋_GB2312" w:hAnsiTheme="majorEastAsia"/>
          <w:sz w:val="32"/>
          <w:szCs w:val="32"/>
          <w:lang w:eastAsia="zh-CN"/>
        </w:rPr>
        <w:t>中共理塘县委党校</w:t>
      </w:r>
      <w:r>
        <w:rPr>
          <w:rFonts w:hint="eastAsia" w:ascii="仿宋_GB2312" w:eastAsia="仿宋_GB2312" w:hAnsiTheme="majorEastAsia"/>
          <w:sz w:val="32"/>
          <w:szCs w:val="32"/>
        </w:rPr>
        <w:t>所有收入和支出均纳入部门预算管理。收入包括：一般公共预算拨款收入、其他收入和上年结转；支出包括：一般公共服务支出、教育支出、社会保障和就业支出、卫生健康指出、住房保障支出。</w:t>
      </w:r>
      <w:r>
        <w:rPr>
          <w:rFonts w:hint="eastAsia" w:ascii="仿宋_GB2312" w:eastAsia="仿宋_GB2312" w:hAnsiTheme="majorEastAsia"/>
          <w:sz w:val="32"/>
          <w:szCs w:val="32"/>
          <w:lang w:eastAsia="zh-CN"/>
        </w:rPr>
        <w:t>中共理塘县委党校</w:t>
      </w:r>
      <w:r>
        <w:rPr>
          <w:rFonts w:hint="eastAsia" w:ascii="仿宋_GB2312" w:eastAsia="仿宋_GB2312" w:hAnsiTheme="majorEastAsia"/>
          <w:sz w:val="32"/>
          <w:szCs w:val="32"/>
        </w:rPr>
        <w:t>20</w:t>
      </w:r>
      <w:r>
        <w:rPr>
          <w:rFonts w:hint="eastAsia" w:ascii="仿宋_GB2312" w:eastAsia="仿宋_GB2312" w:hAnsiTheme="majorEastAsia"/>
          <w:sz w:val="32"/>
          <w:szCs w:val="32"/>
          <w:lang w:val="en-US" w:eastAsia="zh-CN"/>
        </w:rPr>
        <w:t>26</w:t>
      </w:r>
      <w:r>
        <w:rPr>
          <w:rFonts w:hint="eastAsia" w:ascii="仿宋_GB2312" w:eastAsia="仿宋_GB2312" w:hAnsiTheme="majorEastAsia"/>
          <w:sz w:val="32"/>
          <w:szCs w:val="32"/>
        </w:rPr>
        <w:t>年收支预算总数 746.57万元，无上年同口径对比增减，主要原因是本年度预算根据机构正常运转、干部教育培训核心工作需求及财政核定标准编制，收支规模保持稳定。</w:t>
      </w:r>
    </w:p>
    <w:p w14:paraId="206B8DB6">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楷体_GB2312" w:eastAsia="楷体_GB2312" w:hAnsiTheme="majorEastAsia"/>
          <w:sz w:val="32"/>
          <w:szCs w:val="32"/>
        </w:rPr>
      </w:pPr>
      <w:r>
        <w:rPr>
          <w:rFonts w:hint="eastAsia" w:ascii="楷体_GB2312" w:eastAsia="楷体_GB2312" w:hAnsiTheme="majorEastAsia"/>
          <w:sz w:val="32"/>
          <w:szCs w:val="32"/>
          <w:lang w:eastAsia="zh-CN"/>
        </w:rPr>
        <w:t>（一）</w:t>
      </w:r>
      <w:r>
        <w:rPr>
          <w:rFonts w:hint="eastAsia" w:ascii="楷体_GB2312" w:eastAsia="楷体_GB2312" w:hAnsiTheme="majorEastAsia"/>
          <w:sz w:val="32"/>
          <w:szCs w:val="32"/>
        </w:rPr>
        <w:t>收入预算情况</w:t>
      </w:r>
    </w:p>
    <w:p w14:paraId="4B7C2FA1">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ascii="仿宋_GB2312" w:eastAsia="仿宋_GB2312" w:hAnsiTheme="majorEastAsia"/>
          <w:sz w:val="32"/>
          <w:szCs w:val="32"/>
        </w:rPr>
      </w:pPr>
      <w:r>
        <w:rPr>
          <w:rFonts w:hint="eastAsia" w:ascii="仿宋_GB2312" w:eastAsia="仿宋_GB2312" w:hAnsiTheme="majorEastAsia"/>
          <w:sz w:val="32"/>
          <w:szCs w:val="32"/>
        </w:rPr>
        <w:t>202</w:t>
      </w:r>
      <w:r>
        <w:rPr>
          <w:rFonts w:hint="eastAsia" w:ascii="仿宋_GB2312" w:eastAsia="仿宋_GB2312" w:hAnsiTheme="majorEastAsia"/>
          <w:sz w:val="32"/>
          <w:szCs w:val="32"/>
          <w:lang w:val="en-US" w:eastAsia="zh-CN"/>
        </w:rPr>
        <w:t>6</w:t>
      </w:r>
      <w:r>
        <w:rPr>
          <w:rFonts w:hint="eastAsia" w:ascii="仿宋_GB2312" w:eastAsia="仿宋_GB2312" w:hAnsiTheme="majorEastAsia"/>
          <w:sz w:val="32"/>
          <w:szCs w:val="32"/>
        </w:rPr>
        <w:t>年预算收入总数746.57万元，其中：上年结转300.00万元，占总收入的40.18%；一般公共预算拨款收入446.57万元，占总收入的59.82%；政府性基金预算拨款收入</w:t>
      </w:r>
      <w:r>
        <w:rPr>
          <w:rFonts w:hint="eastAsia" w:ascii="仿宋_GB2312" w:eastAsia="仿宋_GB2312" w:hAnsiTheme="majorEastAsia"/>
          <w:sz w:val="32"/>
          <w:szCs w:val="32"/>
          <w:lang w:val="en-US" w:eastAsia="zh-CN"/>
        </w:rPr>
        <w:t>0</w:t>
      </w:r>
      <w:r>
        <w:rPr>
          <w:rFonts w:hint="eastAsia" w:ascii="仿宋_GB2312" w:eastAsia="仿宋_GB2312" w:hAnsiTheme="majorEastAsia"/>
          <w:sz w:val="32"/>
          <w:szCs w:val="32"/>
        </w:rPr>
        <w:t>万元,占</w:t>
      </w:r>
      <w:r>
        <w:rPr>
          <w:rFonts w:hint="eastAsia" w:ascii="仿宋_GB2312" w:eastAsia="仿宋_GB2312" w:hAnsiTheme="majorEastAsia"/>
          <w:sz w:val="32"/>
          <w:szCs w:val="32"/>
          <w:lang w:val="en-US" w:eastAsia="zh-CN"/>
        </w:rPr>
        <w:t>0</w:t>
      </w:r>
      <w:r>
        <w:rPr>
          <w:rFonts w:hint="eastAsia" w:ascii="仿宋_GB2312" w:eastAsia="仿宋_GB2312" w:hAnsiTheme="majorEastAsia"/>
          <w:sz w:val="32"/>
          <w:szCs w:val="32"/>
        </w:rPr>
        <w:t>%;国有资本经营预算拨款收入</w:t>
      </w:r>
      <w:r>
        <w:rPr>
          <w:rFonts w:hint="eastAsia" w:ascii="仿宋_GB2312" w:eastAsia="仿宋_GB2312" w:hAnsiTheme="majorEastAsia"/>
          <w:sz w:val="32"/>
          <w:szCs w:val="32"/>
          <w:lang w:val="en-US" w:eastAsia="zh-CN"/>
        </w:rPr>
        <w:t>0</w:t>
      </w:r>
      <w:r>
        <w:rPr>
          <w:rFonts w:hint="eastAsia" w:ascii="仿宋_GB2312" w:eastAsia="仿宋_GB2312" w:hAnsiTheme="majorEastAsia"/>
          <w:sz w:val="32"/>
          <w:szCs w:val="32"/>
        </w:rPr>
        <w:t>万元,占</w:t>
      </w:r>
      <w:r>
        <w:rPr>
          <w:rFonts w:hint="eastAsia" w:ascii="仿宋_GB2312" w:eastAsia="仿宋_GB2312" w:hAnsiTheme="majorEastAsia"/>
          <w:sz w:val="32"/>
          <w:szCs w:val="32"/>
          <w:lang w:val="en-US" w:eastAsia="zh-CN"/>
        </w:rPr>
        <w:t>0</w:t>
      </w:r>
      <w:r>
        <w:rPr>
          <w:rFonts w:hint="eastAsia" w:ascii="仿宋_GB2312" w:eastAsia="仿宋_GB2312" w:hAnsiTheme="majorEastAsia"/>
          <w:sz w:val="32"/>
          <w:szCs w:val="32"/>
        </w:rPr>
        <w:t>%;其他收入</w:t>
      </w:r>
      <w:r>
        <w:rPr>
          <w:rFonts w:hint="eastAsia" w:ascii="仿宋_GB2312" w:eastAsia="仿宋_GB2312" w:hAnsiTheme="majorEastAsia"/>
          <w:sz w:val="32"/>
          <w:szCs w:val="32"/>
          <w:lang w:val="en-US" w:eastAsia="zh-CN"/>
        </w:rPr>
        <w:t>0</w:t>
      </w:r>
      <w:r>
        <w:rPr>
          <w:rFonts w:hint="eastAsia" w:ascii="仿宋_GB2312" w:eastAsia="仿宋_GB2312" w:hAnsiTheme="majorEastAsia"/>
          <w:sz w:val="32"/>
          <w:szCs w:val="32"/>
        </w:rPr>
        <w:t>万元，占</w:t>
      </w:r>
      <w:r>
        <w:rPr>
          <w:rFonts w:hint="eastAsia" w:ascii="仿宋_GB2312" w:eastAsia="仿宋_GB2312" w:hAnsiTheme="majorEastAsia"/>
          <w:sz w:val="32"/>
          <w:szCs w:val="32"/>
          <w:lang w:val="en-US" w:eastAsia="zh-CN"/>
        </w:rPr>
        <w:t>0</w:t>
      </w:r>
      <w:r>
        <w:rPr>
          <w:rFonts w:hint="eastAsia" w:ascii="仿宋_GB2312" w:eastAsia="仿宋_GB2312" w:hAnsiTheme="majorEastAsia"/>
          <w:sz w:val="32"/>
          <w:szCs w:val="32"/>
        </w:rPr>
        <w:t>%。</w:t>
      </w:r>
    </w:p>
    <w:p w14:paraId="5F2FC6DA">
      <w:pPr>
        <w:keepNext w:val="0"/>
        <w:keepLines w:val="0"/>
        <w:pageBreakBefore w:val="0"/>
        <w:kinsoku/>
        <w:wordWrap/>
        <w:overflowPunct/>
        <w:topLinePunct w:val="0"/>
        <w:autoSpaceDE/>
        <w:autoSpaceDN/>
        <w:bidi w:val="0"/>
        <w:adjustRightInd/>
        <w:snapToGrid/>
        <w:ind w:firstLine="640" w:firstLineChars="200"/>
        <w:jc w:val="left"/>
        <w:textAlignment w:val="auto"/>
        <w:rPr>
          <w:rFonts w:ascii="仿宋_GB2312" w:eastAsia="仿宋_GB2312" w:hAnsiTheme="majorEastAsia"/>
          <w:sz w:val="32"/>
          <w:szCs w:val="32"/>
        </w:rPr>
      </w:pPr>
      <w:r>
        <w:rPr>
          <w:rFonts w:hint="eastAsia" w:ascii="楷体_GB2312" w:eastAsia="楷体_GB2312" w:hAnsiTheme="majorEastAsia"/>
          <w:sz w:val="32"/>
          <w:szCs w:val="32"/>
        </w:rPr>
        <w:t>(二)支出预算情况</w:t>
      </w:r>
    </w:p>
    <w:p w14:paraId="134E5A6E">
      <w:pPr>
        <w:pStyle w:val="16"/>
        <w:keepNext w:val="0"/>
        <w:keepLines w:val="0"/>
        <w:pageBreakBefore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_GB2312" w:eastAsia="仿宋_GB2312" w:hAnsiTheme="majorEastAsia"/>
          <w:sz w:val="32"/>
          <w:szCs w:val="32"/>
        </w:rPr>
      </w:pPr>
      <w:r>
        <w:rPr>
          <w:rFonts w:hint="eastAsia" w:ascii="仿宋_GB2312" w:eastAsia="仿宋_GB2312" w:hAnsiTheme="majorEastAsia"/>
          <w:sz w:val="32"/>
          <w:szCs w:val="32"/>
        </w:rPr>
        <w:t>2026年部门预算支出总数746.57万元，其中：基本支出446.57万元，占总支出的59.82%，主要用于保障机构正常运转、完成日常工作任务的人员支出和公用支出；项目支出300.00万元，占总支出的40.18%，主要用于干部教育培训机构质量提升专项工作。</w:t>
      </w:r>
    </w:p>
    <w:p w14:paraId="3EA0A6A1">
      <w:pPr>
        <w:rPr>
          <w:rFonts w:ascii="黑体" w:hAnsi="黑体" w:eastAsia="黑体"/>
          <w:b/>
          <w:sz w:val="32"/>
          <w:szCs w:val="32"/>
        </w:rPr>
      </w:pPr>
      <w:r>
        <w:rPr>
          <w:rFonts w:hint="eastAsia" w:ascii="黑体" w:hAnsi="黑体" w:eastAsia="黑体"/>
          <w:b/>
          <w:sz w:val="32"/>
          <w:szCs w:val="32"/>
        </w:rPr>
        <w:t xml:space="preserve">    二、财政拨款收支预算情况说明</w:t>
      </w:r>
    </w:p>
    <w:p w14:paraId="3F5EFD31">
      <w:pPr>
        <w:pStyle w:val="16"/>
        <w:ind w:firstLine="640"/>
        <w:jc w:val="both"/>
        <w:rPr>
          <w:rFonts w:hint="eastAsia" w:ascii="仿宋_GB2312" w:eastAsia="仿宋_GB2312" w:hAnsiTheme="majorEastAsia"/>
          <w:sz w:val="32"/>
          <w:szCs w:val="32"/>
        </w:rPr>
      </w:pPr>
      <w:r>
        <w:rPr>
          <w:rFonts w:hint="eastAsia" w:ascii="仿宋_GB2312" w:eastAsia="仿宋_GB2312" w:hAnsiTheme="majorEastAsia"/>
          <w:sz w:val="32"/>
          <w:szCs w:val="32"/>
        </w:rPr>
        <w:t>2026年财政拨款收支总预算746.57万元，无上年同口径增减，主要原因是财政拨款根据党校年度工作任务、人员编制及资产配置情况核定，规模保持稳定。</w:t>
      </w:r>
    </w:p>
    <w:p w14:paraId="4B332358">
      <w:pPr>
        <w:pStyle w:val="16"/>
        <w:ind w:firstLine="640"/>
        <w:jc w:val="both"/>
        <w:rPr>
          <w:rFonts w:hint="eastAsia" w:ascii="仿宋_GB2312" w:eastAsia="仿宋_GB2312" w:hAnsiTheme="majorEastAsia"/>
          <w:sz w:val="32"/>
          <w:szCs w:val="32"/>
        </w:rPr>
      </w:pPr>
      <w:r>
        <w:rPr>
          <w:rFonts w:hint="eastAsia" w:ascii="仿宋_GB2312" w:eastAsia="仿宋_GB2312" w:hAnsiTheme="majorEastAsia"/>
          <w:sz w:val="32"/>
          <w:szCs w:val="32"/>
        </w:rPr>
        <w:t>收入包括：本年一般公共预算拨款收入446.57万元、上年结转一般公共预算拨款收入300.00万元；无政府性基金预算拨款、国有资本经营预算拨款收入。</w:t>
      </w:r>
    </w:p>
    <w:p w14:paraId="769F5246">
      <w:pPr>
        <w:pStyle w:val="16"/>
        <w:ind w:firstLine="640"/>
        <w:jc w:val="both"/>
        <w:rPr>
          <w:rFonts w:hint="eastAsia" w:ascii="仿宋_GB2312" w:eastAsia="仿宋_GB2312" w:hAnsiTheme="majorEastAsia"/>
          <w:sz w:val="32"/>
          <w:szCs w:val="32"/>
        </w:rPr>
      </w:pPr>
      <w:r>
        <w:rPr>
          <w:rFonts w:hint="eastAsia" w:ascii="仿宋_GB2312" w:eastAsia="仿宋_GB2312" w:hAnsiTheme="majorEastAsia"/>
          <w:sz w:val="32"/>
          <w:szCs w:val="32"/>
        </w:rPr>
        <w:t>支出包括：一般公共服务支出300.00万元、教育支出331.72万元、社会保障和就业支出57.61万元、卫生健康支出17.20万元、住房保障支出40.04万元。</w:t>
      </w:r>
    </w:p>
    <w:p w14:paraId="2A581BFB">
      <w:pPr>
        <w:rPr>
          <w:rFonts w:ascii="仿宋_GB2312" w:eastAsia="仿宋_GB2312" w:hAnsiTheme="majorEastAsia"/>
          <w:sz w:val="32"/>
          <w:szCs w:val="32"/>
        </w:rPr>
      </w:pPr>
    </w:p>
    <w:p w14:paraId="081D9FC7">
      <w:pPr>
        <w:numPr>
          <w:ilvl w:val="0"/>
          <w:numId w:val="1"/>
        </w:numPr>
        <w:ind w:left="642" w:leftChars="0" w:firstLine="0" w:firstLineChars="0"/>
        <w:rPr>
          <w:rFonts w:hint="eastAsia" w:ascii="黑体" w:hAnsi="黑体" w:eastAsia="黑体"/>
          <w:b/>
          <w:sz w:val="32"/>
          <w:szCs w:val="32"/>
        </w:rPr>
      </w:pPr>
      <w:r>
        <w:rPr>
          <w:rFonts w:hint="eastAsia" w:ascii="黑体" w:hAnsi="黑体" w:eastAsia="黑体"/>
          <w:b/>
          <w:sz w:val="32"/>
          <w:szCs w:val="32"/>
        </w:rPr>
        <w:t>一般公共预算当年拨款情况说明</w:t>
      </w:r>
    </w:p>
    <w:p w14:paraId="698F0687">
      <w:pPr>
        <w:numPr>
          <w:ilvl w:val="0"/>
          <w:numId w:val="0"/>
        </w:numPr>
        <w:ind w:left="642" w:leftChars="0"/>
        <w:rPr>
          <w:rFonts w:ascii="楷体_GB2312" w:eastAsia="楷体_GB2312" w:hAnsiTheme="majorEastAsia"/>
          <w:sz w:val="32"/>
          <w:szCs w:val="32"/>
        </w:rPr>
      </w:pPr>
      <w:r>
        <w:rPr>
          <w:rFonts w:hint="eastAsia" w:ascii="楷体_GB2312" w:eastAsia="楷体_GB2312" w:hAnsiTheme="majorEastAsia"/>
          <w:sz w:val="32"/>
          <w:szCs w:val="32"/>
        </w:rPr>
        <w:t>（一）一般公共预算当年拨款规模变化情况。</w:t>
      </w:r>
    </w:p>
    <w:p w14:paraId="5BBF3030">
      <w:pPr>
        <w:pStyle w:val="16"/>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eastAsia="仿宋_GB2312" w:cs="Times New Roman" w:hAnsiTheme="majorEastAsia"/>
          <w:kern w:val="2"/>
          <w:sz w:val="32"/>
          <w:szCs w:val="32"/>
          <w:lang w:val="en-US" w:eastAsia="zh-CN" w:bidi="ar-SA"/>
        </w:rPr>
      </w:pPr>
      <w:r>
        <w:rPr>
          <w:rFonts w:hint="eastAsia" w:ascii="仿宋_GB2312" w:eastAsia="仿宋_GB2312" w:hAnsiTheme="majorEastAsia"/>
          <w:sz w:val="32"/>
          <w:szCs w:val="32"/>
        </w:rPr>
        <w:t xml:space="preserve"> </w:t>
      </w:r>
      <w:r>
        <w:rPr>
          <w:rFonts w:hint="eastAsia" w:ascii="仿宋_GB2312" w:eastAsia="仿宋_GB2312" w:cs="Times New Roman" w:hAnsiTheme="majorEastAsia"/>
          <w:kern w:val="2"/>
          <w:sz w:val="32"/>
          <w:szCs w:val="32"/>
          <w:lang w:val="en-US" w:eastAsia="zh-CN" w:bidi="ar-SA"/>
        </w:rPr>
        <w:t>2026年一般公共预算当年拨款446.57万元，无上年预算数增减，主要原因是财政按人员经费、公用经费核定标准足额保障，拨款规模与机构正常运转需求匹配。</w:t>
      </w:r>
    </w:p>
    <w:p w14:paraId="655CB6AD">
      <w:pPr>
        <w:ind w:firstLine="640"/>
        <w:rPr>
          <w:rFonts w:ascii="仿宋_GB2312" w:eastAsia="仿宋_GB2312" w:hAnsiTheme="majorEastAsia"/>
          <w:b/>
          <w:sz w:val="32"/>
          <w:szCs w:val="32"/>
        </w:rPr>
      </w:pPr>
    </w:p>
    <w:p w14:paraId="067732EA">
      <w:pPr>
        <w:ind w:firstLine="640" w:firstLineChars="200"/>
        <w:rPr>
          <w:rFonts w:ascii="楷体_GB2312" w:eastAsia="楷体_GB2312" w:hAnsiTheme="majorEastAsia"/>
          <w:sz w:val="32"/>
          <w:szCs w:val="32"/>
        </w:rPr>
      </w:pPr>
      <w:r>
        <w:rPr>
          <w:rFonts w:hint="eastAsia" w:ascii="楷体_GB2312" w:eastAsia="楷体_GB2312" w:hAnsiTheme="majorEastAsia"/>
          <w:sz w:val="32"/>
          <w:szCs w:val="32"/>
        </w:rPr>
        <w:t>（二）一般公共预算当年拨款结构情况</w:t>
      </w:r>
    </w:p>
    <w:p w14:paraId="193F3534">
      <w:pPr>
        <w:pStyle w:val="16"/>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eastAsia="仿宋_GB2312" w:cs="Times New Roman" w:hAnsiTheme="majorEastAsia"/>
          <w:kern w:val="2"/>
          <w:sz w:val="32"/>
          <w:szCs w:val="32"/>
          <w:lang w:val="en-US" w:eastAsia="zh-CN" w:bidi="ar-SA"/>
        </w:rPr>
      </w:pPr>
      <w:r>
        <w:rPr>
          <w:rFonts w:hint="eastAsia" w:ascii="仿宋_GB2312" w:eastAsia="仿宋_GB2312" w:cs="Times New Roman" w:hAnsiTheme="majorEastAsia"/>
          <w:kern w:val="2"/>
          <w:sz w:val="32"/>
          <w:szCs w:val="32"/>
          <w:lang w:val="en-US" w:eastAsia="zh-CN" w:bidi="ar-SA"/>
        </w:rPr>
        <w:t>教育支出331.72万元，占当年一般公共预算拨款的74.28%；社会保障和就业支出57.61万元，占当年一般公共预算拨款的12.90%；卫生健康支出17.20万元，占当年一般公共预算拨款的3.85%；住房保障支出40.04万元，占当年一般公共预算拨款的8.97%。</w:t>
      </w:r>
    </w:p>
    <w:p w14:paraId="3953B707">
      <w:pPr>
        <w:ind w:firstLine="640" w:firstLineChars="200"/>
        <w:rPr>
          <w:rFonts w:ascii="楷体_GB2312" w:eastAsia="楷体_GB2312" w:hAnsiTheme="majorEastAsia"/>
          <w:sz w:val="32"/>
          <w:szCs w:val="32"/>
        </w:rPr>
      </w:pPr>
      <w:r>
        <w:rPr>
          <w:rFonts w:hint="eastAsia" w:ascii="楷体_GB2312" w:eastAsia="楷体_GB2312" w:hAnsiTheme="majorEastAsia"/>
          <w:sz w:val="32"/>
          <w:szCs w:val="32"/>
        </w:rPr>
        <w:t>（三）一般公共预算当年拨款具体使用情况</w:t>
      </w:r>
    </w:p>
    <w:p w14:paraId="4B982F93">
      <w:pPr>
        <w:rPr>
          <w:rFonts w:ascii="仿宋_GB2312" w:eastAsia="仿宋_GB2312" w:hAnsiTheme="majorEastAsia"/>
          <w:sz w:val="32"/>
          <w:szCs w:val="32"/>
        </w:rPr>
      </w:pPr>
      <w:r>
        <w:rPr>
          <w:rFonts w:hint="eastAsia" w:ascii="仿宋_GB2312" w:eastAsia="仿宋_GB2312" w:hAnsiTheme="majorEastAsia"/>
          <w:sz w:val="32"/>
          <w:szCs w:val="32"/>
        </w:rPr>
        <w:t xml:space="preserve">     1.</w:t>
      </w:r>
      <w:r>
        <w:rPr>
          <w:rFonts w:ascii="宋体" w:hAnsi="宋体" w:eastAsia="宋体" w:cs="宋体"/>
          <w:sz w:val="32"/>
          <w:szCs w:val="32"/>
        </w:rPr>
        <w:t>教育支出</w:t>
      </w:r>
      <w:r>
        <w:rPr>
          <w:rStyle w:val="10"/>
          <w:rFonts w:hint="eastAsia" w:ascii="宋体" w:hAnsi="宋体" w:eastAsia="宋体" w:cs="宋体"/>
          <w:bCs/>
          <w:color w:val="auto"/>
          <w:sz w:val="32"/>
          <w:szCs w:val="32"/>
          <w:highlight w:val="none"/>
        </w:rPr>
        <w:t>（类）</w:t>
      </w:r>
      <w:r>
        <w:rPr>
          <w:rFonts w:ascii="宋体" w:hAnsi="宋体" w:eastAsia="宋体" w:cs="宋体"/>
          <w:sz w:val="32"/>
          <w:szCs w:val="32"/>
        </w:rPr>
        <w:t>进修及培训</w:t>
      </w:r>
      <w:r>
        <w:rPr>
          <w:rStyle w:val="10"/>
          <w:rFonts w:hint="eastAsia" w:ascii="宋体" w:hAnsi="宋体" w:eastAsia="宋体" w:cs="宋体"/>
          <w:bCs/>
          <w:color w:val="auto"/>
          <w:sz w:val="32"/>
          <w:szCs w:val="32"/>
          <w:highlight w:val="none"/>
        </w:rPr>
        <w:t>（款）</w:t>
      </w:r>
      <w:r>
        <w:rPr>
          <w:rFonts w:hint="eastAsia" w:ascii="宋体" w:hAnsi="宋体" w:cs="宋体"/>
          <w:sz w:val="32"/>
          <w:szCs w:val="32"/>
          <w:lang w:eastAsia="zh-CN"/>
        </w:rPr>
        <w:t>干部培训</w:t>
      </w:r>
      <w:r>
        <w:rPr>
          <w:rStyle w:val="10"/>
          <w:rFonts w:hint="eastAsia" w:ascii="宋体" w:hAnsi="宋体" w:eastAsia="宋体" w:cs="宋体"/>
          <w:bCs/>
          <w:color w:val="auto"/>
          <w:sz w:val="32"/>
          <w:szCs w:val="32"/>
          <w:highlight w:val="none"/>
        </w:rPr>
        <w:t>（项）</w:t>
      </w:r>
      <w:r>
        <w:rPr>
          <w:rStyle w:val="10"/>
          <w:rFonts w:hint="eastAsia" w:ascii="宋体" w:hAnsi="宋体" w:cs="宋体"/>
          <w:bCs/>
          <w:color w:val="auto"/>
          <w:sz w:val="32"/>
          <w:szCs w:val="32"/>
          <w:highlight w:val="none"/>
          <w:lang w:eastAsia="zh-CN"/>
        </w:rPr>
        <w:t>：</w:t>
      </w:r>
      <w:r>
        <w:rPr>
          <w:rFonts w:hint="eastAsia" w:ascii="仿宋_GB2312" w:eastAsia="仿宋_GB2312" w:hAnsiTheme="majorEastAsia"/>
          <w:sz w:val="32"/>
          <w:szCs w:val="32"/>
          <w:lang w:eastAsia="zh-CN"/>
        </w:rPr>
        <w:t>2026年预算数为331.72万元，</w:t>
      </w:r>
      <w:r>
        <w:rPr>
          <w:rFonts w:hint="eastAsia" w:ascii="仿宋_GB2312" w:eastAsia="仿宋_GB2312" w:hAnsiTheme="majorEastAsia"/>
          <w:sz w:val="32"/>
          <w:szCs w:val="32"/>
        </w:rPr>
        <w:t>主要用于</w:t>
      </w:r>
      <w:r>
        <w:rPr>
          <w:rFonts w:hint="eastAsia" w:ascii="仿宋_GB2312" w:eastAsia="仿宋_GB2312" w:hAnsiTheme="majorEastAsia"/>
          <w:sz w:val="32"/>
          <w:szCs w:val="32"/>
          <w:lang w:eastAsia="zh-CN"/>
        </w:rPr>
        <w:t>工资、五险一金、公用经费</w:t>
      </w:r>
      <w:r>
        <w:rPr>
          <w:rFonts w:hint="eastAsia" w:ascii="仿宋_GB2312" w:eastAsia="仿宋_GB2312" w:hAnsiTheme="majorEastAsia"/>
          <w:sz w:val="32"/>
          <w:szCs w:val="32"/>
        </w:rPr>
        <w:t>支出，包括</w:t>
      </w:r>
      <w:r>
        <w:rPr>
          <w:rFonts w:hint="eastAsia" w:ascii="仿宋_GB2312" w:eastAsia="仿宋_GB2312" w:hAnsiTheme="majorEastAsia"/>
          <w:sz w:val="32"/>
          <w:szCs w:val="32"/>
          <w:lang w:eastAsia="zh-CN"/>
        </w:rPr>
        <w:t>工资、五险一金、办公费、印刷费、邮电费、差旅费、电费、手续费、水费、公务用车运行维护费、维修费、培训费、公务接待费、维稳经费、工会费、福利费及其他商品和服务支出</w:t>
      </w:r>
      <w:r>
        <w:rPr>
          <w:rFonts w:hint="eastAsia" w:ascii="仿宋_GB2312" w:eastAsia="仿宋_GB2312" w:hAnsiTheme="majorEastAsia"/>
          <w:sz w:val="32"/>
          <w:szCs w:val="32"/>
        </w:rPr>
        <w:t>。</w:t>
      </w:r>
    </w:p>
    <w:p w14:paraId="0479BEFC">
      <w:pPr>
        <w:pStyle w:val="16"/>
        <w:keepNext w:val="0"/>
        <w:keepLines w:val="0"/>
        <w:pageBreakBefore w:val="0"/>
        <w:widowControl/>
        <w:numPr>
          <w:ilvl w:val="0"/>
          <w:numId w:val="0"/>
        </w:numPr>
        <w:kinsoku/>
        <w:wordWrap/>
        <w:overflowPunct/>
        <w:topLinePunct w:val="0"/>
        <w:autoSpaceDE/>
        <w:autoSpaceDN/>
        <w:bidi w:val="0"/>
        <w:adjustRightInd/>
        <w:snapToGrid/>
        <w:ind w:leftChars="0" w:firstLine="643" w:firstLineChars="200"/>
        <w:jc w:val="both"/>
        <w:textAlignment w:val="auto"/>
        <w:rPr>
          <w:rStyle w:val="10"/>
          <w:rFonts w:hint="eastAsia" w:ascii="仿宋" w:hAnsi="仿宋" w:eastAsia="仿宋" w:cs="Times New Roman"/>
          <w:b w:val="0"/>
          <w:bCs w:val="0"/>
          <w:color w:val="auto"/>
          <w:kern w:val="2"/>
          <w:sz w:val="32"/>
          <w:szCs w:val="32"/>
          <w:highlight w:val="none"/>
          <w:lang w:val="en-US" w:eastAsia="zh-CN" w:bidi="ar-SA"/>
        </w:rPr>
      </w:pPr>
      <w:r>
        <w:rPr>
          <w:rStyle w:val="10"/>
          <w:rFonts w:hint="eastAsia" w:ascii="仿宋" w:hAnsi="仿宋" w:eastAsia="仿宋" w:cs="Times New Roman"/>
          <w:b/>
          <w:bCs/>
          <w:color w:val="auto"/>
          <w:kern w:val="2"/>
          <w:sz w:val="32"/>
          <w:szCs w:val="32"/>
          <w:highlight w:val="none"/>
          <w:lang w:val="en-US" w:eastAsia="zh-CN" w:bidi="ar-SA"/>
        </w:rPr>
        <w:t>2.教育支出（类）进修及培训（款）干部教育（项）：</w:t>
      </w:r>
      <w:r>
        <w:rPr>
          <w:rStyle w:val="10"/>
          <w:rFonts w:hint="eastAsia" w:ascii="仿宋" w:hAnsi="仿宋" w:eastAsia="仿宋" w:cs="Times New Roman"/>
          <w:b w:val="0"/>
          <w:bCs w:val="0"/>
          <w:color w:val="auto"/>
          <w:kern w:val="2"/>
          <w:sz w:val="32"/>
          <w:szCs w:val="32"/>
          <w:highlight w:val="none"/>
          <w:lang w:val="en-US" w:eastAsia="zh-CN" w:bidi="ar-SA"/>
        </w:rPr>
        <w:t>2026年预算数为331.72万元，主要用于党校开展干部教育培训工作的人员经费、日常公用经费支出，包括基本工资、津贴补贴、绩效工资、办公费、邮电费、公务用车运行维护费、公务接待费等，保障干部教育培训主责主业开展。</w:t>
      </w:r>
    </w:p>
    <w:p w14:paraId="6F696107">
      <w:pPr>
        <w:pStyle w:val="16"/>
        <w:keepNext w:val="0"/>
        <w:keepLines w:val="0"/>
        <w:pageBreakBefore w:val="0"/>
        <w:widowControl/>
        <w:numPr>
          <w:ilvl w:val="0"/>
          <w:numId w:val="0"/>
        </w:numPr>
        <w:kinsoku/>
        <w:wordWrap/>
        <w:overflowPunct/>
        <w:topLinePunct w:val="0"/>
        <w:autoSpaceDE/>
        <w:autoSpaceDN/>
        <w:bidi w:val="0"/>
        <w:adjustRightInd/>
        <w:snapToGrid/>
        <w:ind w:leftChars="0" w:firstLine="643" w:firstLineChars="200"/>
        <w:jc w:val="both"/>
        <w:textAlignment w:val="auto"/>
        <w:rPr>
          <w:rStyle w:val="10"/>
          <w:rFonts w:hint="eastAsia" w:ascii="仿宋" w:hAnsi="仿宋" w:eastAsia="仿宋" w:cs="Times New Roman"/>
          <w:b w:val="0"/>
          <w:bCs w:val="0"/>
          <w:color w:val="auto"/>
          <w:kern w:val="2"/>
          <w:sz w:val="32"/>
          <w:szCs w:val="32"/>
          <w:highlight w:val="none"/>
          <w:lang w:val="en-US" w:eastAsia="zh-CN" w:bidi="ar-SA"/>
        </w:rPr>
      </w:pPr>
      <w:r>
        <w:rPr>
          <w:rStyle w:val="10"/>
          <w:rFonts w:hint="eastAsia" w:ascii="仿宋" w:hAnsi="仿宋" w:eastAsia="仿宋" w:cs="Times New Roman"/>
          <w:b/>
          <w:bCs/>
          <w:color w:val="auto"/>
          <w:kern w:val="2"/>
          <w:sz w:val="32"/>
          <w:szCs w:val="32"/>
          <w:highlight w:val="none"/>
          <w:lang w:val="en-US" w:eastAsia="zh-CN" w:bidi="ar-SA"/>
        </w:rPr>
        <w:t>3.社会保障和就业支出（类）行政事业单位养老支出（款）：</w:t>
      </w:r>
      <w:r>
        <w:rPr>
          <w:rStyle w:val="10"/>
          <w:rFonts w:hint="eastAsia" w:ascii="仿宋" w:hAnsi="仿宋" w:eastAsia="仿宋" w:cs="Times New Roman"/>
          <w:b w:val="0"/>
          <w:bCs w:val="0"/>
          <w:color w:val="auto"/>
          <w:kern w:val="2"/>
          <w:sz w:val="32"/>
          <w:szCs w:val="32"/>
          <w:highlight w:val="none"/>
          <w:lang w:val="en-US" w:eastAsia="zh-CN" w:bidi="ar-SA"/>
        </w:rPr>
        <w:t>2026年预算数为55.62万元，主要用于机关事业单位基本养老保险缴费支出、其他行政事业单位养老支出，保障干部职工养老保险待遇落实；</w:t>
      </w:r>
    </w:p>
    <w:p w14:paraId="12661339">
      <w:pPr>
        <w:pStyle w:val="16"/>
        <w:keepNext w:val="0"/>
        <w:keepLines w:val="0"/>
        <w:pageBreakBefore w:val="0"/>
        <w:widowControl/>
        <w:numPr>
          <w:ilvl w:val="0"/>
          <w:numId w:val="0"/>
        </w:numPr>
        <w:kinsoku/>
        <w:wordWrap/>
        <w:overflowPunct/>
        <w:topLinePunct w:val="0"/>
        <w:autoSpaceDE/>
        <w:autoSpaceDN/>
        <w:bidi w:val="0"/>
        <w:adjustRightInd/>
        <w:snapToGrid/>
        <w:ind w:leftChars="0" w:firstLine="643" w:firstLineChars="200"/>
        <w:jc w:val="both"/>
        <w:textAlignment w:val="auto"/>
        <w:rPr>
          <w:rStyle w:val="10"/>
          <w:rFonts w:hint="eastAsia" w:ascii="仿宋" w:hAnsi="仿宋" w:eastAsia="仿宋" w:cs="Times New Roman"/>
          <w:b w:val="0"/>
          <w:bCs w:val="0"/>
          <w:color w:val="auto"/>
          <w:kern w:val="2"/>
          <w:sz w:val="32"/>
          <w:szCs w:val="32"/>
          <w:highlight w:val="none"/>
          <w:lang w:val="en-US" w:eastAsia="zh-CN" w:bidi="ar-SA"/>
        </w:rPr>
      </w:pPr>
      <w:r>
        <w:rPr>
          <w:rStyle w:val="10"/>
          <w:rFonts w:hint="eastAsia" w:ascii="仿宋" w:hAnsi="仿宋" w:eastAsia="仿宋" w:cs="Times New Roman"/>
          <w:b/>
          <w:bCs/>
          <w:color w:val="auto"/>
          <w:kern w:val="2"/>
          <w:sz w:val="32"/>
          <w:szCs w:val="32"/>
          <w:highlight w:val="none"/>
          <w:lang w:val="en-US" w:eastAsia="zh-CN" w:bidi="ar-SA"/>
        </w:rPr>
        <w:t>4.社会保障和就业支出（类）其他社会保障和就业支出（款）：</w:t>
      </w:r>
      <w:r>
        <w:rPr>
          <w:rStyle w:val="10"/>
          <w:rFonts w:hint="eastAsia" w:ascii="仿宋" w:hAnsi="仿宋" w:eastAsia="仿宋" w:cs="Times New Roman"/>
          <w:b w:val="0"/>
          <w:bCs w:val="0"/>
          <w:color w:val="auto"/>
          <w:kern w:val="2"/>
          <w:sz w:val="32"/>
          <w:szCs w:val="32"/>
          <w:highlight w:val="none"/>
          <w:lang w:val="en-US" w:eastAsia="zh-CN" w:bidi="ar-SA"/>
        </w:rPr>
        <w:t>2026年预算数为1.99万元，主要用于其他社会保障缴费支出。</w:t>
      </w:r>
    </w:p>
    <w:p w14:paraId="10774CA4">
      <w:pPr>
        <w:pStyle w:val="16"/>
        <w:keepNext w:val="0"/>
        <w:keepLines w:val="0"/>
        <w:pageBreakBefore w:val="0"/>
        <w:widowControl/>
        <w:numPr>
          <w:ilvl w:val="0"/>
          <w:numId w:val="0"/>
        </w:numPr>
        <w:kinsoku/>
        <w:wordWrap/>
        <w:overflowPunct/>
        <w:topLinePunct w:val="0"/>
        <w:autoSpaceDE/>
        <w:autoSpaceDN/>
        <w:bidi w:val="0"/>
        <w:adjustRightInd/>
        <w:snapToGrid/>
        <w:ind w:leftChars="0" w:firstLine="643" w:firstLineChars="200"/>
        <w:jc w:val="both"/>
        <w:textAlignment w:val="auto"/>
        <w:rPr>
          <w:rStyle w:val="10"/>
          <w:rFonts w:hint="eastAsia" w:ascii="仿宋" w:hAnsi="仿宋" w:eastAsia="仿宋" w:cs="Times New Roman"/>
          <w:b w:val="0"/>
          <w:bCs w:val="0"/>
          <w:color w:val="auto"/>
          <w:kern w:val="2"/>
          <w:sz w:val="32"/>
          <w:szCs w:val="32"/>
          <w:highlight w:val="none"/>
          <w:lang w:val="en-US" w:eastAsia="zh-CN" w:bidi="ar-SA"/>
        </w:rPr>
      </w:pPr>
      <w:r>
        <w:rPr>
          <w:rStyle w:val="10"/>
          <w:rFonts w:hint="eastAsia" w:ascii="仿宋" w:hAnsi="仿宋" w:eastAsia="仿宋" w:cs="Times New Roman"/>
          <w:b/>
          <w:bCs/>
          <w:color w:val="auto"/>
          <w:kern w:val="2"/>
          <w:sz w:val="32"/>
          <w:szCs w:val="32"/>
          <w:highlight w:val="none"/>
          <w:lang w:val="en-US" w:eastAsia="zh-CN" w:bidi="ar-SA"/>
        </w:rPr>
        <w:t>5.卫生健康支出（类）行政事业单位医疗（款）：</w:t>
      </w:r>
      <w:r>
        <w:rPr>
          <w:rStyle w:val="10"/>
          <w:rFonts w:hint="eastAsia" w:ascii="仿宋" w:hAnsi="仿宋" w:eastAsia="仿宋" w:cs="Times New Roman"/>
          <w:b w:val="0"/>
          <w:bCs w:val="0"/>
          <w:color w:val="auto"/>
          <w:kern w:val="2"/>
          <w:sz w:val="32"/>
          <w:szCs w:val="32"/>
          <w:highlight w:val="none"/>
          <w:lang w:val="en-US" w:eastAsia="zh-CN" w:bidi="ar-SA"/>
        </w:rPr>
        <w:t>2026年预算数为17.20万元，主要用于行政单位医疗、事业单位医疗、公务员医疗补助支出，保障干部职工基本医疗待遇。</w:t>
      </w:r>
    </w:p>
    <w:p w14:paraId="1C10F572">
      <w:pPr>
        <w:keepNext w:val="0"/>
        <w:keepLines w:val="0"/>
        <w:pageBreakBefore w:val="0"/>
        <w:widowControl w:val="0"/>
        <w:kinsoku/>
        <w:wordWrap/>
        <w:overflowPunct/>
        <w:topLinePunct w:val="0"/>
        <w:autoSpaceDE/>
        <w:autoSpaceDN/>
        <w:bidi w:val="0"/>
        <w:adjustRightInd/>
        <w:snapToGrid/>
        <w:ind w:firstLine="643" w:firstLineChars="200"/>
        <w:textAlignment w:val="auto"/>
        <w:rPr>
          <w:rStyle w:val="10"/>
          <w:rFonts w:hint="eastAsia" w:ascii="仿宋" w:hAnsi="仿宋" w:eastAsia="仿宋" w:cs="Times New Roman"/>
          <w:b w:val="0"/>
          <w:bCs w:val="0"/>
          <w:color w:val="auto"/>
          <w:kern w:val="2"/>
          <w:sz w:val="32"/>
          <w:szCs w:val="32"/>
          <w:highlight w:val="none"/>
          <w:lang w:val="en-US" w:eastAsia="zh-CN" w:bidi="ar-SA"/>
        </w:rPr>
      </w:pPr>
      <w:r>
        <w:rPr>
          <w:rStyle w:val="10"/>
          <w:rFonts w:hint="eastAsia" w:ascii="仿宋" w:hAnsi="仿宋" w:eastAsia="仿宋" w:cs="Times New Roman"/>
          <w:b/>
          <w:bCs/>
          <w:color w:val="auto"/>
          <w:kern w:val="2"/>
          <w:sz w:val="32"/>
          <w:szCs w:val="32"/>
          <w:highlight w:val="none"/>
          <w:lang w:val="en-US" w:eastAsia="zh-CN" w:bidi="ar-SA"/>
        </w:rPr>
        <w:t>6.住房保障支出（类）住房改革支出（款）住房公积金（项）：</w:t>
      </w:r>
      <w:r>
        <w:rPr>
          <w:rStyle w:val="10"/>
          <w:rFonts w:hint="eastAsia" w:ascii="仿宋" w:hAnsi="仿宋" w:eastAsia="仿宋" w:cs="Times New Roman"/>
          <w:b w:val="0"/>
          <w:bCs w:val="0"/>
          <w:color w:val="auto"/>
          <w:kern w:val="2"/>
          <w:sz w:val="32"/>
          <w:szCs w:val="32"/>
          <w:highlight w:val="none"/>
          <w:lang w:val="en-US" w:eastAsia="zh-CN" w:bidi="ar-SA"/>
        </w:rPr>
        <w:t>2026年预算数为40.04万元，主要用于按规定标准为干部职工缴纳住房公积金，落实住房保障政策。</w:t>
      </w:r>
    </w:p>
    <w:p w14:paraId="089AE52B">
      <w:pPr>
        <w:rPr>
          <w:rFonts w:ascii="黑体" w:hAnsi="黑体" w:eastAsia="黑体"/>
          <w:b/>
          <w:sz w:val="32"/>
          <w:szCs w:val="32"/>
        </w:rPr>
      </w:pPr>
      <w:r>
        <w:rPr>
          <w:rFonts w:hint="eastAsia" w:ascii="黑体" w:hAnsi="黑体" w:eastAsia="黑体"/>
          <w:b/>
          <w:sz w:val="32"/>
          <w:szCs w:val="32"/>
        </w:rPr>
        <w:t xml:space="preserve">    四、一般公共预算基本支出情况说明</w:t>
      </w:r>
    </w:p>
    <w:p w14:paraId="29CA03D6">
      <w:pPr>
        <w:rPr>
          <w:rFonts w:ascii="仿宋_GB2312" w:eastAsia="仿宋_GB2312" w:hAnsiTheme="majorEastAsia"/>
          <w:sz w:val="32"/>
          <w:szCs w:val="32"/>
        </w:rPr>
      </w:pPr>
      <w:r>
        <w:rPr>
          <w:rFonts w:hint="eastAsia" w:ascii="仿宋_GB2312" w:eastAsia="仿宋_GB2312" w:hAnsiTheme="majorEastAsia"/>
          <w:sz w:val="32"/>
          <w:szCs w:val="32"/>
        </w:rPr>
        <w:t xml:space="preserve">    202</w:t>
      </w:r>
      <w:r>
        <w:rPr>
          <w:rFonts w:hint="eastAsia" w:ascii="仿宋_GB2312" w:eastAsia="仿宋_GB2312" w:hAnsiTheme="majorEastAsia"/>
          <w:sz w:val="32"/>
          <w:szCs w:val="32"/>
          <w:lang w:val="en-US" w:eastAsia="zh-CN"/>
        </w:rPr>
        <w:t>6</w:t>
      </w:r>
      <w:r>
        <w:rPr>
          <w:rFonts w:hint="eastAsia" w:ascii="仿宋_GB2312" w:eastAsia="仿宋_GB2312" w:hAnsiTheme="majorEastAsia"/>
          <w:sz w:val="32"/>
          <w:szCs w:val="32"/>
        </w:rPr>
        <w:t>年一般公共预算基本支出446.57万元,其中：人员经费421.26万元，主要包括</w:t>
      </w:r>
      <w:r>
        <w:rPr>
          <w:rFonts w:hint="eastAsia" w:ascii="仿宋_GB2312" w:eastAsia="仿宋_GB2312" w:hAnsiTheme="majorEastAsia"/>
          <w:sz w:val="32"/>
          <w:szCs w:val="32"/>
          <w:lang w:eastAsia="zh-CN"/>
        </w:rPr>
        <w:t>工资、五险一金</w:t>
      </w:r>
      <w:r>
        <w:rPr>
          <w:rFonts w:hint="eastAsia" w:ascii="仿宋_GB2312" w:eastAsia="仿宋_GB2312" w:hAnsiTheme="majorEastAsia"/>
          <w:sz w:val="32"/>
          <w:szCs w:val="32"/>
        </w:rPr>
        <w:t>支出。公用经费25.31万元，主要包括</w:t>
      </w:r>
      <w:r>
        <w:rPr>
          <w:rFonts w:hint="eastAsia" w:ascii="仿宋_GB2312" w:eastAsia="仿宋_GB2312" w:hAnsiTheme="majorEastAsia"/>
          <w:sz w:val="32"/>
          <w:szCs w:val="32"/>
          <w:lang w:eastAsia="zh-CN"/>
        </w:rPr>
        <w:t>办公费、印刷费、邮电费、差旅费、电费、手续费、水费、劳务费、公务用车运行维护费、维修费、培训费、公务接待费、维稳经费、工会费、福利费及其他商品和服务支出</w:t>
      </w:r>
      <w:r>
        <w:rPr>
          <w:rFonts w:hint="eastAsia" w:ascii="仿宋_GB2312" w:eastAsia="仿宋_GB2312" w:hAnsiTheme="majorEastAsia"/>
          <w:sz w:val="32"/>
          <w:szCs w:val="32"/>
        </w:rPr>
        <w:t>。</w:t>
      </w:r>
    </w:p>
    <w:p w14:paraId="70F9EB5F">
      <w:pPr>
        <w:rPr>
          <w:rFonts w:ascii="黑体" w:hAnsi="黑体" w:eastAsia="黑体"/>
          <w:b/>
          <w:sz w:val="32"/>
          <w:szCs w:val="32"/>
        </w:rPr>
      </w:pPr>
      <w:r>
        <w:rPr>
          <w:rFonts w:hint="eastAsia" w:ascii="黑体" w:hAnsi="黑体" w:eastAsia="黑体"/>
          <w:b/>
          <w:sz w:val="32"/>
          <w:szCs w:val="32"/>
        </w:rPr>
        <w:t xml:space="preserve">    五、“三公”经费财政拨款预算安排情况说明</w:t>
      </w:r>
    </w:p>
    <w:p w14:paraId="7726AD39">
      <w:pPr>
        <w:rPr>
          <w:rFonts w:ascii="仿宋_GB2312" w:eastAsia="仿宋_GB2312" w:hAnsiTheme="majorEastAsia"/>
          <w:sz w:val="32"/>
          <w:szCs w:val="32"/>
        </w:rPr>
      </w:pPr>
      <w:r>
        <w:rPr>
          <w:rFonts w:hint="eastAsia" w:ascii="仿宋_GB2312" w:eastAsia="仿宋_GB2312" w:hAnsiTheme="majorEastAsia"/>
          <w:sz w:val="32"/>
          <w:szCs w:val="32"/>
        </w:rPr>
        <w:t xml:space="preserve">    20</w:t>
      </w:r>
      <w:r>
        <w:rPr>
          <w:rFonts w:hint="eastAsia" w:ascii="仿宋_GB2312" w:eastAsia="仿宋_GB2312" w:hAnsiTheme="majorEastAsia"/>
          <w:sz w:val="32"/>
          <w:szCs w:val="32"/>
          <w:lang w:val="en-US" w:eastAsia="zh-CN"/>
        </w:rPr>
        <w:t>26</w:t>
      </w:r>
      <w:r>
        <w:rPr>
          <w:rFonts w:hint="eastAsia" w:ascii="仿宋_GB2312" w:eastAsia="仿宋_GB2312" w:hAnsiTheme="majorEastAsia"/>
          <w:sz w:val="32"/>
          <w:szCs w:val="32"/>
        </w:rPr>
        <w:t>年“三公”经费财政拨款预算数为</w:t>
      </w:r>
      <w:r>
        <w:rPr>
          <w:rFonts w:hint="eastAsia" w:ascii="仿宋_GB2312" w:eastAsia="仿宋_GB2312" w:hAnsiTheme="majorEastAsia"/>
          <w:sz w:val="32"/>
          <w:szCs w:val="32"/>
          <w:lang w:val="en-US" w:eastAsia="zh-CN"/>
        </w:rPr>
        <w:t>1.68</w:t>
      </w:r>
      <w:r>
        <w:rPr>
          <w:rFonts w:hint="eastAsia" w:ascii="仿宋_GB2312" w:eastAsia="仿宋_GB2312" w:hAnsiTheme="majorEastAsia"/>
          <w:sz w:val="32"/>
          <w:szCs w:val="32"/>
        </w:rPr>
        <w:t>万元，其中：因公出国（境）</w:t>
      </w:r>
      <w:r>
        <w:rPr>
          <w:rFonts w:hint="eastAsia" w:ascii="仿宋_GB2312" w:eastAsia="仿宋_GB2312" w:hAnsiTheme="majorEastAsia"/>
          <w:sz w:val="32"/>
          <w:szCs w:val="32"/>
          <w:lang w:val="en-US" w:eastAsia="zh-CN"/>
        </w:rPr>
        <w:t>0</w:t>
      </w:r>
      <w:r>
        <w:rPr>
          <w:rFonts w:hint="eastAsia" w:ascii="仿宋_GB2312" w:eastAsia="仿宋_GB2312" w:hAnsiTheme="majorEastAsia"/>
          <w:sz w:val="32"/>
          <w:szCs w:val="32"/>
        </w:rPr>
        <w:t>万元，公务接待费</w:t>
      </w:r>
      <w:r>
        <w:rPr>
          <w:rFonts w:hint="eastAsia" w:ascii="仿宋_GB2312" w:eastAsia="仿宋_GB2312" w:hAnsiTheme="majorEastAsia"/>
          <w:sz w:val="32"/>
          <w:szCs w:val="32"/>
          <w:lang w:val="en-US" w:eastAsia="zh-CN"/>
        </w:rPr>
        <w:t>0.1</w:t>
      </w:r>
      <w:r>
        <w:rPr>
          <w:rFonts w:hint="eastAsia" w:ascii="仿宋_GB2312" w:eastAsia="仿宋_GB2312" w:hAnsiTheme="majorEastAsia"/>
          <w:sz w:val="32"/>
          <w:szCs w:val="32"/>
        </w:rPr>
        <w:t>万元，公务用车购置及运行费</w:t>
      </w:r>
      <w:r>
        <w:rPr>
          <w:rFonts w:hint="eastAsia" w:ascii="仿宋_GB2312" w:eastAsia="仿宋_GB2312" w:hAnsiTheme="majorEastAsia"/>
          <w:sz w:val="32"/>
          <w:szCs w:val="32"/>
          <w:lang w:val="en-US" w:eastAsia="zh-CN"/>
        </w:rPr>
        <w:t>1.58</w:t>
      </w:r>
      <w:r>
        <w:rPr>
          <w:rFonts w:hint="eastAsia" w:ascii="仿宋_GB2312" w:eastAsia="仿宋_GB2312" w:hAnsiTheme="majorEastAsia"/>
          <w:sz w:val="32"/>
          <w:szCs w:val="32"/>
        </w:rPr>
        <w:t>万元。</w:t>
      </w:r>
    </w:p>
    <w:p w14:paraId="76AE45AA">
      <w:pPr>
        <w:rPr>
          <w:rFonts w:ascii="黑体" w:hAnsi="黑体" w:eastAsia="黑体"/>
          <w:sz w:val="32"/>
          <w:szCs w:val="32"/>
        </w:rPr>
      </w:pPr>
      <w:r>
        <w:rPr>
          <w:rFonts w:hint="eastAsia" w:ascii="仿宋_GB2312" w:eastAsia="仿宋_GB2312" w:hAnsiTheme="majorEastAsia"/>
          <w:sz w:val="32"/>
          <w:szCs w:val="32"/>
        </w:rPr>
        <w:t xml:space="preserve">   </w:t>
      </w:r>
      <w:r>
        <w:rPr>
          <w:rFonts w:hint="eastAsia" w:ascii="黑体" w:hAnsi="黑体" w:eastAsia="黑体"/>
          <w:sz w:val="32"/>
          <w:szCs w:val="32"/>
        </w:rPr>
        <w:t>（一）因公出国（境）经费与20</w:t>
      </w:r>
      <w:r>
        <w:rPr>
          <w:rFonts w:hint="eastAsia" w:ascii="黑体" w:hAnsi="黑体" w:eastAsia="黑体"/>
          <w:sz w:val="32"/>
          <w:szCs w:val="32"/>
          <w:lang w:val="en-US" w:eastAsia="zh-CN"/>
        </w:rPr>
        <w:t>25</w:t>
      </w:r>
      <w:r>
        <w:rPr>
          <w:rFonts w:hint="eastAsia" w:ascii="黑体" w:hAnsi="黑体" w:eastAsia="黑体"/>
          <w:sz w:val="32"/>
          <w:szCs w:val="32"/>
        </w:rPr>
        <w:t>年预算（ 增加、下降、持平）。</w:t>
      </w:r>
    </w:p>
    <w:p w14:paraId="28DE047A">
      <w:pPr>
        <w:rPr>
          <w:rFonts w:ascii="仿宋_GB2312" w:eastAsia="仿宋_GB2312" w:hAnsiTheme="majorEastAsia"/>
          <w:sz w:val="32"/>
          <w:szCs w:val="32"/>
        </w:rPr>
      </w:pPr>
      <w:r>
        <w:rPr>
          <w:rFonts w:hint="eastAsia" w:ascii="仿宋_GB2312" w:eastAsia="仿宋_GB2312" w:hAnsiTheme="majorEastAsia"/>
          <w:sz w:val="32"/>
          <w:szCs w:val="32"/>
        </w:rPr>
        <w:t xml:space="preserve">    </w:t>
      </w:r>
      <w:r>
        <w:rPr>
          <w:rFonts w:hint="eastAsia" w:ascii="仿宋_GB2312" w:eastAsia="仿宋_GB2312" w:hAnsiTheme="majorEastAsia"/>
          <w:sz w:val="32"/>
          <w:szCs w:val="32"/>
          <w:lang w:val="en-US" w:eastAsia="zh-CN"/>
        </w:rPr>
        <w:t>2026</w:t>
      </w:r>
      <w:r>
        <w:rPr>
          <w:rFonts w:hint="eastAsia" w:ascii="仿宋_GB2312" w:eastAsia="仿宋_GB2312" w:hAnsiTheme="majorEastAsia"/>
          <w:color w:val="000000" w:themeColor="text1"/>
          <w:sz w:val="32"/>
          <w:szCs w:val="32"/>
          <w14:textFill>
            <w14:solidFill>
              <w14:schemeClr w14:val="tx1"/>
            </w14:solidFill>
          </w14:textFill>
        </w:rPr>
        <w:t>年未安排因公出国（境）经费。</w:t>
      </w:r>
    </w:p>
    <w:p w14:paraId="01068054">
      <w:pPr>
        <w:rPr>
          <w:rFonts w:ascii="黑体" w:hAnsi="黑体" w:eastAsia="黑体"/>
          <w:color w:val="000000" w:themeColor="text1"/>
          <w:sz w:val="32"/>
          <w:szCs w:val="32"/>
          <w14:textFill>
            <w14:solidFill>
              <w14:schemeClr w14:val="tx1"/>
            </w14:solidFill>
          </w14:textFill>
        </w:rPr>
      </w:pPr>
      <w:r>
        <w:rPr>
          <w:rFonts w:hint="eastAsia" w:ascii="仿宋_GB2312" w:eastAsia="仿宋_GB2312" w:hAnsiTheme="majorEastAsia"/>
          <w:color w:val="000000" w:themeColor="text1"/>
          <w:sz w:val="32"/>
          <w:szCs w:val="32"/>
          <w14:textFill>
            <w14:solidFill>
              <w14:schemeClr w14:val="tx1"/>
            </w14:solidFill>
          </w14:textFill>
        </w:rPr>
        <w:t xml:space="preserve">   </w:t>
      </w:r>
      <w:r>
        <w:rPr>
          <w:rFonts w:hint="eastAsia" w:ascii="黑体" w:hAnsi="黑体" w:eastAsia="黑体"/>
          <w:color w:val="000000" w:themeColor="text1"/>
          <w:sz w:val="32"/>
          <w:szCs w:val="32"/>
          <w14:textFill>
            <w14:solidFill>
              <w14:schemeClr w14:val="tx1"/>
            </w14:solidFill>
          </w14:textFill>
        </w:rPr>
        <w:t>（二）公务接待费与20</w:t>
      </w:r>
      <w:r>
        <w:rPr>
          <w:rFonts w:hint="eastAsia" w:ascii="黑体" w:hAnsi="黑体" w:eastAsia="黑体"/>
          <w:color w:val="000000" w:themeColor="text1"/>
          <w:sz w:val="32"/>
          <w:szCs w:val="32"/>
          <w:lang w:val="en-US" w:eastAsia="zh-CN"/>
          <w14:textFill>
            <w14:solidFill>
              <w14:schemeClr w14:val="tx1"/>
            </w14:solidFill>
          </w14:textFill>
        </w:rPr>
        <w:t>25</w:t>
      </w:r>
      <w:r>
        <w:rPr>
          <w:rFonts w:hint="eastAsia" w:ascii="黑体" w:hAnsi="黑体" w:eastAsia="黑体"/>
          <w:color w:val="000000" w:themeColor="text1"/>
          <w:sz w:val="32"/>
          <w:szCs w:val="32"/>
          <w14:textFill>
            <w14:solidFill>
              <w14:schemeClr w14:val="tx1"/>
            </w14:solidFill>
          </w14:textFill>
        </w:rPr>
        <w:t>年预算（ 增加、下降、持平）。</w:t>
      </w:r>
    </w:p>
    <w:p w14:paraId="2D9AD120">
      <w:pPr>
        <w:ind w:firstLine="640"/>
        <w:rPr>
          <w:rFonts w:hint="eastAsia" w:ascii="仿宋_GB2312" w:eastAsia="仿宋_GB2312" w:hAnsiTheme="majorEastAsia"/>
          <w:color w:val="000000" w:themeColor="text1"/>
          <w:sz w:val="32"/>
          <w:szCs w:val="32"/>
          <w:lang w:val="en-US" w:eastAsia="zh-CN"/>
          <w14:textFill>
            <w14:solidFill>
              <w14:schemeClr w14:val="tx1"/>
            </w14:solidFill>
          </w14:textFill>
        </w:rPr>
      </w:pPr>
      <w:r>
        <w:rPr>
          <w:rFonts w:hint="eastAsia" w:ascii="仿宋_GB2312" w:eastAsia="仿宋_GB2312" w:hAnsiTheme="majorEastAsia"/>
          <w:color w:val="000000" w:themeColor="text1"/>
          <w:sz w:val="32"/>
          <w:szCs w:val="32"/>
          <w:lang w:val="en-US" w:eastAsia="zh-CN"/>
          <w14:textFill>
            <w14:solidFill>
              <w14:schemeClr w14:val="tx1"/>
            </w14:solidFill>
          </w14:textFill>
        </w:rPr>
        <w:t>2026年公务接待费预算为0.1万元，与上年持平。</w:t>
      </w:r>
    </w:p>
    <w:p w14:paraId="06BEF06A">
      <w:pPr>
        <w:rPr>
          <w:rFonts w:ascii="仿宋_GB2312" w:eastAsia="仿宋_GB2312" w:hAnsiTheme="majorEastAsia"/>
          <w:sz w:val="32"/>
          <w:szCs w:val="32"/>
        </w:rPr>
      </w:pPr>
      <w:r>
        <w:rPr>
          <w:rFonts w:hint="eastAsia" w:ascii="仿宋_GB2312" w:eastAsia="仿宋_GB2312" w:hAnsiTheme="majorEastAsia"/>
          <w:sz w:val="32"/>
          <w:szCs w:val="32"/>
        </w:rPr>
        <w:t xml:space="preserve">   </w:t>
      </w:r>
      <w:r>
        <w:rPr>
          <w:rFonts w:hint="eastAsia" w:ascii="黑体" w:hAnsi="黑体" w:eastAsia="黑体"/>
          <w:sz w:val="32"/>
          <w:szCs w:val="32"/>
        </w:rPr>
        <w:t>（三）公务用车购置及运行费与20</w:t>
      </w:r>
      <w:r>
        <w:rPr>
          <w:rFonts w:hint="eastAsia" w:ascii="黑体" w:hAnsi="黑体" w:eastAsia="黑体"/>
          <w:sz w:val="32"/>
          <w:szCs w:val="32"/>
          <w:lang w:val="en-US" w:eastAsia="zh-CN"/>
        </w:rPr>
        <w:t>25</w:t>
      </w:r>
      <w:r>
        <w:rPr>
          <w:rFonts w:hint="eastAsia" w:ascii="黑体" w:hAnsi="黑体" w:eastAsia="黑体"/>
          <w:sz w:val="32"/>
          <w:szCs w:val="32"/>
        </w:rPr>
        <w:t>年预算（ 增加、下降、持平）。</w:t>
      </w:r>
      <w:r>
        <w:rPr>
          <w:rFonts w:hint="eastAsia" w:ascii="仿宋_GB2312" w:eastAsia="仿宋_GB2312" w:hAnsiTheme="majorEastAsia"/>
          <w:sz w:val="32"/>
          <w:szCs w:val="32"/>
        </w:rPr>
        <w:t xml:space="preserve">    </w:t>
      </w:r>
    </w:p>
    <w:p w14:paraId="1C2C4DDA">
      <w:pPr>
        <w:rPr>
          <w:rFonts w:ascii="仿宋_GB2312" w:eastAsia="仿宋_GB2312" w:hAnsiTheme="majorEastAsia"/>
          <w:sz w:val="32"/>
          <w:szCs w:val="32"/>
        </w:rPr>
      </w:pPr>
      <w:r>
        <w:rPr>
          <w:rFonts w:hint="eastAsia" w:ascii="仿宋" w:hAnsi="仿宋" w:eastAsia="仿宋" w:cs="仿宋"/>
          <w:sz w:val="32"/>
          <w:szCs w:val="32"/>
        </w:rPr>
        <w:t xml:space="preserve">  </w:t>
      </w:r>
      <w:r>
        <w:rPr>
          <w:rFonts w:hint="eastAsia" w:ascii="仿宋_GB2312" w:eastAsia="仿宋_GB2312" w:hAnsiTheme="majorEastAsia"/>
          <w:sz w:val="32"/>
          <w:szCs w:val="32"/>
        </w:rPr>
        <w:t xml:space="preserve"> </w:t>
      </w:r>
      <w:r>
        <w:rPr>
          <w:rFonts w:hint="eastAsia" w:ascii="仿宋_GB2312" w:eastAsia="仿宋_GB2312" w:hAnsiTheme="majorEastAsia"/>
          <w:sz w:val="32"/>
          <w:szCs w:val="32"/>
          <w:lang w:val="en-US" w:eastAsia="zh-CN"/>
        </w:rPr>
        <w:t xml:space="preserve"> </w:t>
      </w:r>
      <w:r>
        <w:rPr>
          <w:rFonts w:hint="eastAsia" w:ascii="仿宋_GB2312" w:eastAsia="仿宋_GB2312" w:hAnsiTheme="majorEastAsia"/>
          <w:sz w:val="32"/>
          <w:szCs w:val="32"/>
        </w:rPr>
        <w:t>2026年安排公务用车购置及运行费1.58万元，与上年预算持平。</w:t>
      </w:r>
    </w:p>
    <w:p w14:paraId="2C5B2F84">
      <w:pPr>
        <w:rPr>
          <w:rFonts w:ascii="仿宋_GB2312" w:eastAsia="仿宋_GB2312" w:hAnsiTheme="majorEastAsia"/>
          <w:sz w:val="32"/>
          <w:szCs w:val="32"/>
        </w:rPr>
      </w:pPr>
      <w:r>
        <w:rPr>
          <w:rFonts w:hint="eastAsia" w:ascii="仿宋_GB2312" w:eastAsia="仿宋_GB2312" w:hAnsiTheme="majorEastAsia"/>
          <w:sz w:val="32"/>
          <w:szCs w:val="32"/>
        </w:rPr>
        <w:t xml:space="preserve">    单位现有公务用车</w:t>
      </w:r>
      <w:r>
        <w:rPr>
          <w:rFonts w:hint="eastAsia" w:ascii="仿宋_GB2312" w:eastAsia="仿宋_GB2312" w:hAnsiTheme="majorEastAsia"/>
          <w:sz w:val="32"/>
          <w:szCs w:val="32"/>
          <w:lang w:val="en-US" w:eastAsia="zh-CN"/>
        </w:rPr>
        <w:t>1</w:t>
      </w:r>
      <w:r>
        <w:rPr>
          <w:rFonts w:hint="eastAsia" w:ascii="仿宋_GB2312" w:eastAsia="仿宋_GB2312" w:hAnsiTheme="majorEastAsia"/>
          <w:sz w:val="32"/>
          <w:szCs w:val="32"/>
        </w:rPr>
        <w:t>辆，其中：轿车</w:t>
      </w:r>
      <w:r>
        <w:rPr>
          <w:rFonts w:hint="eastAsia" w:ascii="仿宋_GB2312" w:eastAsia="仿宋_GB2312" w:hAnsiTheme="majorEastAsia"/>
          <w:sz w:val="32"/>
          <w:szCs w:val="32"/>
          <w:lang w:val="en-US" w:eastAsia="zh-CN"/>
        </w:rPr>
        <w:t>0</w:t>
      </w:r>
      <w:r>
        <w:rPr>
          <w:rFonts w:hint="eastAsia" w:ascii="仿宋_GB2312" w:eastAsia="仿宋_GB2312" w:hAnsiTheme="majorEastAsia"/>
          <w:sz w:val="32"/>
          <w:szCs w:val="32"/>
        </w:rPr>
        <w:t>辆，旅行车（含商务车）</w:t>
      </w:r>
      <w:r>
        <w:rPr>
          <w:rFonts w:hint="eastAsia" w:ascii="仿宋_GB2312" w:eastAsia="仿宋_GB2312" w:hAnsiTheme="majorEastAsia"/>
          <w:sz w:val="32"/>
          <w:szCs w:val="32"/>
          <w:lang w:val="en-US" w:eastAsia="zh-CN"/>
        </w:rPr>
        <w:t>0</w:t>
      </w:r>
      <w:r>
        <w:rPr>
          <w:rFonts w:hint="eastAsia" w:ascii="仿宋_GB2312" w:eastAsia="仿宋_GB2312" w:hAnsiTheme="majorEastAsia"/>
          <w:sz w:val="32"/>
          <w:szCs w:val="32"/>
        </w:rPr>
        <w:t>辆，越野车</w:t>
      </w:r>
      <w:r>
        <w:rPr>
          <w:rFonts w:hint="eastAsia" w:ascii="仿宋_GB2312" w:eastAsia="仿宋_GB2312" w:hAnsiTheme="majorEastAsia"/>
          <w:sz w:val="32"/>
          <w:szCs w:val="32"/>
          <w:lang w:val="en-US" w:eastAsia="zh-CN"/>
        </w:rPr>
        <w:t>1</w:t>
      </w:r>
      <w:r>
        <w:rPr>
          <w:rFonts w:hint="eastAsia" w:ascii="仿宋_GB2312" w:eastAsia="仿宋_GB2312" w:hAnsiTheme="majorEastAsia"/>
          <w:sz w:val="32"/>
          <w:szCs w:val="32"/>
        </w:rPr>
        <w:t>辆，大客车</w:t>
      </w:r>
      <w:r>
        <w:rPr>
          <w:rFonts w:hint="eastAsia" w:ascii="仿宋_GB2312" w:eastAsia="仿宋_GB2312" w:hAnsiTheme="majorEastAsia"/>
          <w:sz w:val="32"/>
          <w:szCs w:val="32"/>
          <w:lang w:val="en-US" w:eastAsia="zh-CN"/>
        </w:rPr>
        <w:t>0</w:t>
      </w:r>
      <w:r>
        <w:rPr>
          <w:rFonts w:hint="eastAsia" w:ascii="仿宋_GB2312" w:eastAsia="仿宋_GB2312" w:hAnsiTheme="majorEastAsia"/>
          <w:sz w:val="32"/>
          <w:szCs w:val="32"/>
        </w:rPr>
        <w:t>辆。</w:t>
      </w:r>
    </w:p>
    <w:p w14:paraId="50F4DBD7">
      <w:pPr>
        <w:ind w:firstLine="640"/>
        <w:rPr>
          <w:rFonts w:hint="eastAsia" w:ascii="仿宋_GB2312" w:eastAsia="仿宋_GB2312" w:hAnsiTheme="majorEastAsia"/>
          <w:sz w:val="32"/>
          <w:szCs w:val="32"/>
        </w:rPr>
      </w:pPr>
      <w:r>
        <w:rPr>
          <w:rFonts w:hint="eastAsia" w:ascii="仿宋_GB2312" w:eastAsia="仿宋_GB2312" w:hAnsiTheme="majorEastAsia"/>
          <w:sz w:val="32"/>
          <w:szCs w:val="32"/>
          <w:lang w:val="en-US" w:eastAsia="zh-CN"/>
        </w:rPr>
        <w:t>2026年</w:t>
      </w:r>
      <w:r>
        <w:rPr>
          <w:rFonts w:hint="eastAsia" w:ascii="仿宋_GB2312" w:eastAsia="仿宋_GB2312" w:hAnsiTheme="majorEastAsia"/>
          <w:sz w:val="32"/>
          <w:szCs w:val="32"/>
        </w:rPr>
        <w:t>未安排就填未安排公务用车购置费。</w:t>
      </w:r>
    </w:p>
    <w:p w14:paraId="0F0F9006">
      <w:pPr>
        <w:rPr>
          <w:rFonts w:ascii="仿宋_GB2312" w:eastAsia="仿宋_GB2312" w:hAnsiTheme="majorEastAsia"/>
          <w:sz w:val="32"/>
          <w:szCs w:val="32"/>
        </w:rPr>
      </w:pPr>
      <w:r>
        <w:rPr>
          <w:rFonts w:hint="eastAsia" w:ascii="仿宋_GB2312" w:eastAsia="仿宋_GB2312" w:hAnsiTheme="majorEastAsia"/>
          <w:sz w:val="32"/>
          <w:szCs w:val="32"/>
        </w:rPr>
        <w:t xml:space="preserve">    20</w:t>
      </w:r>
      <w:r>
        <w:rPr>
          <w:rFonts w:hint="eastAsia" w:ascii="仿宋_GB2312" w:eastAsia="仿宋_GB2312" w:hAnsiTheme="majorEastAsia"/>
          <w:sz w:val="32"/>
          <w:szCs w:val="32"/>
          <w:lang w:val="en-US" w:eastAsia="zh-CN"/>
        </w:rPr>
        <w:t>26</w:t>
      </w:r>
      <w:r>
        <w:rPr>
          <w:rFonts w:hint="eastAsia" w:ascii="仿宋_GB2312" w:eastAsia="仿宋_GB2312" w:hAnsiTheme="majorEastAsia"/>
          <w:sz w:val="32"/>
          <w:szCs w:val="32"/>
        </w:rPr>
        <w:t>年安排公务用车运行维护费</w:t>
      </w:r>
      <w:r>
        <w:rPr>
          <w:rFonts w:hint="eastAsia" w:ascii="仿宋_GB2312" w:eastAsia="仿宋_GB2312" w:hAnsiTheme="majorEastAsia"/>
          <w:sz w:val="32"/>
          <w:szCs w:val="32"/>
          <w:lang w:val="en-US" w:eastAsia="zh-CN"/>
        </w:rPr>
        <w:t>1.58</w:t>
      </w:r>
      <w:r>
        <w:rPr>
          <w:rFonts w:hint="eastAsia" w:ascii="仿宋_GB2312" w:eastAsia="仿宋_GB2312" w:hAnsiTheme="majorEastAsia"/>
          <w:sz w:val="32"/>
          <w:szCs w:val="32"/>
        </w:rPr>
        <w:t>万元，用于</w:t>
      </w:r>
      <w:r>
        <w:rPr>
          <w:rFonts w:hint="eastAsia" w:ascii="仿宋_GB2312" w:eastAsia="仿宋_GB2312" w:hAnsiTheme="majorEastAsia"/>
          <w:sz w:val="32"/>
          <w:szCs w:val="32"/>
          <w:lang w:eastAsia="zh-CN"/>
        </w:rPr>
        <w:t>下乡维稳及开展乡村振兴工作油费及修车费</w:t>
      </w:r>
      <w:r>
        <w:rPr>
          <w:rFonts w:hint="eastAsia" w:ascii="仿宋_GB2312" w:eastAsia="仿宋_GB2312" w:hAnsiTheme="majorEastAsia"/>
          <w:sz w:val="32"/>
          <w:szCs w:val="32"/>
        </w:rPr>
        <w:t xml:space="preserve">等方面支出。    </w:t>
      </w:r>
    </w:p>
    <w:p w14:paraId="76F2D20C">
      <w:pPr>
        <w:rPr>
          <w:rFonts w:ascii="黑体" w:hAnsi="黑体" w:eastAsia="黑体"/>
          <w:b/>
          <w:sz w:val="32"/>
          <w:szCs w:val="32"/>
        </w:rPr>
      </w:pPr>
      <w:r>
        <w:rPr>
          <w:rFonts w:hint="eastAsia" w:ascii="黑体" w:hAnsi="黑体" w:eastAsia="黑体"/>
          <w:b/>
          <w:sz w:val="32"/>
          <w:szCs w:val="32"/>
        </w:rPr>
        <w:t xml:space="preserve">    六、政府性基金预算支出情况说明</w:t>
      </w:r>
    </w:p>
    <w:p w14:paraId="34CA8608">
      <w:pPr>
        <w:rPr>
          <w:rFonts w:ascii="仿宋_GB2312" w:eastAsia="仿宋_GB2312" w:hAnsiTheme="majorEastAsia"/>
          <w:sz w:val="32"/>
          <w:szCs w:val="32"/>
        </w:rPr>
      </w:pPr>
      <w:r>
        <w:rPr>
          <w:rFonts w:hint="eastAsia" w:ascii="仿宋_GB2312" w:eastAsia="仿宋_GB2312" w:hAnsiTheme="majorEastAsia"/>
          <w:sz w:val="32"/>
          <w:szCs w:val="32"/>
        </w:rPr>
        <w:t xml:space="preserve">    2</w:t>
      </w:r>
      <w:r>
        <w:rPr>
          <w:rFonts w:hint="eastAsia" w:ascii="仿宋_GB2312" w:eastAsia="仿宋_GB2312" w:hAnsiTheme="majorEastAsia"/>
          <w:sz w:val="32"/>
          <w:szCs w:val="32"/>
          <w:lang w:val="en-US" w:eastAsia="zh-CN"/>
        </w:rPr>
        <w:t>026年</w:t>
      </w:r>
      <w:r>
        <w:rPr>
          <w:rFonts w:hint="eastAsia" w:ascii="仿宋_GB2312" w:eastAsia="仿宋_GB2312" w:hAnsiTheme="majorEastAsia"/>
          <w:sz w:val="32"/>
          <w:szCs w:val="32"/>
        </w:rPr>
        <w:t>未使用政府性基金预算拨款安排的支出。</w:t>
      </w:r>
    </w:p>
    <w:p w14:paraId="7ECC654C">
      <w:pPr>
        <w:rPr>
          <w:rFonts w:ascii="黑体" w:hAnsi="黑体" w:eastAsia="黑体"/>
          <w:b/>
          <w:sz w:val="32"/>
          <w:szCs w:val="32"/>
        </w:rPr>
      </w:pPr>
      <w:r>
        <w:rPr>
          <w:rFonts w:hint="eastAsia" w:ascii="黑体" w:hAnsi="黑体" w:eastAsia="黑体"/>
          <w:b/>
          <w:sz w:val="32"/>
          <w:szCs w:val="32"/>
        </w:rPr>
        <w:t xml:space="preserve">    七、国有资本经营预算支出情况说明</w:t>
      </w:r>
    </w:p>
    <w:p w14:paraId="22297F3D">
      <w:pPr>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 xml:space="preserve"> </w:t>
      </w:r>
      <w:r>
        <w:rPr>
          <w:rFonts w:hint="eastAsia" w:ascii="仿宋_GB2312" w:eastAsia="仿宋_GB2312" w:hAnsiTheme="majorEastAsia"/>
          <w:sz w:val="32"/>
          <w:szCs w:val="32"/>
          <w:lang w:val="en-US" w:eastAsia="zh-CN"/>
        </w:rPr>
        <w:t>2026</w:t>
      </w:r>
      <w:r>
        <w:rPr>
          <w:rFonts w:hint="eastAsia" w:ascii="仿宋_GB2312" w:eastAsia="仿宋_GB2312" w:hAnsiTheme="majorEastAsia"/>
          <w:sz w:val="32"/>
          <w:szCs w:val="32"/>
        </w:rPr>
        <w:t>年未使用国有资本经营预算拨款安排的支出。</w:t>
      </w:r>
    </w:p>
    <w:p w14:paraId="48747236">
      <w:pPr>
        <w:rPr>
          <w:rFonts w:ascii="黑体" w:hAnsi="黑体" w:eastAsia="黑体"/>
          <w:b/>
          <w:sz w:val="32"/>
          <w:szCs w:val="32"/>
        </w:rPr>
      </w:pPr>
      <w:r>
        <w:rPr>
          <w:rFonts w:hint="eastAsia" w:ascii="黑体" w:hAnsi="黑体" w:eastAsia="黑体"/>
          <w:b/>
          <w:sz w:val="32"/>
          <w:szCs w:val="32"/>
        </w:rPr>
        <w:t xml:space="preserve">    八、其他重要事项的情况说明</w:t>
      </w:r>
    </w:p>
    <w:p w14:paraId="1A756082">
      <w:pPr>
        <w:ind w:firstLine="643" w:firstLineChars="200"/>
        <w:rPr>
          <w:rFonts w:ascii="楷体_GB2312" w:eastAsia="楷体_GB2312" w:hAnsiTheme="majorEastAsia"/>
          <w:b/>
          <w:sz w:val="32"/>
          <w:szCs w:val="32"/>
        </w:rPr>
      </w:pPr>
      <w:r>
        <w:rPr>
          <w:rFonts w:hint="eastAsia" w:ascii="楷体_GB2312" w:eastAsia="楷体_GB2312" w:hAnsiTheme="majorEastAsia"/>
          <w:b/>
          <w:sz w:val="32"/>
          <w:szCs w:val="32"/>
        </w:rPr>
        <w:t>（一）机关运行经费</w:t>
      </w:r>
    </w:p>
    <w:p w14:paraId="2BCB62EA">
      <w:pPr>
        <w:ind w:firstLine="640" w:firstLineChars="200"/>
        <w:rPr>
          <w:rFonts w:hint="eastAsia" w:ascii="仿宋_GB2312" w:eastAsia="仿宋_GB2312" w:hAnsiTheme="majorEastAsia"/>
          <w:sz w:val="32"/>
          <w:szCs w:val="32"/>
          <w:lang w:eastAsia="zh-CN"/>
        </w:rPr>
      </w:pPr>
      <w:r>
        <w:rPr>
          <w:rFonts w:hint="eastAsia" w:ascii="仿宋_GB2312" w:eastAsia="仿宋_GB2312" w:hAnsiTheme="majorEastAsia"/>
          <w:sz w:val="32"/>
          <w:szCs w:val="32"/>
        </w:rPr>
        <w:t>20</w:t>
      </w:r>
      <w:r>
        <w:rPr>
          <w:rFonts w:hint="eastAsia" w:ascii="仿宋_GB2312" w:eastAsia="仿宋_GB2312" w:hAnsiTheme="majorEastAsia"/>
          <w:sz w:val="32"/>
          <w:szCs w:val="32"/>
          <w:lang w:val="en-US" w:eastAsia="zh-CN"/>
        </w:rPr>
        <w:t>26</w:t>
      </w:r>
      <w:r>
        <w:rPr>
          <w:rFonts w:hint="eastAsia" w:ascii="仿宋_GB2312" w:eastAsia="仿宋_GB2312" w:hAnsiTheme="majorEastAsia"/>
          <w:sz w:val="32"/>
          <w:szCs w:val="32"/>
        </w:rPr>
        <w:t>机关运行经费财政拨款预算为</w:t>
      </w:r>
      <w:r>
        <w:rPr>
          <w:rFonts w:hint="eastAsia" w:ascii="仿宋_GB2312" w:eastAsia="仿宋_GB2312" w:hAnsiTheme="majorEastAsia"/>
          <w:sz w:val="32"/>
          <w:szCs w:val="32"/>
          <w:lang w:val="en-US" w:eastAsia="zh-CN"/>
        </w:rPr>
        <w:t>25.31</w:t>
      </w:r>
      <w:r>
        <w:rPr>
          <w:rFonts w:hint="eastAsia" w:ascii="仿宋_GB2312" w:eastAsia="仿宋_GB2312" w:hAnsiTheme="majorEastAsia"/>
          <w:sz w:val="32"/>
          <w:szCs w:val="32"/>
        </w:rPr>
        <w:t>万元，比20</w:t>
      </w:r>
      <w:r>
        <w:rPr>
          <w:rFonts w:hint="eastAsia" w:ascii="仿宋_GB2312" w:eastAsia="仿宋_GB2312" w:hAnsiTheme="majorEastAsia"/>
          <w:sz w:val="32"/>
          <w:szCs w:val="32"/>
          <w:lang w:val="en-US" w:eastAsia="zh-CN"/>
        </w:rPr>
        <w:t>25年</w:t>
      </w:r>
      <w:r>
        <w:rPr>
          <w:rFonts w:hint="eastAsia" w:ascii="仿宋_GB2312" w:eastAsia="仿宋_GB2312" w:hAnsiTheme="majorEastAsia"/>
          <w:sz w:val="32"/>
          <w:szCs w:val="32"/>
          <w:lang w:eastAsia="zh-CN"/>
        </w:rPr>
        <w:t>持平。</w:t>
      </w:r>
    </w:p>
    <w:p w14:paraId="44B8C443">
      <w:pPr>
        <w:ind w:firstLine="643" w:firstLineChars="200"/>
        <w:rPr>
          <w:rFonts w:ascii="楷体_GB2312" w:eastAsia="楷体_GB2312" w:hAnsiTheme="majorEastAsia"/>
          <w:b/>
          <w:sz w:val="32"/>
          <w:szCs w:val="32"/>
        </w:rPr>
      </w:pPr>
      <w:r>
        <w:rPr>
          <w:rFonts w:hint="eastAsia" w:ascii="楷体_GB2312" w:eastAsia="楷体_GB2312" w:hAnsiTheme="majorEastAsia"/>
          <w:b/>
          <w:sz w:val="32"/>
          <w:szCs w:val="32"/>
        </w:rPr>
        <w:t>（二）政府采购情况</w:t>
      </w:r>
    </w:p>
    <w:p w14:paraId="67BB4383">
      <w:pPr>
        <w:ind w:firstLine="640" w:firstLineChars="200"/>
        <w:rPr>
          <w:rFonts w:hint="eastAsia" w:ascii="仿宋_GB2312" w:eastAsia="仿宋_GB2312" w:hAnsiTheme="majorEastAsia"/>
          <w:sz w:val="32"/>
          <w:szCs w:val="32"/>
        </w:rPr>
      </w:pPr>
      <w:r>
        <w:rPr>
          <w:rFonts w:hint="eastAsia" w:ascii="仿宋_GB2312" w:eastAsia="仿宋_GB2312" w:hAnsiTheme="majorEastAsia"/>
          <w:sz w:val="32"/>
          <w:szCs w:val="32"/>
        </w:rPr>
        <w:t>2026年，安排政府采购预算275.00万元，主要用于干部教育培训机构质量提升省级财政专项资金中的办公设备购置，通过政府采购完善教学、办公设施，优化干部教育培训办学条件。</w:t>
      </w:r>
    </w:p>
    <w:p w14:paraId="655E6065">
      <w:pPr>
        <w:ind w:firstLine="643" w:firstLineChars="200"/>
        <w:rPr>
          <w:rFonts w:ascii="楷体_GB2312" w:eastAsia="楷体_GB2312" w:hAnsiTheme="majorEastAsia"/>
          <w:b/>
          <w:sz w:val="32"/>
          <w:szCs w:val="32"/>
        </w:rPr>
      </w:pPr>
      <w:r>
        <w:rPr>
          <w:rFonts w:hint="eastAsia" w:ascii="楷体_GB2312" w:eastAsia="楷体_GB2312" w:hAnsiTheme="majorEastAsia"/>
          <w:b/>
          <w:sz w:val="32"/>
          <w:szCs w:val="32"/>
        </w:rPr>
        <w:t>（三）国有资产占用使用情况</w:t>
      </w:r>
    </w:p>
    <w:p w14:paraId="44D9724B">
      <w:pPr>
        <w:rPr>
          <w:rFonts w:ascii="仿宋_GB2312" w:eastAsia="仿宋_GB2312" w:hAnsiTheme="majorEastAsia"/>
          <w:sz w:val="32"/>
          <w:szCs w:val="32"/>
        </w:rPr>
      </w:pPr>
      <w:r>
        <w:rPr>
          <w:rFonts w:hint="eastAsia" w:ascii="仿宋_GB2312" w:eastAsia="仿宋_GB2312" w:hAnsiTheme="majorEastAsia"/>
          <w:color w:val="000000" w:themeColor="text1"/>
          <w:sz w:val="32"/>
          <w:szCs w:val="32"/>
          <w14:textFill>
            <w14:solidFill>
              <w14:schemeClr w14:val="tx1"/>
            </w14:solidFill>
          </w14:textFill>
        </w:rPr>
        <w:t xml:space="preserve">    截至20</w:t>
      </w:r>
      <w:r>
        <w:rPr>
          <w:rFonts w:hint="eastAsia" w:ascii="仿宋_GB2312" w:eastAsia="仿宋_GB2312" w:hAnsiTheme="majorEastAsia"/>
          <w:color w:val="000000" w:themeColor="text1"/>
          <w:sz w:val="32"/>
          <w:szCs w:val="32"/>
          <w:lang w:val="en-US" w:eastAsia="zh-CN"/>
          <w14:textFill>
            <w14:solidFill>
              <w14:schemeClr w14:val="tx1"/>
            </w14:solidFill>
          </w14:textFill>
        </w:rPr>
        <w:t>25</w:t>
      </w:r>
      <w:r>
        <w:rPr>
          <w:rFonts w:hint="eastAsia" w:ascii="仿宋_GB2312" w:eastAsia="仿宋_GB2312" w:hAnsiTheme="majorEastAsia"/>
          <w:color w:val="000000" w:themeColor="text1"/>
          <w:sz w:val="32"/>
          <w:szCs w:val="32"/>
          <w14:textFill>
            <w14:solidFill>
              <w14:schemeClr w14:val="tx1"/>
            </w14:solidFill>
          </w14:textFill>
        </w:rPr>
        <w:t xml:space="preserve">年底，共有车辆 </w:t>
      </w:r>
      <w:r>
        <w:rPr>
          <w:rFonts w:hint="eastAsia" w:ascii="仿宋_GB2312" w:eastAsia="仿宋_GB2312" w:hAnsiTheme="majorEastAsia"/>
          <w:sz w:val="32"/>
          <w:szCs w:val="32"/>
          <w:lang w:val="en-US" w:eastAsia="zh-CN"/>
        </w:rPr>
        <w:t>1</w:t>
      </w:r>
      <w:r>
        <w:rPr>
          <w:rFonts w:hint="eastAsia" w:ascii="仿宋_GB2312" w:eastAsia="仿宋_GB2312" w:hAnsiTheme="majorEastAsia"/>
          <w:color w:val="000000" w:themeColor="text1"/>
          <w:sz w:val="32"/>
          <w:szCs w:val="32"/>
          <w14:textFill>
            <w14:solidFill>
              <w14:schemeClr w14:val="tx1"/>
            </w14:solidFill>
          </w14:textFill>
        </w:rPr>
        <w:t>辆，其中：轿车</w:t>
      </w:r>
      <w:r>
        <w:rPr>
          <w:rFonts w:hint="eastAsia" w:ascii="仿宋_GB2312" w:eastAsia="仿宋_GB2312" w:hAnsiTheme="majorEastAsia"/>
          <w:sz w:val="32"/>
          <w:szCs w:val="32"/>
          <w:lang w:val="en-US" w:eastAsia="zh-CN"/>
        </w:rPr>
        <w:t>0</w:t>
      </w:r>
      <w:r>
        <w:rPr>
          <w:rFonts w:hint="eastAsia" w:ascii="仿宋_GB2312" w:eastAsia="仿宋_GB2312" w:hAnsiTheme="majorEastAsia"/>
          <w:sz w:val="32"/>
          <w:szCs w:val="32"/>
        </w:rPr>
        <w:t>辆、越野车</w:t>
      </w:r>
      <w:r>
        <w:rPr>
          <w:rFonts w:hint="eastAsia" w:ascii="仿宋_GB2312" w:eastAsia="仿宋_GB2312" w:hAnsiTheme="majorEastAsia"/>
          <w:sz w:val="32"/>
          <w:szCs w:val="32"/>
          <w:lang w:val="en-US" w:eastAsia="zh-CN"/>
        </w:rPr>
        <w:t>1</w:t>
      </w:r>
      <w:r>
        <w:rPr>
          <w:rFonts w:hint="eastAsia" w:ascii="仿宋_GB2312" w:eastAsia="仿宋_GB2312" w:hAnsiTheme="majorEastAsia"/>
          <w:sz w:val="32"/>
          <w:szCs w:val="32"/>
        </w:rPr>
        <w:t>辆、执法执勤用车</w:t>
      </w:r>
      <w:r>
        <w:rPr>
          <w:rFonts w:hint="eastAsia" w:ascii="仿宋_GB2312" w:eastAsia="仿宋_GB2312" w:hAnsiTheme="majorEastAsia"/>
          <w:sz w:val="32"/>
          <w:szCs w:val="32"/>
          <w:lang w:val="en-US" w:eastAsia="zh-CN"/>
        </w:rPr>
        <w:t>0</w:t>
      </w:r>
      <w:r>
        <w:rPr>
          <w:rFonts w:hint="eastAsia" w:ascii="仿宋_GB2312" w:eastAsia="仿宋_GB2312" w:hAnsiTheme="majorEastAsia"/>
          <w:sz w:val="32"/>
          <w:szCs w:val="32"/>
        </w:rPr>
        <w:t>辆。部门无价值200万元以上的大型设备</w:t>
      </w:r>
      <w:r>
        <w:rPr>
          <w:rFonts w:hint="eastAsia" w:ascii="仿宋_GB2312" w:eastAsia="仿宋_GB2312" w:hAnsiTheme="majorEastAsia"/>
          <w:color w:val="000000" w:themeColor="text1"/>
          <w:sz w:val="32"/>
          <w:szCs w:val="32"/>
          <w14:textFill>
            <w14:solidFill>
              <w14:schemeClr w14:val="tx1"/>
            </w14:solidFill>
          </w14:textFill>
        </w:rPr>
        <w:t>。</w:t>
      </w:r>
    </w:p>
    <w:p w14:paraId="09C86B6A">
      <w:pPr>
        <w:pStyle w:val="16"/>
        <w:rPr>
          <w:rFonts w:hint="eastAsia" w:ascii="仿宋_GB2312" w:eastAsia="仿宋_GB2312" w:cs="Times New Roman" w:hAnsiTheme="majorEastAsia"/>
          <w:color w:val="000000" w:themeColor="text1"/>
          <w:kern w:val="2"/>
          <w:sz w:val="32"/>
          <w:szCs w:val="32"/>
          <w:lang w:val="en-US" w:eastAsia="zh-CN" w:bidi="ar-SA"/>
          <w14:textFill>
            <w14:solidFill>
              <w14:schemeClr w14:val="tx1"/>
            </w14:solidFill>
          </w14:textFill>
        </w:rPr>
      </w:pPr>
      <w:r>
        <w:rPr>
          <w:rFonts w:hint="eastAsia" w:ascii="仿宋_GB2312" w:eastAsia="仿宋_GB2312" w:hAnsiTheme="majorEastAsia"/>
          <w:color w:val="000000" w:themeColor="text1"/>
          <w:sz w:val="32"/>
          <w:szCs w:val="32"/>
          <w14:textFill>
            <w14:solidFill>
              <w14:schemeClr w14:val="tx1"/>
            </w14:solidFill>
          </w14:textFill>
        </w:rPr>
        <w:t xml:space="preserve">    </w:t>
      </w:r>
      <w:r>
        <w:rPr>
          <w:rFonts w:hint="eastAsia" w:ascii="仿宋_GB2312" w:eastAsia="仿宋_GB2312" w:cs="Times New Roman" w:hAnsiTheme="majorEastAsia"/>
          <w:color w:val="000000" w:themeColor="text1"/>
          <w:kern w:val="2"/>
          <w:sz w:val="32"/>
          <w:szCs w:val="32"/>
          <w:lang w:val="en-US" w:eastAsia="zh-CN" w:bidi="ar-SA"/>
          <w14:textFill>
            <w14:solidFill>
              <w14:schemeClr w14:val="tx1"/>
            </w14:solidFill>
          </w14:textFill>
        </w:rPr>
        <w:t>2026年部门预算安排购置办公设备275.00万元（纳入政府采购），未安排购置车辆及单位价值200万元以上大型设备的支出。</w:t>
      </w:r>
    </w:p>
    <w:p w14:paraId="0C017D21">
      <w:pPr>
        <w:ind w:firstLine="643" w:firstLineChars="200"/>
        <w:rPr>
          <w:rFonts w:ascii="楷体_GB2312" w:eastAsia="楷体_GB2312" w:hAnsiTheme="majorEastAsia"/>
          <w:b/>
          <w:sz w:val="32"/>
          <w:szCs w:val="32"/>
        </w:rPr>
      </w:pPr>
      <w:r>
        <w:rPr>
          <w:rFonts w:hint="eastAsia" w:ascii="楷体_GB2312" w:eastAsia="楷体_GB2312" w:hAnsiTheme="majorEastAsia"/>
          <w:b/>
          <w:sz w:val="32"/>
          <w:szCs w:val="32"/>
        </w:rPr>
        <w:t>（四）绩效目标设置情况</w:t>
      </w:r>
    </w:p>
    <w:p w14:paraId="61C2E58E">
      <w:pPr>
        <w:pStyle w:val="16"/>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eastAsia="仿宋_GB2312" w:cs="Times New Roman" w:hAnsiTheme="majorEastAsia"/>
          <w:color w:val="000000" w:themeColor="text1"/>
          <w:kern w:val="2"/>
          <w:sz w:val="32"/>
          <w:szCs w:val="32"/>
          <w:lang w:val="en-US" w:eastAsia="zh-CN" w:bidi="ar-SA"/>
          <w14:textFill>
            <w14:solidFill>
              <w14:schemeClr w14:val="tx1"/>
            </w14:solidFill>
          </w14:textFill>
        </w:rPr>
      </w:pPr>
      <w:r>
        <w:rPr>
          <w:rFonts w:hint="eastAsia" w:ascii="仿宋_GB2312" w:eastAsia="仿宋_GB2312" w:cs="Times New Roman" w:hAnsiTheme="majorEastAsia"/>
          <w:color w:val="000000" w:themeColor="text1"/>
          <w:kern w:val="2"/>
          <w:sz w:val="32"/>
          <w:szCs w:val="32"/>
          <w:lang w:val="en-US" w:eastAsia="zh-CN" w:bidi="ar-SA"/>
          <w14:textFill>
            <w14:solidFill>
              <w14:schemeClr w14:val="tx1"/>
            </w14:solidFill>
          </w14:textFill>
        </w:rPr>
        <w:t>2026年中共理塘县委党校开展绩效目标管理的项目1个，涉及预算300.00万元，为干部教育培训机构质量提升省级财政专项资金，属于特定目标类项目。</w:t>
      </w:r>
    </w:p>
    <w:p w14:paraId="1DB4BF05">
      <w:pPr>
        <w:pStyle w:val="16"/>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eastAsia="仿宋_GB2312" w:cs="Times New Roman" w:hAnsiTheme="majorEastAsia"/>
          <w:color w:val="000000" w:themeColor="text1"/>
          <w:kern w:val="2"/>
          <w:sz w:val="32"/>
          <w:szCs w:val="32"/>
          <w:lang w:val="en-US" w:eastAsia="zh-CN" w:bidi="ar-SA"/>
          <w14:textFill>
            <w14:solidFill>
              <w14:schemeClr w14:val="tx1"/>
            </w14:solidFill>
          </w14:textFill>
        </w:rPr>
      </w:pPr>
      <w:r>
        <w:rPr>
          <w:rFonts w:hint="eastAsia" w:ascii="仿宋_GB2312" w:eastAsia="仿宋_GB2312" w:cs="Times New Roman" w:hAnsiTheme="majorEastAsia"/>
          <w:color w:val="000000" w:themeColor="text1"/>
          <w:kern w:val="2"/>
          <w:sz w:val="32"/>
          <w:szCs w:val="32"/>
          <w:lang w:val="en-US" w:eastAsia="zh-CN" w:bidi="ar-SA"/>
          <w14:textFill>
            <w14:solidFill>
              <w14:schemeClr w14:val="tx1"/>
            </w14:solidFill>
          </w14:textFill>
        </w:rPr>
        <w:t>本单位人员类、运转类支出纳入部门整体绩效目标管理，围绕“保障机构运转、提升培训质量、优化办学条件”设置绩效指标，确保预算资金使用合规、高效，切实发挥干部教育培训主阵地作用。</w:t>
      </w:r>
    </w:p>
    <w:p w14:paraId="60A73E26">
      <w:pPr>
        <w:ind w:firstLine="640" w:firstLineChars="200"/>
        <w:rPr>
          <w:rFonts w:ascii="仿宋_GB2312" w:eastAsia="仿宋_GB2312" w:hAnsiTheme="majorEastAsia"/>
          <w:sz w:val="32"/>
          <w:szCs w:val="32"/>
        </w:rPr>
      </w:pPr>
    </w:p>
    <w:p w14:paraId="07C97F82">
      <w:pPr>
        <w:pStyle w:val="11"/>
      </w:pPr>
    </w:p>
    <w:p w14:paraId="0D12A203">
      <w:pPr>
        <w:jc w:val="center"/>
        <w:rPr>
          <w:rFonts w:ascii="方正小标宋简体" w:eastAsia="方正小标宋简体"/>
          <w:b/>
          <w:sz w:val="44"/>
          <w:szCs w:val="44"/>
        </w:rPr>
      </w:pPr>
      <w:r>
        <w:rPr>
          <w:rFonts w:hint="eastAsia" w:ascii="方正小标宋简体" w:eastAsia="方正小标宋简体"/>
          <w:b/>
          <w:sz w:val="44"/>
          <w:szCs w:val="44"/>
        </w:rPr>
        <w:t>第</w:t>
      </w:r>
      <w:r>
        <w:rPr>
          <w:rFonts w:hint="eastAsia" w:ascii="方正小标宋简体" w:eastAsia="方正小标宋简体"/>
          <w:b/>
          <w:sz w:val="44"/>
          <w:szCs w:val="44"/>
          <w:lang w:eastAsia="zh-CN"/>
        </w:rPr>
        <w:t>三</w:t>
      </w:r>
      <w:r>
        <w:rPr>
          <w:rFonts w:hint="eastAsia" w:ascii="方正小标宋简体" w:eastAsia="方正小标宋简体"/>
          <w:b/>
          <w:sz w:val="44"/>
          <w:szCs w:val="44"/>
        </w:rPr>
        <w:t>部分  名词解释</w:t>
      </w:r>
    </w:p>
    <w:p w14:paraId="685E6F40">
      <w:pPr>
        <w:rPr>
          <w:rFonts w:ascii="仿宋_GB2312" w:eastAsia="仿宋_GB2312" w:hAnsiTheme="majorEastAsia"/>
          <w:sz w:val="32"/>
          <w:szCs w:val="32"/>
        </w:rPr>
      </w:pPr>
      <w:r>
        <w:rPr>
          <w:rFonts w:hint="eastAsia" w:ascii="黑体" w:hAnsi="黑体" w:eastAsia="黑体"/>
          <w:b/>
          <w:sz w:val="32"/>
          <w:szCs w:val="32"/>
        </w:rPr>
        <w:t xml:space="preserve">  </w:t>
      </w:r>
      <w:r>
        <w:rPr>
          <w:rFonts w:hint="eastAsia" w:ascii="仿宋_GB2312" w:eastAsia="仿宋_GB2312" w:hAnsiTheme="majorEastAsia"/>
          <w:sz w:val="32"/>
          <w:szCs w:val="32"/>
        </w:rPr>
        <w:t xml:space="preserve">  一、财政拨款收入：指州级财政当年拨付的资金。</w:t>
      </w:r>
    </w:p>
    <w:p w14:paraId="01B55382">
      <w:pPr>
        <w:rPr>
          <w:rFonts w:ascii="仿宋_GB2312" w:eastAsia="仿宋_GB2312" w:hAnsiTheme="majorEastAsia"/>
          <w:sz w:val="32"/>
          <w:szCs w:val="32"/>
        </w:rPr>
      </w:pPr>
      <w:r>
        <w:rPr>
          <w:rFonts w:hint="eastAsia" w:ascii="仿宋_GB2312" w:eastAsia="仿宋_GB2312" w:hAnsiTheme="majorEastAsia"/>
          <w:sz w:val="32"/>
          <w:szCs w:val="32"/>
        </w:rPr>
        <w:t xml:space="preserve">    二、其他收入：指除上述“财政拨款收入”、“事业收入”等以外的收入。主要是银行存款利息收入等。</w:t>
      </w:r>
    </w:p>
    <w:p w14:paraId="20C11683">
      <w:pPr>
        <w:rPr>
          <w:rFonts w:ascii="仿宋_GB2312" w:eastAsia="仿宋_GB2312" w:hAnsiTheme="majorEastAsia"/>
          <w:sz w:val="32"/>
          <w:szCs w:val="32"/>
        </w:rPr>
      </w:pPr>
      <w:r>
        <w:rPr>
          <w:rFonts w:hint="eastAsia" w:ascii="仿宋_GB2312" w:eastAsia="仿宋_GB2312" w:hAnsiTheme="majorEastAsia"/>
          <w:sz w:val="32"/>
          <w:szCs w:val="32"/>
        </w:rPr>
        <w:t xml:space="preserve">    三、年初结转结和余：指以前年度尚未完成，结转到本年仍按原规定用途继续使用的资金。</w:t>
      </w:r>
    </w:p>
    <w:p w14:paraId="57787E1B">
      <w:pPr>
        <w:rPr>
          <w:rFonts w:ascii="仿宋_GB2312" w:eastAsia="仿宋_GB2312" w:hAnsiTheme="majorEastAsia"/>
          <w:sz w:val="32"/>
          <w:szCs w:val="32"/>
        </w:rPr>
      </w:pPr>
      <w:r>
        <w:rPr>
          <w:rFonts w:hint="eastAsia" w:ascii="仿宋_GB2312" w:eastAsia="仿宋_GB2312" w:hAnsiTheme="majorEastAsia"/>
          <w:sz w:val="32"/>
          <w:szCs w:val="32"/>
        </w:rPr>
        <w:t xml:space="preserve">    四、年末结转和结余：指本年年度或者以前年度预算安排、因客观条件发生变化无法按原计划实施，需延迟至以后年度按有关规定继续使用的资金。</w:t>
      </w:r>
    </w:p>
    <w:p w14:paraId="3077D3D1">
      <w:pPr>
        <w:rPr>
          <w:rFonts w:ascii="仿宋_GB2312" w:eastAsia="仿宋_GB2312" w:hAnsiTheme="majorEastAsia"/>
          <w:sz w:val="32"/>
          <w:szCs w:val="32"/>
        </w:rPr>
      </w:pPr>
      <w:r>
        <w:rPr>
          <w:rFonts w:hint="eastAsia" w:ascii="仿宋_GB2312" w:eastAsia="仿宋_GB2312" w:hAnsiTheme="majorEastAsia"/>
          <w:sz w:val="32"/>
          <w:szCs w:val="32"/>
        </w:rPr>
        <w:t xml:space="preserve">    五、基本支出：指为保证机构正常运转，完成日常工作任务而发生的人员支出和公用支出。</w:t>
      </w:r>
    </w:p>
    <w:p w14:paraId="3EF368C0">
      <w:pPr>
        <w:rPr>
          <w:rFonts w:ascii="仿宋_GB2312" w:eastAsia="仿宋_GB2312" w:hAnsiTheme="majorEastAsia"/>
          <w:sz w:val="32"/>
          <w:szCs w:val="32"/>
        </w:rPr>
      </w:pPr>
      <w:r>
        <w:rPr>
          <w:rFonts w:hint="eastAsia" w:ascii="仿宋_GB2312" w:eastAsia="仿宋_GB2312" w:hAnsiTheme="majorEastAsia"/>
          <w:sz w:val="32"/>
          <w:szCs w:val="32"/>
        </w:rPr>
        <w:t>　　六、项目支出：指在基本支出之外为完成特定行政任务和事业发展目标所发生的支出。</w:t>
      </w:r>
    </w:p>
    <w:p w14:paraId="4B2E7925">
      <w:pPr>
        <w:rPr>
          <w:rFonts w:ascii="仿宋_GB2312" w:eastAsia="仿宋_GB2312" w:hAnsiTheme="majorEastAsia"/>
          <w:sz w:val="32"/>
          <w:szCs w:val="32"/>
        </w:rPr>
      </w:pPr>
      <w:r>
        <w:rPr>
          <w:rFonts w:hint="eastAsia" w:ascii="仿宋_GB2312" w:eastAsia="仿宋_GB2312" w:hAnsiTheme="majorEastAsia"/>
          <w:sz w:val="32"/>
          <w:szCs w:val="32"/>
        </w:rPr>
        <w:t>　　七、“三公”经费：是指部门用财政拨款安排的因公出国（境）费、公务用车购置及运行费和公务接待费。其中，因公出国（境）费反映单位公务出国（境）的费用、如：交通费、住宿费、伙食费、培训费、公杂费等支出；公务用车购置及运行费反映单位公务用车车辆购置支出（含车辆购置税）及租用费、燃料费、维修费、过路过桥费、保险费等支出；公务接待费反映单位按规定开支的各类公务接待支出。</w:t>
      </w:r>
    </w:p>
    <w:p w14:paraId="32629724">
      <w:pPr>
        <w:rPr>
          <w:rFonts w:ascii="仿宋_GB2312" w:eastAsia="仿宋_GB2312" w:hAnsiTheme="majorEastAsia"/>
          <w:sz w:val="32"/>
          <w:szCs w:val="32"/>
        </w:rPr>
      </w:pPr>
      <w:r>
        <w:rPr>
          <w:rFonts w:hint="eastAsia" w:ascii="仿宋_GB2312" w:eastAsia="仿宋_GB2312" w:hAnsiTheme="majorEastAsia"/>
          <w:sz w:val="32"/>
          <w:szCs w:val="32"/>
        </w:rPr>
        <w:t>　　八、机关运行经费：为保障行政单位（包含参照公务员法管理的事业单位）运行用于购买货物和服务的各项资金。包括办公费、印刷费、水电费、邮电费、差旅费、会议费等费用开支。</w:t>
      </w:r>
    </w:p>
    <w:p w14:paraId="0BF788F9">
      <w:pPr>
        <w:rPr>
          <w:rFonts w:ascii="仿宋_GB2312" w:eastAsia="仿宋_GB2312" w:hAnsiTheme="majorEastAsia"/>
          <w:sz w:val="32"/>
          <w:szCs w:val="32"/>
        </w:rPr>
      </w:pPr>
      <w:r>
        <w:rPr>
          <w:rFonts w:hint="eastAsia" w:ascii="仿宋_GB2312" w:eastAsia="仿宋_GB2312" w:hAnsiTheme="majorEastAsia"/>
          <w:sz w:val="32"/>
          <w:szCs w:val="32"/>
        </w:rPr>
        <w:t xml:space="preserve">     ......</w:t>
      </w:r>
    </w:p>
    <w:p w14:paraId="0D202D28">
      <w:pPr>
        <w:rPr>
          <w:rFonts w:ascii="仿宋_GB2312" w:eastAsia="仿宋_GB2312" w:hAnsiTheme="majorEastAsia"/>
          <w:b/>
          <w:sz w:val="32"/>
          <w:szCs w:val="32"/>
        </w:rPr>
      </w:pPr>
      <w:r>
        <w:rPr>
          <w:rFonts w:hint="eastAsia" w:ascii="仿宋_GB2312" w:eastAsia="仿宋_GB2312" w:hAnsiTheme="majorEastAsia"/>
          <w:b/>
          <w:sz w:val="32"/>
          <w:szCs w:val="32"/>
        </w:rPr>
        <w:t xml:space="preserve">    （请部门根据实际情况，对应添加名词解释。）</w:t>
      </w:r>
    </w:p>
    <w:p w14:paraId="5BD20EB5">
      <w:pPr>
        <w:rPr>
          <w:rFonts w:ascii="仿宋_GB2312" w:eastAsia="仿宋_GB2312" w:hAnsiTheme="majorEastAsia"/>
          <w:sz w:val="32"/>
          <w:szCs w:val="32"/>
        </w:rPr>
      </w:pPr>
    </w:p>
    <w:p w14:paraId="7C487300">
      <w:pPr>
        <w:rPr>
          <w:rFonts w:ascii="仿宋_GB2312" w:eastAsia="仿宋_GB2312" w:hAnsiTheme="majorEastAsia"/>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方正小标宋简体">
    <w:altName w:val="微软雅黑"/>
    <w:panose1 w:val="03000509000000000000"/>
    <w:charset w:val="86"/>
    <w:family w:val="script"/>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DD3EB6C"/>
    <w:multiLevelType w:val="singleLevel"/>
    <w:tmpl w:val="7DD3EB6C"/>
    <w:lvl w:ilvl="0" w:tentative="0">
      <w:start w:val="3"/>
      <w:numFmt w:val="chineseCounting"/>
      <w:suff w:val="nothing"/>
      <w:lvlText w:val="%1、"/>
      <w:lvlJc w:val="left"/>
      <w:pPr>
        <w:ind w:left="642" w:leftChars="0" w:firstLine="0" w:firstLineChars="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21E"/>
    <w:rsid w:val="0000057B"/>
    <w:rsid w:val="00010305"/>
    <w:rsid w:val="00015C1D"/>
    <w:rsid w:val="0003165B"/>
    <w:rsid w:val="0004483A"/>
    <w:rsid w:val="00054AA1"/>
    <w:rsid w:val="00077D26"/>
    <w:rsid w:val="0008129D"/>
    <w:rsid w:val="00083AC1"/>
    <w:rsid w:val="00090E9E"/>
    <w:rsid w:val="0009605B"/>
    <w:rsid w:val="000A2A8F"/>
    <w:rsid w:val="000A42CE"/>
    <w:rsid w:val="000C399D"/>
    <w:rsid w:val="000E7F05"/>
    <w:rsid w:val="000F617E"/>
    <w:rsid w:val="001065F5"/>
    <w:rsid w:val="0011452F"/>
    <w:rsid w:val="00122F45"/>
    <w:rsid w:val="0013117C"/>
    <w:rsid w:val="00140861"/>
    <w:rsid w:val="00141B7A"/>
    <w:rsid w:val="00143287"/>
    <w:rsid w:val="001466FF"/>
    <w:rsid w:val="00150589"/>
    <w:rsid w:val="00154144"/>
    <w:rsid w:val="00167FEF"/>
    <w:rsid w:val="001748DA"/>
    <w:rsid w:val="001834D1"/>
    <w:rsid w:val="00196659"/>
    <w:rsid w:val="001A59E2"/>
    <w:rsid w:val="001A6C79"/>
    <w:rsid w:val="001D19A1"/>
    <w:rsid w:val="001F5BF1"/>
    <w:rsid w:val="002179A5"/>
    <w:rsid w:val="002238C3"/>
    <w:rsid w:val="00234D1F"/>
    <w:rsid w:val="002639A4"/>
    <w:rsid w:val="00264CD0"/>
    <w:rsid w:val="002A19D8"/>
    <w:rsid w:val="002B10F1"/>
    <w:rsid w:val="002C1A96"/>
    <w:rsid w:val="002C4EE5"/>
    <w:rsid w:val="002C7AFA"/>
    <w:rsid w:val="002D6BBB"/>
    <w:rsid w:val="002E6D4F"/>
    <w:rsid w:val="003074F8"/>
    <w:rsid w:val="00307E65"/>
    <w:rsid w:val="003103F0"/>
    <w:rsid w:val="003202B4"/>
    <w:rsid w:val="00351D1F"/>
    <w:rsid w:val="00373C00"/>
    <w:rsid w:val="00384095"/>
    <w:rsid w:val="003921A1"/>
    <w:rsid w:val="003A7617"/>
    <w:rsid w:val="003B0256"/>
    <w:rsid w:val="003E355F"/>
    <w:rsid w:val="003F0E14"/>
    <w:rsid w:val="00434C9F"/>
    <w:rsid w:val="0045061D"/>
    <w:rsid w:val="00454DFC"/>
    <w:rsid w:val="004A3279"/>
    <w:rsid w:val="004D3CC5"/>
    <w:rsid w:val="004D6495"/>
    <w:rsid w:val="004E3349"/>
    <w:rsid w:val="00500DCD"/>
    <w:rsid w:val="005046EA"/>
    <w:rsid w:val="00520F41"/>
    <w:rsid w:val="005357D8"/>
    <w:rsid w:val="00552DAC"/>
    <w:rsid w:val="00564F17"/>
    <w:rsid w:val="00565781"/>
    <w:rsid w:val="0057151C"/>
    <w:rsid w:val="00583C68"/>
    <w:rsid w:val="00586370"/>
    <w:rsid w:val="0059521E"/>
    <w:rsid w:val="005B4663"/>
    <w:rsid w:val="005F343D"/>
    <w:rsid w:val="005F350D"/>
    <w:rsid w:val="00600384"/>
    <w:rsid w:val="00601518"/>
    <w:rsid w:val="00630C35"/>
    <w:rsid w:val="00632068"/>
    <w:rsid w:val="00634779"/>
    <w:rsid w:val="006508D5"/>
    <w:rsid w:val="0067268A"/>
    <w:rsid w:val="0069555A"/>
    <w:rsid w:val="006A12A8"/>
    <w:rsid w:val="006B743F"/>
    <w:rsid w:val="006C49A7"/>
    <w:rsid w:val="006D3303"/>
    <w:rsid w:val="007055B4"/>
    <w:rsid w:val="0072300D"/>
    <w:rsid w:val="00725876"/>
    <w:rsid w:val="00744AE0"/>
    <w:rsid w:val="0075166F"/>
    <w:rsid w:val="00756EED"/>
    <w:rsid w:val="00761A97"/>
    <w:rsid w:val="00794E9A"/>
    <w:rsid w:val="007C4B88"/>
    <w:rsid w:val="007C4C68"/>
    <w:rsid w:val="007D03E1"/>
    <w:rsid w:val="007D4FD4"/>
    <w:rsid w:val="007E7ECC"/>
    <w:rsid w:val="007F7549"/>
    <w:rsid w:val="00817157"/>
    <w:rsid w:val="008179DA"/>
    <w:rsid w:val="008318DB"/>
    <w:rsid w:val="008475ED"/>
    <w:rsid w:val="00851B6F"/>
    <w:rsid w:val="00853BBC"/>
    <w:rsid w:val="008559C0"/>
    <w:rsid w:val="00873B59"/>
    <w:rsid w:val="0087454C"/>
    <w:rsid w:val="00885060"/>
    <w:rsid w:val="00891D96"/>
    <w:rsid w:val="008A1734"/>
    <w:rsid w:val="008A2D36"/>
    <w:rsid w:val="008B5D28"/>
    <w:rsid w:val="008D2AAE"/>
    <w:rsid w:val="008E2713"/>
    <w:rsid w:val="008E4D2C"/>
    <w:rsid w:val="008E5610"/>
    <w:rsid w:val="008E658F"/>
    <w:rsid w:val="008F2C0E"/>
    <w:rsid w:val="009010C7"/>
    <w:rsid w:val="009269BF"/>
    <w:rsid w:val="0093262C"/>
    <w:rsid w:val="00955CAA"/>
    <w:rsid w:val="00956D0C"/>
    <w:rsid w:val="00966233"/>
    <w:rsid w:val="00980D89"/>
    <w:rsid w:val="009834B6"/>
    <w:rsid w:val="00990D71"/>
    <w:rsid w:val="0099169F"/>
    <w:rsid w:val="009A0386"/>
    <w:rsid w:val="009F0A7F"/>
    <w:rsid w:val="00A01E26"/>
    <w:rsid w:val="00A06A36"/>
    <w:rsid w:val="00A16169"/>
    <w:rsid w:val="00A16BAA"/>
    <w:rsid w:val="00A20523"/>
    <w:rsid w:val="00A20B98"/>
    <w:rsid w:val="00A32AE6"/>
    <w:rsid w:val="00A56766"/>
    <w:rsid w:val="00A6627B"/>
    <w:rsid w:val="00A715B7"/>
    <w:rsid w:val="00A73A3B"/>
    <w:rsid w:val="00A76B7E"/>
    <w:rsid w:val="00A76C24"/>
    <w:rsid w:val="00A80D7D"/>
    <w:rsid w:val="00A80DF4"/>
    <w:rsid w:val="00A8205C"/>
    <w:rsid w:val="00A82A9B"/>
    <w:rsid w:val="00A82BC7"/>
    <w:rsid w:val="00A84E1B"/>
    <w:rsid w:val="00A85ED8"/>
    <w:rsid w:val="00A868D8"/>
    <w:rsid w:val="00A87C49"/>
    <w:rsid w:val="00A953D1"/>
    <w:rsid w:val="00AB051A"/>
    <w:rsid w:val="00AB7668"/>
    <w:rsid w:val="00AE2639"/>
    <w:rsid w:val="00AE5B3F"/>
    <w:rsid w:val="00B15C55"/>
    <w:rsid w:val="00B2126F"/>
    <w:rsid w:val="00B229A6"/>
    <w:rsid w:val="00B26BDA"/>
    <w:rsid w:val="00B33A9D"/>
    <w:rsid w:val="00B33C77"/>
    <w:rsid w:val="00B34F17"/>
    <w:rsid w:val="00B72834"/>
    <w:rsid w:val="00B745F8"/>
    <w:rsid w:val="00B77D9A"/>
    <w:rsid w:val="00B82D01"/>
    <w:rsid w:val="00B85070"/>
    <w:rsid w:val="00BA2A82"/>
    <w:rsid w:val="00BC3155"/>
    <w:rsid w:val="00BD741A"/>
    <w:rsid w:val="00BE1DE6"/>
    <w:rsid w:val="00C03AAA"/>
    <w:rsid w:val="00C464B6"/>
    <w:rsid w:val="00C665EA"/>
    <w:rsid w:val="00C87564"/>
    <w:rsid w:val="00CB2D2E"/>
    <w:rsid w:val="00CC62A9"/>
    <w:rsid w:val="00CE15A9"/>
    <w:rsid w:val="00CE458F"/>
    <w:rsid w:val="00D203A1"/>
    <w:rsid w:val="00D25FA3"/>
    <w:rsid w:val="00D31968"/>
    <w:rsid w:val="00D46095"/>
    <w:rsid w:val="00D82204"/>
    <w:rsid w:val="00DA2DE4"/>
    <w:rsid w:val="00DB4AB6"/>
    <w:rsid w:val="00DB53B9"/>
    <w:rsid w:val="00DE4D56"/>
    <w:rsid w:val="00DF3FC9"/>
    <w:rsid w:val="00DF5A9E"/>
    <w:rsid w:val="00DF6F3F"/>
    <w:rsid w:val="00DF77C7"/>
    <w:rsid w:val="00E00A73"/>
    <w:rsid w:val="00E07EA9"/>
    <w:rsid w:val="00E27F10"/>
    <w:rsid w:val="00E342C6"/>
    <w:rsid w:val="00E41824"/>
    <w:rsid w:val="00E43C8A"/>
    <w:rsid w:val="00E5392A"/>
    <w:rsid w:val="00E72F2F"/>
    <w:rsid w:val="00E72F32"/>
    <w:rsid w:val="00E9784C"/>
    <w:rsid w:val="00EA213E"/>
    <w:rsid w:val="00EC4EC4"/>
    <w:rsid w:val="00ED76A1"/>
    <w:rsid w:val="00EE0DDF"/>
    <w:rsid w:val="00F21028"/>
    <w:rsid w:val="00F3718C"/>
    <w:rsid w:val="00F410D7"/>
    <w:rsid w:val="00F65F18"/>
    <w:rsid w:val="00F72EDB"/>
    <w:rsid w:val="00F943B4"/>
    <w:rsid w:val="00F974AB"/>
    <w:rsid w:val="00FB0849"/>
    <w:rsid w:val="00FB2415"/>
    <w:rsid w:val="00FB76E2"/>
    <w:rsid w:val="00FE2939"/>
    <w:rsid w:val="00FE56F0"/>
    <w:rsid w:val="00FF11C4"/>
    <w:rsid w:val="011650F2"/>
    <w:rsid w:val="015D21B9"/>
    <w:rsid w:val="01736B1D"/>
    <w:rsid w:val="02454496"/>
    <w:rsid w:val="025A2915"/>
    <w:rsid w:val="05B126E5"/>
    <w:rsid w:val="063F6C84"/>
    <w:rsid w:val="078655A0"/>
    <w:rsid w:val="07B23112"/>
    <w:rsid w:val="08396C9A"/>
    <w:rsid w:val="0AAA0DA7"/>
    <w:rsid w:val="0B650E4C"/>
    <w:rsid w:val="0B8B5DA7"/>
    <w:rsid w:val="0C6B3887"/>
    <w:rsid w:val="0CB30549"/>
    <w:rsid w:val="0CCD778A"/>
    <w:rsid w:val="0CDB05A6"/>
    <w:rsid w:val="0D0644E8"/>
    <w:rsid w:val="0DAB2E51"/>
    <w:rsid w:val="0DBD7BC0"/>
    <w:rsid w:val="0E656873"/>
    <w:rsid w:val="0EB741A5"/>
    <w:rsid w:val="0F492922"/>
    <w:rsid w:val="0F797E0C"/>
    <w:rsid w:val="0F8C0FF6"/>
    <w:rsid w:val="107A1AB2"/>
    <w:rsid w:val="12024583"/>
    <w:rsid w:val="123617BE"/>
    <w:rsid w:val="123A07E2"/>
    <w:rsid w:val="13767969"/>
    <w:rsid w:val="13B24268"/>
    <w:rsid w:val="147B373C"/>
    <w:rsid w:val="14D00744"/>
    <w:rsid w:val="15257E69"/>
    <w:rsid w:val="15801628"/>
    <w:rsid w:val="170B2501"/>
    <w:rsid w:val="17D95817"/>
    <w:rsid w:val="18E34168"/>
    <w:rsid w:val="18FD4097"/>
    <w:rsid w:val="19140354"/>
    <w:rsid w:val="191713F9"/>
    <w:rsid w:val="196168BF"/>
    <w:rsid w:val="1A717BA4"/>
    <w:rsid w:val="1A925535"/>
    <w:rsid w:val="1C4A7CD9"/>
    <w:rsid w:val="1D8E3981"/>
    <w:rsid w:val="1DF44960"/>
    <w:rsid w:val="1DFA40F8"/>
    <w:rsid w:val="1E182BFD"/>
    <w:rsid w:val="20CD7BDB"/>
    <w:rsid w:val="20F45468"/>
    <w:rsid w:val="21537CC2"/>
    <w:rsid w:val="217D23C5"/>
    <w:rsid w:val="21D462C4"/>
    <w:rsid w:val="22123047"/>
    <w:rsid w:val="22201F00"/>
    <w:rsid w:val="222078B3"/>
    <w:rsid w:val="234B1C68"/>
    <w:rsid w:val="234F4176"/>
    <w:rsid w:val="237B64B2"/>
    <w:rsid w:val="2457560B"/>
    <w:rsid w:val="24866458"/>
    <w:rsid w:val="250F1766"/>
    <w:rsid w:val="25634FF3"/>
    <w:rsid w:val="25C7493C"/>
    <w:rsid w:val="27955005"/>
    <w:rsid w:val="28394065"/>
    <w:rsid w:val="28A220D7"/>
    <w:rsid w:val="28AA5D9E"/>
    <w:rsid w:val="293921D7"/>
    <w:rsid w:val="2A994305"/>
    <w:rsid w:val="2B973510"/>
    <w:rsid w:val="2C8826DE"/>
    <w:rsid w:val="2CDA0C05"/>
    <w:rsid w:val="2D12039F"/>
    <w:rsid w:val="2F0249B1"/>
    <w:rsid w:val="2F6F6BDD"/>
    <w:rsid w:val="307059DD"/>
    <w:rsid w:val="30EC1BBA"/>
    <w:rsid w:val="310B2A31"/>
    <w:rsid w:val="31DD0065"/>
    <w:rsid w:val="32B53CA7"/>
    <w:rsid w:val="32DF02B0"/>
    <w:rsid w:val="330C692E"/>
    <w:rsid w:val="333C7460"/>
    <w:rsid w:val="33EC36F7"/>
    <w:rsid w:val="33EC523E"/>
    <w:rsid w:val="34011642"/>
    <w:rsid w:val="34F67B0B"/>
    <w:rsid w:val="357F059C"/>
    <w:rsid w:val="35D46FCA"/>
    <w:rsid w:val="3633312E"/>
    <w:rsid w:val="36990802"/>
    <w:rsid w:val="37CE7812"/>
    <w:rsid w:val="38583047"/>
    <w:rsid w:val="393332C2"/>
    <w:rsid w:val="395F496C"/>
    <w:rsid w:val="39B71C92"/>
    <w:rsid w:val="39B737E8"/>
    <w:rsid w:val="3A180A3F"/>
    <w:rsid w:val="3A1F4955"/>
    <w:rsid w:val="3A59018F"/>
    <w:rsid w:val="3A7B37BE"/>
    <w:rsid w:val="3AA87CF7"/>
    <w:rsid w:val="3B7E7BAD"/>
    <w:rsid w:val="3B8F6732"/>
    <w:rsid w:val="3BD37450"/>
    <w:rsid w:val="3BEB0739"/>
    <w:rsid w:val="3D5B3995"/>
    <w:rsid w:val="3DBF5C21"/>
    <w:rsid w:val="3DD63CB6"/>
    <w:rsid w:val="3ED83AF5"/>
    <w:rsid w:val="401E3BE7"/>
    <w:rsid w:val="40341BEB"/>
    <w:rsid w:val="407367B5"/>
    <w:rsid w:val="423E524F"/>
    <w:rsid w:val="42510F40"/>
    <w:rsid w:val="42E35EAE"/>
    <w:rsid w:val="42FF4D74"/>
    <w:rsid w:val="43126652"/>
    <w:rsid w:val="4360246D"/>
    <w:rsid w:val="449B7EB6"/>
    <w:rsid w:val="44B64FE6"/>
    <w:rsid w:val="45375EF3"/>
    <w:rsid w:val="4542148B"/>
    <w:rsid w:val="46407D68"/>
    <w:rsid w:val="466730B2"/>
    <w:rsid w:val="46901994"/>
    <w:rsid w:val="47043A92"/>
    <w:rsid w:val="47A61D3B"/>
    <w:rsid w:val="48164B64"/>
    <w:rsid w:val="482E71FA"/>
    <w:rsid w:val="48597E2C"/>
    <w:rsid w:val="487B5F73"/>
    <w:rsid w:val="4A5D32AF"/>
    <w:rsid w:val="4AFD645C"/>
    <w:rsid w:val="4C3D778E"/>
    <w:rsid w:val="4D174BEB"/>
    <w:rsid w:val="4D3A37F9"/>
    <w:rsid w:val="4D535390"/>
    <w:rsid w:val="4F4B29E6"/>
    <w:rsid w:val="4F901304"/>
    <w:rsid w:val="5010739D"/>
    <w:rsid w:val="502466D3"/>
    <w:rsid w:val="5072326C"/>
    <w:rsid w:val="510F6820"/>
    <w:rsid w:val="518B1EE0"/>
    <w:rsid w:val="520C7870"/>
    <w:rsid w:val="52401A6A"/>
    <w:rsid w:val="533E4040"/>
    <w:rsid w:val="553D09CD"/>
    <w:rsid w:val="5572613A"/>
    <w:rsid w:val="565D6BD8"/>
    <w:rsid w:val="567B7EF4"/>
    <w:rsid w:val="56933174"/>
    <w:rsid w:val="575B456D"/>
    <w:rsid w:val="588B3438"/>
    <w:rsid w:val="5928688E"/>
    <w:rsid w:val="59373D67"/>
    <w:rsid w:val="596C5993"/>
    <w:rsid w:val="5A5702DC"/>
    <w:rsid w:val="5B1E46C9"/>
    <w:rsid w:val="5B40192E"/>
    <w:rsid w:val="5BDB03D8"/>
    <w:rsid w:val="5C0426BC"/>
    <w:rsid w:val="5C1D63BE"/>
    <w:rsid w:val="5D0320E0"/>
    <w:rsid w:val="5D1A354D"/>
    <w:rsid w:val="5E773485"/>
    <w:rsid w:val="5F4F154D"/>
    <w:rsid w:val="61A8141C"/>
    <w:rsid w:val="62112AF1"/>
    <w:rsid w:val="63C87998"/>
    <w:rsid w:val="65604274"/>
    <w:rsid w:val="66226D69"/>
    <w:rsid w:val="664D59C9"/>
    <w:rsid w:val="680613B6"/>
    <w:rsid w:val="681462FB"/>
    <w:rsid w:val="69181B09"/>
    <w:rsid w:val="69462D43"/>
    <w:rsid w:val="694F69BA"/>
    <w:rsid w:val="6B7F49D0"/>
    <w:rsid w:val="6B857FAE"/>
    <w:rsid w:val="6BE0577F"/>
    <w:rsid w:val="6D4905FF"/>
    <w:rsid w:val="6EF26985"/>
    <w:rsid w:val="6F5171E2"/>
    <w:rsid w:val="70AE1582"/>
    <w:rsid w:val="71690FAF"/>
    <w:rsid w:val="71F569C9"/>
    <w:rsid w:val="721C047B"/>
    <w:rsid w:val="72B350A9"/>
    <w:rsid w:val="732632DB"/>
    <w:rsid w:val="7377164C"/>
    <w:rsid w:val="73B9469D"/>
    <w:rsid w:val="74262C81"/>
    <w:rsid w:val="74292FE5"/>
    <w:rsid w:val="742F3B3B"/>
    <w:rsid w:val="744E3ABA"/>
    <w:rsid w:val="75D32DD7"/>
    <w:rsid w:val="762430ED"/>
    <w:rsid w:val="76BF5AC0"/>
    <w:rsid w:val="7720536B"/>
    <w:rsid w:val="779C16A2"/>
    <w:rsid w:val="77AE73A2"/>
    <w:rsid w:val="782B1D7F"/>
    <w:rsid w:val="782E42AE"/>
    <w:rsid w:val="79544869"/>
    <w:rsid w:val="796C78BB"/>
    <w:rsid w:val="79915163"/>
    <w:rsid w:val="7C274165"/>
    <w:rsid w:val="7D3F0B07"/>
    <w:rsid w:val="7DAC3794"/>
    <w:rsid w:val="7DAC49A5"/>
    <w:rsid w:val="7DB16DD3"/>
    <w:rsid w:val="7F0D689D"/>
    <w:rsid w:val="7F7123E7"/>
    <w:rsid w:val="7FAB48DA"/>
    <w:rsid w:val="7FB216C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99"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next w:val="1"/>
    <w:qFormat/>
    <w:uiPriority w:val="0"/>
    <w:pPr>
      <w:spacing w:before="380" w:after="140" w:line="288" w:lineRule="auto"/>
      <w:ind w:left="0"/>
      <w:jc w:val="left"/>
      <w:outlineLvl w:val="0"/>
    </w:pPr>
    <w:rPr>
      <w:rFonts w:ascii="Arial" w:hAnsi="Arial" w:eastAsia="等线" w:cs="Arial"/>
      <w:b/>
      <w:bCs/>
      <w:sz w:val="36"/>
      <w:szCs w:val="36"/>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w:basedOn w:val="1"/>
    <w:next w:val="1"/>
    <w:qFormat/>
    <w:uiPriority w:val="99"/>
    <w:rPr>
      <w:rFonts w:hAnsi="Calibri" w:cs="Times New Roman"/>
      <w:szCs w:val="20"/>
    </w:rPr>
  </w:style>
  <w:style w:type="paragraph" w:styleId="4">
    <w:name w:val="Date"/>
    <w:basedOn w:val="1"/>
    <w:next w:val="1"/>
    <w:link w:val="14"/>
    <w:qFormat/>
    <w:uiPriority w:val="0"/>
    <w:pPr>
      <w:ind w:left="100" w:leftChars="2500"/>
    </w:pPr>
  </w:style>
  <w:style w:type="paragraph" w:styleId="5">
    <w:name w:val="footer"/>
    <w:basedOn w:val="1"/>
    <w:link w:val="13"/>
    <w:qFormat/>
    <w:uiPriority w:val="0"/>
    <w:pPr>
      <w:tabs>
        <w:tab w:val="center" w:pos="4153"/>
        <w:tab w:val="right" w:pos="8306"/>
      </w:tabs>
      <w:snapToGrid w:val="0"/>
      <w:jc w:val="left"/>
    </w:pPr>
    <w:rPr>
      <w:sz w:val="18"/>
      <w:szCs w:val="18"/>
    </w:rPr>
  </w:style>
  <w:style w:type="paragraph" w:styleId="6">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0">
    <w:name w:val="Strong"/>
    <w:basedOn w:val="9"/>
    <w:qFormat/>
    <w:uiPriority w:val="99"/>
    <w:rPr>
      <w:b/>
    </w:rPr>
  </w:style>
  <w:style w:type="paragraph" w:customStyle="1" w:styleId="11">
    <w:name w:val="PlainText"/>
    <w:basedOn w:val="1"/>
    <w:qFormat/>
    <w:uiPriority w:val="0"/>
    <w:pPr>
      <w:textAlignment w:val="baseline"/>
    </w:pPr>
    <w:rPr>
      <w:rFonts w:ascii="宋体" w:hAnsi="Courier New" w:eastAsia="宋体" w:cs="Times New Roman"/>
      <w:szCs w:val="21"/>
    </w:rPr>
  </w:style>
  <w:style w:type="character" w:customStyle="1" w:styleId="12">
    <w:name w:val="页眉 Char"/>
    <w:basedOn w:val="9"/>
    <w:link w:val="6"/>
    <w:qFormat/>
    <w:uiPriority w:val="0"/>
    <w:rPr>
      <w:kern w:val="2"/>
      <w:sz w:val="18"/>
      <w:szCs w:val="18"/>
    </w:rPr>
  </w:style>
  <w:style w:type="character" w:customStyle="1" w:styleId="13">
    <w:name w:val="页脚 Char"/>
    <w:basedOn w:val="9"/>
    <w:link w:val="5"/>
    <w:qFormat/>
    <w:uiPriority w:val="0"/>
    <w:rPr>
      <w:kern w:val="2"/>
      <w:sz w:val="18"/>
      <w:szCs w:val="18"/>
    </w:rPr>
  </w:style>
  <w:style w:type="character" w:customStyle="1" w:styleId="14">
    <w:name w:val="日期 Char"/>
    <w:basedOn w:val="9"/>
    <w:link w:val="4"/>
    <w:qFormat/>
    <w:uiPriority w:val="0"/>
    <w:rPr>
      <w:kern w:val="2"/>
      <w:sz w:val="21"/>
      <w:szCs w:val="24"/>
    </w:rPr>
  </w:style>
  <w:style w:type="paragraph" w:customStyle="1" w:styleId="15">
    <w:name w:val="p0"/>
    <w:basedOn w:val="1"/>
    <w:qFormat/>
    <w:uiPriority w:val="0"/>
    <w:pPr>
      <w:widowControl/>
    </w:pPr>
    <w:rPr>
      <w:rFonts w:ascii="Calibri" w:hAnsi="Calibri" w:cs="Calibri"/>
      <w:kern w:val="0"/>
      <w:szCs w:val="21"/>
    </w:rPr>
  </w:style>
  <w:style w:type="paragraph" w:customStyle="1" w:styleId="16">
    <w:name w:val="_Style 13"/>
    <w:qFormat/>
    <w:uiPriority w:val="0"/>
    <w:pPr>
      <w:spacing w:before="120" w:after="120" w:line="288" w:lineRule="auto"/>
      <w:ind w:left="0"/>
      <w:jc w:val="left"/>
    </w:pPr>
    <w:rPr>
      <w:rFonts w:ascii="Arial" w:hAnsi="Arial" w:eastAsia="等线" w:cs="Arial"/>
      <w:sz w:val="22"/>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E2C01F-6444-4125-B5D6-8606B5F7058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12</Pages>
  <Words>46</Words>
  <Characters>50</Characters>
  <Lines>27</Lines>
  <Paragraphs>7</Paragraphs>
  <TotalTime>9</TotalTime>
  <ScaleCrop>false</ScaleCrop>
  <LinksUpToDate>false</LinksUpToDate>
  <CharactersWithSpaces>53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2018-12-07T09:01:00Z</dcterms:created>
  <dc:creator>德西</dc:creator>
  <cp:lastModifiedBy>གངས་རི</cp:lastModifiedBy>
  <dcterms:modified xsi:type="dcterms:W3CDTF">2026-03-26T13:10:47Z</dcterms:modified>
  <cp:revision>183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eyJoZGlkIjoiZTNhNzUxNzUxMjlkNmIxM2I1ZDVlMDQ5MjlmYjZiYTQiLCJ1c2VySWQiOiI1MzIyNTA2MzcifQ==</vt:lpwstr>
  </property>
  <property fmtid="{D5CDD505-2E9C-101B-9397-08002B2CF9AE}" pid="4" name="ICV">
    <vt:lpwstr>D218AA6830A44981B17EF3BF13D40CE4_13</vt:lpwstr>
  </property>
</Properties>
</file>