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hint="eastAsia" w:eastAsia="方正小标宋简体"/>
          <w:sz w:val="44"/>
          <w:szCs w:val="44"/>
          <w:lang w:val="en-US" w:eastAsia="zh-CN"/>
        </w:rPr>
      </w:pPr>
      <w:r>
        <w:rPr>
          <w:rFonts w:hint="eastAsia" w:eastAsia="方正小标宋简体"/>
          <w:sz w:val="44"/>
          <w:szCs w:val="44"/>
          <w:lang w:eastAsia="zh-CN"/>
        </w:rPr>
        <w:t>洪雅县人民法院</w:t>
      </w:r>
    </w:p>
    <w:p>
      <w:pPr>
        <w:spacing w:line="580" w:lineRule="exact"/>
        <w:jc w:val="center"/>
        <w:rPr>
          <w:rFonts w:eastAsia="方正小标宋简体"/>
          <w:sz w:val="44"/>
          <w:szCs w:val="44"/>
        </w:rPr>
      </w:pPr>
      <w:r>
        <w:rPr>
          <w:rFonts w:hint="eastAsia" w:eastAsia="方正小标宋简体"/>
          <w:sz w:val="44"/>
          <w:szCs w:val="44"/>
          <w:lang w:eastAsia="zh-CN"/>
        </w:rPr>
        <w:t>2026</w:t>
      </w:r>
      <w:r>
        <w:rPr>
          <w:rFonts w:eastAsia="方正小标宋简体"/>
          <w:sz w:val="44"/>
          <w:szCs w:val="44"/>
        </w:rPr>
        <w:t>年</w:t>
      </w:r>
      <w:r>
        <w:rPr>
          <w:rFonts w:hint="eastAsia" w:eastAsia="方正小标宋简体"/>
          <w:sz w:val="44"/>
          <w:szCs w:val="44"/>
          <w:lang w:eastAsia="zh-CN"/>
        </w:rPr>
        <w:t>部门</w:t>
      </w:r>
      <w:r>
        <w:rPr>
          <w:rFonts w:eastAsia="方正小标宋简体"/>
          <w:sz w:val="44"/>
          <w:szCs w:val="44"/>
        </w:rPr>
        <w:t>预算编制说明</w:t>
      </w:r>
    </w:p>
    <w:p>
      <w:pPr>
        <w:spacing w:line="580" w:lineRule="exact"/>
        <w:jc w:val="center"/>
        <w:rPr>
          <w:rFonts w:hint="eastAsia" w:eastAsia="方正小标宋简体"/>
          <w:sz w:val="44"/>
          <w:szCs w:val="44"/>
          <w:lang w:eastAsia="zh-CN"/>
        </w:rPr>
      </w:pPr>
    </w:p>
    <w:p>
      <w:pPr>
        <w:spacing w:line="580" w:lineRule="exact"/>
        <w:rPr>
          <w:rFonts w:eastAsia="仿宋_GB2312"/>
          <w:b/>
          <w:bCs/>
          <w:sz w:val="32"/>
          <w:szCs w:val="32"/>
        </w:rPr>
      </w:pPr>
      <w:r>
        <w:rPr>
          <w:rFonts w:eastAsia="仿宋_GB2312"/>
          <w:b/>
          <w:bCs/>
          <w:sz w:val="32"/>
          <w:szCs w:val="32"/>
        </w:rPr>
        <w:t>目录：</w:t>
      </w:r>
    </w:p>
    <w:p>
      <w:pPr>
        <w:spacing w:line="580" w:lineRule="exact"/>
        <w:ind w:firstLine="640" w:firstLineChars="200"/>
        <w:rPr>
          <w:rFonts w:eastAsia="仿宋_GB2312"/>
          <w:sz w:val="32"/>
          <w:szCs w:val="32"/>
        </w:rPr>
      </w:pPr>
      <w:r>
        <w:rPr>
          <w:rFonts w:eastAsia="仿宋_GB2312"/>
          <w:sz w:val="32"/>
          <w:szCs w:val="32"/>
        </w:rPr>
        <w:t>一、基本职能及主要工作</w:t>
      </w:r>
    </w:p>
    <w:p>
      <w:pPr>
        <w:spacing w:line="580" w:lineRule="exact"/>
        <w:ind w:firstLine="640" w:firstLineChars="200"/>
        <w:rPr>
          <w:rFonts w:eastAsia="仿宋_GB2312"/>
          <w:sz w:val="32"/>
          <w:szCs w:val="32"/>
        </w:rPr>
      </w:pPr>
      <w:r>
        <w:rPr>
          <w:rFonts w:eastAsia="仿宋_GB2312"/>
          <w:sz w:val="32"/>
          <w:szCs w:val="32"/>
        </w:rPr>
        <w:t>二、部门预算单位构成</w:t>
      </w:r>
    </w:p>
    <w:p>
      <w:pPr>
        <w:spacing w:line="580" w:lineRule="exact"/>
        <w:ind w:firstLine="640" w:firstLineChars="200"/>
        <w:rPr>
          <w:rFonts w:eastAsia="仿宋_GB2312"/>
          <w:sz w:val="32"/>
          <w:szCs w:val="32"/>
        </w:rPr>
      </w:pPr>
      <w:r>
        <w:rPr>
          <w:rFonts w:eastAsia="仿宋_GB2312"/>
          <w:sz w:val="32"/>
          <w:szCs w:val="32"/>
        </w:rPr>
        <w:t>三、收支预算说明</w:t>
      </w:r>
    </w:p>
    <w:p>
      <w:pPr>
        <w:spacing w:line="580" w:lineRule="exact"/>
        <w:ind w:firstLine="640" w:firstLineChars="200"/>
        <w:rPr>
          <w:rFonts w:eastAsia="仿宋_GB2312"/>
          <w:sz w:val="32"/>
          <w:szCs w:val="32"/>
        </w:rPr>
      </w:pPr>
      <w:r>
        <w:rPr>
          <w:rFonts w:eastAsia="仿宋_GB2312"/>
          <w:sz w:val="32"/>
          <w:szCs w:val="32"/>
        </w:rPr>
        <w:t>四、财政拨款收支情况说明</w:t>
      </w:r>
    </w:p>
    <w:p>
      <w:pPr>
        <w:spacing w:line="580" w:lineRule="exact"/>
        <w:ind w:firstLine="640" w:firstLineChars="200"/>
        <w:rPr>
          <w:rFonts w:eastAsia="仿宋_GB2312"/>
          <w:color w:val="333333"/>
          <w:sz w:val="32"/>
          <w:szCs w:val="32"/>
        </w:rPr>
      </w:pPr>
      <w:r>
        <w:rPr>
          <w:rFonts w:eastAsia="仿宋_GB2312"/>
          <w:sz w:val="32"/>
          <w:szCs w:val="32"/>
        </w:rPr>
        <w:t>五、</w:t>
      </w:r>
      <w:r>
        <w:rPr>
          <w:rFonts w:eastAsia="仿宋_GB2312"/>
          <w:color w:val="333333"/>
          <w:sz w:val="32"/>
          <w:szCs w:val="32"/>
        </w:rPr>
        <w:t>一般公共预算当年拨款说明</w:t>
      </w:r>
    </w:p>
    <w:p>
      <w:pPr>
        <w:spacing w:line="580" w:lineRule="exact"/>
        <w:ind w:firstLine="640" w:firstLineChars="200"/>
        <w:rPr>
          <w:rFonts w:eastAsia="仿宋_GB2312"/>
          <w:bCs/>
          <w:sz w:val="32"/>
          <w:szCs w:val="32"/>
        </w:rPr>
      </w:pPr>
      <w:r>
        <w:rPr>
          <w:rFonts w:eastAsia="仿宋_GB2312"/>
          <w:color w:val="333333"/>
          <w:sz w:val="32"/>
          <w:szCs w:val="32"/>
        </w:rPr>
        <w:t>六、</w:t>
      </w:r>
      <w:r>
        <w:rPr>
          <w:rFonts w:eastAsia="仿宋_GB2312"/>
          <w:bCs/>
          <w:sz w:val="32"/>
          <w:szCs w:val="32"/>
        </w:rPr>
        <w:t>一般公共预算基本支出说明</w:t>
      </w:r>
    </w:p>
    <w:p>
      <w:pPr>
        <w:spacing w:line="580" w:lineRule="exact"/>
        <w:ind w:firstLine="640" w:firstLineChars="200"/>
        <w:rPr>
          <w:rFonts w:eastAsia="仿宋_GB2312"/>
          <w:bCs/>
          <w:sz w:val="32"/>
          <w:szCs w:val="32"/>
        </w:rPr>
      </w:pPr>
      <w:r>
        <w:rPr>
          <w:rFonts w:eastAsia="仿宋_GB2312"/>
          <w:bCs/>
          <w:sz w:val="32"/>
          <w:szCs w:val="32"/>
        </w:rPr>
        <w:t>七、“三公”经费安排情况说明</w:t>
      </w:r>
    </w:p>
    <w:p>
      <w:pPr>
        <w:spacing w:line="580" w:lineRule="exact"/>
        <w:ind w:firstLine="640" w:firstLineChars="200"/>
        <w:rPr>
          <w:rFonts w:eastAsia="仿宋_GB2312"/>
          <w:color w:val="333333"/>
          <w:sz w:val="32"/>
          <w:szCs w:val="32"/>
        </w:rPr>
      </w:pPr>
      <w:r>
        <w:rPr>
          <w:rFonts w:eastAsia="仿宋_GB2312"/>
          <w:bCs/>
          <w:sz w:val="32"/>
          <w:szCs w:val="32"/>
        </w:rPr>
        <w:t>八、</w:t>
      </w:r>
      <w:r>
        <w:rPr>
          <w:rFonts w:eastAsia="仿宋_GB2312"/>
          <w:color w:val="333333"/>
          <w:sz w:val="32"/>
          <w:szCs w:val="32"/>
        </w:rPr>
        <w:t>政府性基金预算收支情况说明</w:t>
      </w:r>
    </w:p>
    <w:p>
      <w:pPr>
        <w:spacing w:line="580" w:lineRule="exact"/>
        <w:ind w:firstLine="640" w:firstLineChars="200"/>
        <w:rPr>
          <w:rFonts w:eastAsia="仿宋_GB2312"/>
          <w:color w:val="333333"/>
          <w:sz w:val="32"/>
          <w:szCs w:val="32"/>
        </w:rPr>
      </w:pPr>
      <w:r>
        <w:rPr>
          <w:rFonts w:eastAsia="仿宋_GB2312"/>
          <w:color w:val="333333"/>
          <w:sz w:val="32"/>
          <w:szCs w:val="32"/>
        </w:rPr>
        <w:t>九、国有资本经营预算收支情况说明</w:t>
      </w:r>
    </w:p>
    <w:p>
      <w:pPr>
        <w:spacing w:line="580" w:lineRule="exact"/>
        <w:ind w:firstLine="640" w:firstLineChars="200"/>
        <w:rPr>
          <w:rFonts w:eastAsia="仿宋_GB2312"/>
          <w:color w:val="333333"/>
          <w:sz w:val="32"/>
          <w:szCs w:val="32"/>
        </w:rPr>
      </w:pPr>
      <w:r>
        <w:rPr>
          <w:rFonts w:eastAsia="仿宋_GB2312"/>
          <w:color w:val="333333"/>
          <w:sz w:val="32"/>
          <w:szCs w:val="32"/>
        </w:rPr>
        <w:t>十、其他重要事项说明</w:t>
      </w:r>
    </w:p>
    <w:p>
      <w:pPr>
        <w:spacing w:line="580" w:lineRule="exact"/>
        <w:ind w:firstLine="640" w:firstLineChars="200"/>
        <w:rPr>
          <w:rFonts w:eastAsia="仿宋_GB2312"/>
          <w:color w:val="333333"/>
          <w:sz w:val="32"/>
          <w:szCs w:val="32"/>
        </w:rPr>
      </w:pPr>
      <w:r>
        <w:rPr>
          <w:rFonts w:eastAsia="仿宋_GB2312"/>
          <w:color w:val="333333"/>
          <w:sz w:val="32"/>
          <w:szCs w:val="32"/>
        </w:rPr>
        <w:t>十一、名词解释</w:t>
      </w:r>
    </w:p>
    <w:p>
      <w:pPr>
        <w:spacing w:line="580" w:lineRule="exact"/>
        <w:ind w:firstLine="640" w:firstLineChars="200"/>
        <w:rPr>
          <w:rFonts w:eastAsia="仿宋_GB2312"/>
          <w:color w:val="333333"/>
          <w:sz w:val="32"/>
          <w:szCs w:val="32"/>
        </w:rPr>
      </w:pPr>
      <w:r>
        <w:rPr>
          <w:rFonts w:eastAsia="仿宋_GB2312"/>
          <w:color w:val="333333"/>
          <w:sz w:val="32"/>
          <w:szCs w:val="32"/>
        </w:rPr>
        <w:t>十二、附表</w:t>
      </w:r>
    </w:p>
    <w:p>
      <w:pPr>
        <w:spacing w:line="580" w:lineRule="exact"/>
        <w:ind w:firstLine="640" w:firstLineChars="200"/>
        <w:rPr>
          <w:rFonts w:eastAsia="仿宋_GB2312"/>
          <w:color w:val="333333"/>
          <w:sz w:val="32"/>
          <w:szCs w:val="32"/>
        </w:rPr>
      </w:pPr>
      <w:r>
        <w:rPr>
          <w:rFonts w:eastAsia="仿宋_GB2312"/>
          <w:color w:val="333333"/>
          <w:sz w:val="32"/>
          <w:szCs w:val="32"/>
        </w:rPr>
        <w:t>附表1、单位收支总表</w:t>
      </w:r>
    </w:p>
    <w:p>
      <w:pPr>
        <w:spacing w:line="580" w:lineRule="exact"/>
        <w:ind w:firstLine="640" w:firstLineChars="200"/>
        <w:rPr>
          <w:rFonts w:eastAsia="仿宋_GB2312"/>
          <w:color w:val="333333"/>
          <w:sz w:val="32"/>
          <w:szCs w:val="32"/>
        </w:rPr>
      </w:pPr>
      <w:r>
        <w:rPr>
          <w:rFonts w:eastAsia="仿宋_GB2312"/>
          <w:color w:val="333333"/>
          <w:sz w:val="32"/>
          <w:szCs w:val="32"/>
        </w:rPr>
        <w:t>附表1-1、单位收入总表</w:t>
      </w:r>
    </w:p>
    <w:p>
      <w:pPr>
        <w:spacing w:line="580" w:lineRule="exact"/>
        <w:ind w:firstLine="640" w:firstLineChars="200"/>
        <w:rPr>
          <w:rFonts w:eastAsia="仿宋_GB2312"/>
          <w:color w:val="333333"/>
          <w:sz w:val="32"/>
          <w:szCs w:val="32"/>
        </w:rPr>
      </w:pPr>
      <w:r>
        <w:rPr>
          <w:rFonts w:eastAsia="仿宋_GB2312"/>
          <w:color w:val="333333"/>
          <w:sz w:val="32"/>
          <w:szCs w:val="32"/>
        </w:rPr>
        <w:t>附表1-2、单位支出总表</w:t>
      </w:r>
    </w:p>
    <w:p>
      <w:pPr>
        <w:spacing w:line="580" w:lineRule="exact"/>
        <w:ind w:firstLine="640" w:firstLineChars="200"/>
        <w:rPr>
          <w:rFonts w:eastAsia="仿宋_GB2312"/>
          <w:color w:val="333333"/>
          <w:sz w:val="32"/>
          <w:szCs w:val="32"/>
        </w:rPr>
      </w:pPr>
      <w:r>
        <w:rPr>
          <w:rFonts w:eastAsia="仿宋_GB2312"/>
          <w:color w:val="333333"/>
          <w:sz w:val="32"/>
          <w:szCs w:val="32"/>
        </w:rPr>
        <w:t>附表2、财政拨款收支预算总表</w:t>
      </w:r>
    </w:p>
    <w:p>
      <w:pPr>
        <w:spacing w:line="580" w:lineRule="exact"/>
        <w:ind w:firstLine="640" w:firstLineChars="200"/>
        <w:rPr>
          <w:rFonts w:eastAsia="仿宋_GB2312"/>
          <w:color w:val="333333"/>
          <w:sz w:val="32"/>
          <w:szCs w:val="32"/>
        </w:rPr>
      </w:pPr>
      <w:r>
        <w:rPr>
          <w:rFonts w:eastAsia="仿宋_GB2312"/>
          <w:color w:val="333333"/>
          <w:sz w:val="32"/>
          <w:szCs w:val="32"/>
        </w:rPr>
        <w:t>附表2-1、财政拨款支出预算表（部门经济分类科目）</w:t>
      </w:r>
    </w:p>
    <w:p>
      <w:pPr>
        <w:spacing w:line="580" w:lineRule="exact"/>
        <w:ind w:firstLine="640" w:firstLineChars="200"/>
        <w:rPr>
          <w:rFonts w:eastAsia="仿宋_GB2312"/>
          <w:color w:val="333333"/>
          <w:sz w:val="32"/>
          <w:szCs w:val="32"/>
        </w:rPr>
      </w:pPr>
      <w:r>
        <w:rPr>
          <w:rFonts w:eastAsia="仿宋_GB2312"/>
          <w:color w:val="333333"/>
          <w:sz w:val="32"/>
          <w:szCs w:val="32"/>
        </w:rPr>
        <w:t>附表3、一般公共预算支出预算表</w:t>
      </w:r>
    </w:p>
    <w:p>
      <w:pPr>
        <w:spacing w:line="580" w:lineRule="exact"/>
        <w:ind w:firstLine="640" w:firstLineChars="200"/>
        <w:rPr>
          <w:rFonts w:eastAsia="仿宋_GB2312"/>
          <w:color w:val="333333"/>
          <w:sz w:val="32"/>
          <w:szCs w:val="32"/>
        </w:rPr>
      </w:pPr>
      <w:r>
        <w:rPr>
          <w:rFonts w:eastAsia="仿宋_GB2312"/>
          <w:color w:val="333333"/>
          <w:sz w:val="32"/>
          <w:szCs w:val="32"/>
        </w:rPr>
        <w:t>附表3-1、一般公共预算基本支出预算表</w:t>
      </w:r>
    </w:p>
    <w:p>
      <w:pPr>
        <w:spacing w:line="580" w:lineRule="exact"/>
        <w:ind w:firstLine="640" w:firstLineChars="200"/>
        <w:rPr>
          <w:rFonts w:eastAsia="仿宋_GB2312"/>
          <w:color w:val="333333"/>
          <w:sz w:val="32"/>
          <w:szCs w:val="32"/>
        </w:rPr>
      </w:pPr>
      <w:r>
        <w:rPr>
          <w:rFonts w:eastAsia="仿宋_GB2312"/>
          <w:color w:val="333333"/>
          <w:sz w:val="32"/>
          <w:szCs w:val="32"/>
        </w:rPr>
        <w:t>附表3-2、一般公共预算项目支出预算表</w:t>
      </w:r>
    </w:p>
    <w:p>
      <w:pPr>
        <w:spacing w:line="580" w:lineRule="exact"/>
        <w:ind w:firstLine="640" w:firstLineChars="200"/>
        <w:rPr>
          <w:rFonts w:eastAsia="仿宋_GB2312"/>
          <w:color w:val="333333"/>
          <w:sz w:val="32"/>
          <w:szCs w:val="32"/>
        </w:rPr>
      </w:pPr>
      <w:r>
        <w:rPr>
          <w:rFonts w:eastAsia="仿宋_GB2312"/>
          <w:color w:val="333333"/>
          <w:sz w:val="32"/>
          <w:szCs w:val="32"/>
        </w:rPr>
        <w:t>附表3-3、一般公共预算“三公”经费支出预算表</w:t>
      </w:r>
    </w:p>
    <w:p>
      <w:pPr>
        <w:spacing w:line="580" w:lineRule="exact"/>
        <w:ind w:firstLine="640" w:firstLineChars="200"/>
        <w:rPr>
          <w:rFonts w:eastAsia="仿宋_GB2312"/>
          <w:color w:val="333333"/>
          <w:sz w:val="32"/>
          <w:szCs w:val="32"/>
        </w:rPr>
      </w:pPr>
      <w:r>
        <w:rPr>
          <w:rFonts w:eastAsia="仿宋_GB2312"/>
          <w:color w:val="333333"/>
          <w:sz w:val="32"/>
          <w:szCs w:val="32"/>
        </w:rPr>
        <w:t>附表4、政府性基金支出预算表</w:t>
      </w:r>
    </w:p>
    <w:p>
      <w:pPr>
        <w:spacing w:line="580" w:lineRule="exact"/>
        <w:ind w:firstLine="640" w:firstLineChars="200"/>
        <w:rPr>
          <w:rFonts w:eastAsia="仿宋_GB2312"/>
          <w:color w:val="333333"/>
          <w:sz w:val="32"/>
          <w:szCs w:val="32"/>
        </w:rPr>
      </w:pPr>
      <w:r>
        <w:rPr>
          <w:rFonts w:eastAsia="仿宋_GB2312"/>
          <w:color w:val="333333"/>
          <w:sz w:val="32"/>
          <w:szCs w:val="32"/>
        </w:rPr>
        <w:t>附表4-1、政府性基金预算“三公”经费支出预算表</w:t>
      </w:r>
    </w:p>
    <w:p>
      <w:pPr>
        <w:spacing w:line="580" w:lineRule="exact"/>
        <w:ind w:firstLine="640" w:firstLineChars="200"/>
        <w:rPr>
          <w:rFonts w:eastAsia="仿宋_GB2312"/>
          <w:color w:val="333333"/>
          <w:sz w:val="32"/>
          <w:szCs w:val="32"/>
        </w:rPr>
      </w:pPr>
      <w:r>
        <w:rPr>
          <w:rFonts w:eastAsia="仿宋_GB2312"/>
          <w:color w:val="333333"/>
          <w:sz w:val="32"/>
          <w:szCs w:val="32"/>
        </w:rPr>
        <w:t>附表5、国有资本经营预算支出预算表</w:t>
      </w:r>
    </w:p>
    <w:p>
      <w:pPr>
        <w:spacing w:line="580" w:lineRule="exact"/>
        <w:ind w:firstLine="640" w:firstLineChars="200"/>
        <w:rPr>
          <w:rFonts w:eastAsia="仿宋_GB2312"/>
          <w:color w:val="333333"/>
          <w:sz w:val="32"/>
          <w:szCs w:val="32"/>
        </w:rPr>
      </w:pPr>
      <w:r>
        <w:rPr>
          <w:rFonts w:eastAsia="仿宋_GB2312"/>
          <w:color w:val="333333"/>
          <w:sz w:val="32"/>
          <w:szCs w:val="32"/>
        </w:rPr>
        <w:t>附表6、单位预算项目绩效目标表（</w:t>
      </w:r>
      <w:r>
        <w:rPr>
          <w:rFonts w:hint="eastAsia" w:eastAsia="仿宋_GB2312"/>
          <w:color w:val="333333"/>
          <w:sz w:val="32"/>
          <w:szCs w:val="32"/>
          <w:lang w:eastAsia="zh-CN"/>
        </w:rPr>
        <w:t>2026</w:t>
      </w:r>
      <w:r>
        <w:rPr>
          <w:rFonts w:eastAsia="仿宋_GB2312"/>
          <w:color w:val="333333"/>
          <w:sz w:val="32"/>
          <w:szCs w:val="32"/>
        </w:rPr>
        <w:t>年度）</w:t>
      </w:r>
    </w:p>
    <w:p>
      <w:pPr>
        <w:spacing w:line="580" w:lineRule="exact"/>
        <w:ind w:firstLine="640" w:firstLineChars="200"/>
        <w:rPr>
          <w:rFonts w:hint="default" w:eastAsia="仿宋_GB2312"/>
          <w:color w:val="333333"/>
          <w:sz w:val="32"/>
          <w:szCs w:val="32"/>
          <w:lang w:val="en-US" w:eastAsia="zh-CN"/>
        </w:rPr>
      </w:pPr>
      <w:r>
        <w:rPr>
          <w:rFonts w:hint="eastAsia" w:eastAsia="仿宋_GB2312"/>
          <w:color w:val="333333"/>
          <w:sz w:val="32"/>
          <w:szCs w:val="32"/>
          <w:lang w:eastAsia="zh-CN"/>
        </w:rPr>
        <w:t>附表</w:t>
      </w:r>
      <w:r>
        <w:rPr>
          <w:rFonts w:hint="eastAsia" w:eastAsia="仿宋_GB2312"/>
          <w:color w:val="333333"/>
          <w:sz w:val="32"/>
          <w:szCs w:val="32"/>
          <w:lang w:val="en-US" w:eastAsia="zh-CN"/>
        </w:rPr>
        <w:t>7、单位部门整体支出绩效目标表（2026年度）</w:t>
      </w:r>
    </w:p>
    <w:p>
      <w:pPr>
        <w:spacing w:line="580" w:lineRule="exact"/>
        <w:ind w:firstLine="640" w:firstLineChars="200"/>
        <w:rPr>
          <w:rFonts w:eastAsia="黑体"/>
          <w:sz w:val="32"/>
          <w:szCs w:val="32"/>
        </w:rPr>
      </w:pPr>
      <w:r>
        <w:rPr>
          <w:rFonts w:eastAsia="黑体"/>
          <w:sz w:val="32"/>
          <w:szCs w:val="32"/>
        </w:rPr>
        <w:t>一、基本职能及主要工作</w:t>
      </w:r>
    </w:p>
    <w:p>
      <w:pPr>
        <w:spacing w:line="580" w:lineRule="exact"/>
        <w:ind w:firstLine="640" w:firstLineChars="200"/>
        <w:outlineLvl w:val="0"/>
        <w:rPr>
          <w:rFonts w:eastAsia="楷体_GB2312"/>
          <w:bCs/>
          <w:sz w:val="32"/>
          <w:szCs w:val="32"/>
        </w:rPr>
      </w:pPr>
      <w:r>
        <w:rPr>
          <w:rFonts w:eastAsia="楷体_GB2312"/>
          <w:bCs/>
          <w:sz w:val="32"/>
          <w:szCs w:val="32"/>
        </w:rPr>
        <w:t>（一）职能简介</w:t>
      </w:r>
    </w:p>
    <w:p>
      <w:pPr>
        <w:spacing w:line="580" w:lineRule="exact"/>
        <w:ind w:firstLine="640" w:firstLineChars="200"/>
        <w:rPr>
          <w:rFonts w:eastAsia="仿宋_GB2312"/>
          <w:color w:val="333333"/>
          <w:sz w:val="32"/>
          <w:szCs w:val="32"/>
        </w:rPr>
      </w:pPr>
      <w:r>
        <w:rPr>
          <w:rFonts w:hint="eastAsia" w:eastAsia="仿宋_GB2312"/>
          <w:color w:val="333333"/>
          <w:sz w:val="32"/>
          <w:szCs w:val="32"/>
        </w:rPr>
        <w:t>洪雅县人民法院作为政法部门，其职能主要包括：</w:t>
      </w:r>
    </w:p>
    <w:p>
      <w:pPr>
        <w:spacing w:line="580" w:lineRule="exact"/>
        <w:ind w:firstLine="640" w:firstLineChars="200"/>
        <w:rPr>
          <w:rFonts w:eastAsia="仿宋_GB2312"/>
          <w:color w:val="333333"/>
          <w:sz w:val="32"/>
          <w:szCs w:val="32"/>
        </w:rPr>
      </w:pPr>
      <w:r>
        <w:rPr>
          <w:rFonts w:hint="eastAsia" w:eastAsia="仿宋_GB2312"/>
          <w:color w:val="333333"/>
          <w:sz w:val="32"/>
          <w:szCs w:val="32"/>
        </w:rPr>
        <w:t>一是依法审理法律规定由基层人民法院管辖的刑事、民事、行政等第一审案件</w:t>
      </w:r>
    </w:p>
    <w:p>
      <w:pPr>
        <w:spacing w:line="580" w:lineRule="exact"/>
        <w:ind w:firstLine="640" w:firstLineChars="200"/>
        <w:rPr>
          <w:rFonts w:eastAsia="仿宋_GB2312"/>
          <w:color w:val="333333"/>
          <w:sz w:val="32"/>
          <w:szCs w:val="32"/>
        </w:rPr>
      </w:pPr>
      <w:r>
        <w:rPr>
          <w:rFonts w:hint="eastAsia" w:eastAsia="仿宋_GB2312"/>
          <w:color w:val="333333"/>
          <w:sz w:val="32"/>
          <w:szCs w:val="32"/>
        </w:rPr>
        <w:t>二是依法审判中级人民法院指令再审的案件；受理不服本院判决、裁定的各类申请再审案件</w:t>
      </w:r>
    </w:p>
    <w:p>
      <w:pPr>
        <w:spacing w:line="580" w:lineRule="exact"/>
        <w:ind w:firstLine="640" w:firstLineChars="200"/>
        <w:rPr>
          <w:rFonts w:eastAsia="仿宋_GB2312"/>
          <w:color w:val="333333"/>
          <w:sz w:val="32"/>
          <w:szCs w:val="32"/>
        </w:rPr>
      </w:pPr>
      <w:r>
        <w:rPr>
          <w:rFonts w:hint="eastAsia" w:eastAsia="仿宋_GB2312"/>
          <w:color w:val="333333"/>
          <w:sz w:val="32"/>
          <w:szCs w:val="32"/>
        </w:rPr>
        <w:t>三是依法审判由洪雅县人民检察院按照审判监督程序提出的抗诉案件</w:t>
      </w:r>
    </w:p>
    <w:p>
      <w:pPr>
        <w:spacing w:line="580" w:lineRule="exact"/>
        <w:ind w:firstLine="640" w:firstLineChars="200"/>
        <w:rPr>
          <w:rFonts w:eastAsia="仿宋_GB2312"/>
          <w:color w:val="333333"/>
          <w:sz w:val="32"/>
          <w:szCs w:val="32"/>
        </w:rPr>
      </w:pPr>
      <w:r>
        <w:rPr>
          <w:rFonts w:hint="eastAsia" w:eastAsia="仿宋_GB2312"/>
          <w:color w:val="333333"/>
          <w:sz w:val="32"/>
          <w:szCs w:val="32"/>
        </w:rPr>
        <w:t>四是依法行使司法执行权和司法决定权</w:t>
      </w:r>
    </w:p>
    <w:p>
      <w:pPr>
        <w:spacing w:line="580" w:lineRule="exact"/>
        <w:ind w:firstLine="640" w:firstLineChars="200"/>
        <w:rPr>
          <w:rFonts w:eastAsia="仿宋_GB2312"/>
          <w:color w:val="333333"/>
          <w:sz w:val="32"/>
          <w:szCs w:val="32"/>
        </w:rPr>
      </w:pPr>
      <w:r>
        <w:rPr>
          <w:rFonts w:hint="eastAsia" w:eastAsia="仿宋_GB2312"/>
          <w:color w:val="333333"/>
          <w:sz w:val="32"/>
          <w:szCs w:val="32"/>
        </w:rPr>
        <w:t>五是针对案件审理中发现的问题提出司法建议</w:t>
      </w:r>
    </w:p>
    <w:p>
      <w:pPr>
        <w:spacing w:line="580" w:lineRule="exact"/>
        <w:ind w:firstLine="640" w:firstLineChars="200"/>
        <w:rPr>
          <w:rFonts w:eastAsia="仿宋_GB2312"/>
          <w:color w:val="333333"/>
          <w:sz w:val="32"/>
          <w:szCs w:val="32"/>
        </w:rPr>
      </w:pPr>
      <w:r>
        <w:rPr>
          <w:rFonts w:hint="eastAsia" w:eastAsia="仿宋_GB2312"/>
          <w:color w:val="333333"/>
          <w:sz w:val="32"/>
          <w:szCs w:val="32"/>
        </w:rPr>
        <w:t>六是负责本院思想政治、教育培训工作；按照权限管理法官和其他工作人员</w:t>
      </w:r>
    </w:p>
    <w:p>
      <w:pPr>
        <w:spacing w:line="580" w:lineRule="exact"/>
        <w:ind w:firstLine="640" w:firstLineChars="200"/>
        <w:rPr>
          <w:rFonts w:eastAsia="仿宋_GB2312"/>
          <w:color w:val="333333"/>
          <w:sz w:val="32"/>
          <w:szCs w:val="32"/>
        </w:rPr>
      </w:pPr>
      <w:r>
        <w:rPr>
          <w:rFonts w:hint="eastAsia" w:eastAsia="仿宋_GB2312"/>
          <w:color w:val="333333"/>
          <w:sz w:val="32"/>
          <w:szCs w:val="32"/>
        </w:rPr>
        <w:t>七是负责本院的纪检监察工作</w:t>
      </w:r>
    </w:p>
    <w:p>
      <w:pPr>
        <w:spacing w:line="580" w:lineRule="exact"/>
        <w:ind w:firstLine="640" w:firstLineChars="200"/>
        <w:rPr>
          <w:rFonts w:eastAsia="仿宋_GB2312"/>
          <w:color w:val="333333"/>
          <w:sz w:val="32"/>
          <w:szCs w:val="32"/>
        </w:rPr>
      </w:pPr>
      <w:r>
        <w:rPr>
          <w:rFonts w:hint="eastAsia" w:eastAsia="仿宋_GB2312"/>
          <w:color w:val="333333"/>
          <w:sz w:val="32"/>
          <w:szCs w:val="32"/>
        </w:rPr>
        <w:t>八是管理本院的有关经费和物资装备</w:t>
      </w:r>
    </w:p>
    <w:p>
      <w:pPr>
        <w:spacing w:line="580" w:lineRule="exact"/>
        <w:ind w:firstLine="640" w:firstLineChars="200"/>
        <w:rPr>
          <w:rFonts w:eastAsia="仿宋_GB2312"/>
          <w:color w:val="333333"/>
          <w:sz w:val="32"/>
          <w:szCs w:val="32"/>
        </w:rPr>
      </w:pPr>
      <w:r>
        <w:rPr>
          <w:rFonts w:hint="eastAsia" w:eastAsia="仿宋_GB2312"/>
          <w:color w:val="333333"/>
          <w:sz w:val="32"/>
          <w:szCs w:val="32"/>
        </w:rPr>
        <w:t>九是在审判工作中宣传法制，教育公民忠于社会主义祖国，自觉遵守宪法、法律和社会公德</w:t>
      </w:r>
    </w:p>
    <w:p>
      <w:pPr>
        <w:spacing w:line="580" w:lineRule="exact"/>
        <w:ind w:firstLine="640" w:firstLineChars="200"/>
        <w:rPr>
          <w:rFonts w:eastAsia="仿宋_GB2312"/>
          <w:color w:val="333333"/>
          <w:sz w:val="32"/>
          <w:szCs w:val="32"/>
        </w:rPr>
      </w:pPr>
      <w:r>
        <w:rPr>
          <w:rFonts w:hint="eastAsia" w:eastAsia="仿宋_GB2312"/>
          <w:color w:val="333333"/>
          <w:sz w:val="32"/>
          <w:szCs w:val="32"/>
        </w:rPr>
        <w:t>十是承办其他应由基层人民法院负责的工作</w:t>
      </w:r>
    </w:p>
    <w:p>
      <w:pPr>
        <w:spacing w:line="580" w:lineRule="exact"/>
        <w:ind w:firstLine="640" w:firstLineChars="200"/>
        <w:rPr>
          <w:rFonts w:hint="eastAsia" w:ascii="楷体_GB2312" w:hAnsi="楷体_GB2312" w:eastAsia="楷体_GB2312" w:cs="楷体_GB2312"/>
          <w:color w:val="333333"/>
          <w:sz w:val="32"/>
          <w:szCs w:val="32"/>
        </w:rPr>
      </w:pPr>
      <w:r>
        <w:rPr>
          <w:rFonts w:hint="eastAsia" w:ascii="楷体_GB2312" w:hAnsi="楷体_GB2312" w:eastAsia="楷体_GB2312" w:cs="楷体_GB2312"/>
          <w:color w:val="333333"/>
          <w:sz w:val="32"/>
          <w:szCs w:val="32"/>
        </w:rPr>
        <w:t>（二）</w:t>
      </w:r>
      <w:r>
        <w:rPr>
          <w:rFonts w:hint="eastAsia" w:ascii="楷体_GB2312" w:hAnsi="楷体_GB2312" w:eastAsia="楷体_GB2312" w:cs="楷体_GB2312"/>
          <w:color w:val="333333"/>
          <w:sz w:val="32"/>
          <w:szCs w:val="32"/>
          <w:lang w:eastAsia="zh-CN"/>
        </w:rPr>
        <w:t>2026</w:t>
      </w:r>
      <w:r>
        <w:rPr>
          <w:rFonts w:hint="eastAsia" w:ascii="楷体_GB2312" w:hAnsi="楷体_GB2312" w:eastAsia="楷体_GB2312" w:cs="楷体_GB2312"/>
          <w:color w:val="333333"/>
          <w:sz w:val="32"/>
          <w:szCs w:val="32"/>
        </w:rPr>
        <w:t>年重点工作</w:t>
      </w:r>
    </w:p>
    <w:p>
      <w:pPr>
        <w:keepNext w:val="0"/>
        <w:keepLines w:val="0"/>
        <w:pageBreakBefore w:val="0"/>
        <w:widowControl w:val="0"/>
        <w:kinsoku/>
        <w:wordWrap/>
        <w:overflowPunct/>
        <w:topLinePunct w:val="0"/>
        <w:autoSpaceDE w:val="0"/>
        <w:autoSpaceDN/>
        <w:bidi w:val="0"/>
        <w:spacing w:line="580" w:lineRule="exact"/>
        <w:ind w:firstLine="640" w:firstLineChars="200"/>
        <w:textAlignment w:val="auto"/>
        <w:rPr>
          <w:rFonts w:hint="eastAsia" w:ascii="仿宋_GB2312" w:hAnsi="仿宋_GB2312" w:eastAsia="仿宋_GB2312" w:cs="仿宋_GB2312"/>
          <w:sz w:val="32"/>
          <w:szCs w:val="32"/>
          <w:lang w:eastAsia="zh-CN"/>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w:t>
      </w:r>
      <w:r>
        <w:rPr>
          <w:rFonts w:hint="eastAsia" w:ascii="仿宋_GB2312" w:hAnsi="仿宋_GB2312" w:eastAsia="仿宋_GB2312" w:cs="仿宋_GB2312"/>
          <w:sz w:val="32"/>
          <w:szCs w:val="32"/>
          <w:lang w:eastAsia="zh-CN"/>
        </w:rPr>
        <w:t>是“十五五”规划的开局之年，</w:t>
      </w:r>
      <w:r>
        <w:rPr>
          <w:rFonts w:hint="eastAsia" w:ascii="仿宋_GB2312" w:hAnsi="仿宋_GB2312" w:eastAsia="仿宋_GB2312" w:cs="仿宋_GB2312"/>
          <w:sz w:val="32"/>
          <w:szCs w:val="32"/>
          <w:highlight w:val="none"/>
          <w:lang w:eastAsia="zh-CN"/>
        </w:rPr>
        <w:t>也是县委确定的“实干实绩争先年”。</w:t>
      </w:r>
      <w:r>
        <w:rPr>
          <w:rFonts w:hint="eastAsia" w:ascii="仿宋_GB2312" w:hAnsi="仿宋_GB2312" w:eastAsia="仿宋_GB2312" w:cs="仿宋_GB2312"/>
          <w:sz w:val="32"/>
          <w:szCs w:val="32"/>
          <w:lang w:eastAsia="zh-CN"/>
        </w:rPr>
        <w:t>洪雅县人民法院</w:t>
      </w:r>
      <w:r>
        <w:rPr>
          <w:rFonts w:hint="eastAsia" w:ascii="仿宋_GB2312" w:hAnsi="仿宋_GB2312" w:eastAsia="仿宋_GB2312" w:cs="仿宋_GB2312"/>
          <w:sz w:val="32"/>
          <w:szCs w:val="32"/>
        </w:rPr>
        <w:t>将坚持以习近平新时代中国特色社会主义思想为指导，全面贯彻落实党的</w:t>
      </w:r>
      <w:r>
        <w:rPr>
          <w:rFonts w:hint="eastAsia" w:ascii="仿宋_GB2312" w:hAnsi="仿宋_GB2312" w:eastAsia="仿宋_GB2312" w:cs="仿宋_GB2312"/>
          <w:sz w:val="32"/>
          <w:szCs w:val="32"/>
          <w:lang w:eastAsia="zh-CN"/>
        </w:rPr>
        <w:t>二十大和二十届历次</w:t>
      </w:r>
      <w:r>
        <w:rPr>
          <w:rFonts w:hint="eastAsia" w:ascii="仿宋_GB2312" w:hAnsi="仿宋_GB2312" w:eastAsia="仿宋_GB2312" w:cs="仿宋_GB2312"/>
          <w:sz w:val="32"/>
          <w:szCs w:val="32"/>
        </w:rPr>
        <w:t>全会精神，</w:t>
      </w:r>
      <w:r>
        <w:rPr>
          <w:rFonts w:hint="eastAsia" w:ascii="仿宋_GB2312" w:hAnsi="仿宋_GB2312" w:eastAsia="仿宋_GB2312" w:cs="仿宋_GB2312"/>
          <w:sz w:val="32"/>
          <w:szCs w:val="32"/>
          <w:lang w:eastAsia="zh-CN"/>
        </w:rPr>
        <w:t>用习近平法治思想“十二个坚持”对照审视工作，</w:t>
      </w:r>
      <w:r>
        <w:rPr>
          <w:rFonts w:hint="eastAsia" w:ascii="仿宋_GB2312" w:hAnsi="仿宋_GB2312" w:eastAsia="仿宋_GB2312" w:cs="仿宋_GB2312"/>
          <w:sz w:val="32"/>
          <w:szCs w:val="32"/>
        </w:rPr>
        <w:t>认真落实党中央、省委、市委</w:t>
      </w:r>
      <w:r>
        <w:rPr>
          <w:rFonts w:hint="eastAsia" w:ascii="仿宋_GB2312" w:hAnsi="仿宋_GB2312" w:eastAsia="仿宋_GB2312" w:cs="仿宋_GB2312"/>
          <w:sz w:val="32"/>
          <w:szCs w:val="32"/>
          <w:lang w:eastAsia="zh-CN"/>
        </w:rPr>
        <w:t>、县委</w:t>
      </w:r>
      <w:r>
        <w:rPr>
          <w:rFonts w:hint="eastAsia" w:ascii="仿宋_GB2312" w:hAnsi="仿宋_GB2312" w:eastAsia="仿宋_GB2312" w:cs="仿宋_GB2312"/>
          <w:sz w:val="32"/>
          <w:szCs w:val="32"/>
        </w:rPr>
        <w:t>决策部署</w:t>
      </w:r>
      <w:r>
        <w:rPr>
          <w:rFonts w:hint="eastAsia" w:ascii="仿宋_GB2312" w:hAnsi="仿宋_GB2312" w:eastAsia="仿宋_GB2312" w:cs="仿宋_GB2312"/>
          <w:sz w:val="32"/>
          <w:szCs w:val="32"/>
          <w:lang w:eastAsia="zh-CN"/>
        </w:rPr>
        <w:t>和上级法院工作需求</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紧扣“一地两区”发展定位，锚定新局、实干拓局，</w:t>
      </w:r>
      <w:r>
        <w:rPr>
          <w:rFonts w:hint="eastAsia" w:ascii="仿宋_GB2312" w:hAnsi="仿宋_GB2312" w:eastAsia="仿宋_GB2312" w:cs="仿宋_GB2312"/>
          <w:spacing w:val="-6"/>
          <w:sz w:val="32"/>
          <w:szCs w:val="32"/>
          <w:lang w:eastAsia="zh-CN"/>
        </w:rPr>
        <w:t>加快推进审判工作现代化，为奋力实现“十五五”旗开得胜提供有力司法保障。</w:t>
      </w:r>
    </w:p>
    <w:p>
      <w:pPr>
        <w:keepNext w:val="0"/>
        <w:keepLines w:val="0"/>
        <w:pageBreakBefore w:val="0"/>
        <w:widowControl w:val="0"/>
        <w:kinsoku/>
        <w:wordWrap/>
        <w:overflowPunct/>
        <w:topLinePunct w:val="0"/>
        <w:autoSpaceDE w:val="0"/>
        <w:autoSpaceDN/>
        <w:bidi w:val="0"/>
        <w:spacing w:line="580" w:lineRule="exact"/>
        <w:ind w:firstLine="640" w:firstLineChars="200"/>
        <w:textAlignment w:val="auto"/>
        <w:rPr>
          <w:rFonts w:hint="eastAsia" w:ascii="仿宋_GB2312" w:hAnsi="仿宋_GB2312" w:eastAsia="仿宋_GB2312" w:cs="仿宋_GB2312"/>
          <w:sz w:val="32"/>
          <w:szCs w:val="32"/>
          <w:lang w:eastAsia="zh-CN"/>
        </w:rPr>
      </w:pPr>
      <w:r>
        <w:rPr>
          <w:rFonts w:hint="default" w:ascii="Times New Roman" w:hAnsi="Times New Roman" w:eastAsia="楷体_GB2312" w:cs="Times New Roman"/>
          <w:sz w:val="32"/>
          <w:szCs w:val="32"/>
          <w:lang w:eastAsia="zh-CN"/>
        </w:rPr>
        <w:t>一是始终做对党忠诚的践行者，紧紧盯住队伍建设这一重要基础。</w:t>
      </w:r>
      <w:r>
        <w:rPr>
          <w:rFonts w:hint="eastAsia" w:ascii="仿宋_GB2312" w:hAnsi="仿宋_GB2312" w:eastAsia="仿宋_GB2312" w:cs="仿宋_GB2312"/>
          <w:sz w:val="32"/>
          <w:szCs w:val="32"/>
          <w:lang w:eastAsia="zh-CN"/>
        </w:rPr>
        <w:t>坚持不懈用习近平新时代中国特色社会主义思想凝心铸魂，做实“从政治上看、从法治上办”，筑牢意识形态安全底线。坚持用严的标准管党治院，锲而不舍落实中央八项规定精神，深度推进党建与业务工作融合发展。培优“桌山”文化品牌，</w:t>
      </w:r>
      <w:r>
        <w:rPr>
          <w:rFonts w:hint="eastAsia" w:ascii="仿宋_GB2312" w:hAnsi="仿宋_GB2312" w:eastAsia="仿宋_GB2312" w:cs="仿宋_GB2312"/>
          <w:sz w:val="32"/>
          <w:szCs w:val="32"/>
          <w:highlight w:val="none"/>
          <w:lang w:eastAsia="zh-CN"/>
        </w:rPr>
        <w:t>坚持以文化人。</w:t>
      </w:r>
      <w:r>
        <w:rPr>
          <w:rFonts w:hint="eastAsia" w:ascii="仿宋_GB2312" w:hAnsi="仿宋_GB2312" w:eastAsia="仿宋_GB2312" w:cs="仿宋_GB2312"/>
          <w:sz w:val="32"/>
          <w:szCs w:val="32"/>
          <w:lang w:eastAsia="zh-CN"/>
        </w:rPr>
        <w:t>狠抓队伍管理，持续推进“四大工程”，一体做实“三不腐”。自觉践行全过程人民民主，自觉接受人大监督、民主监督和各方面监督。</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color w:val="auto"/>
          <w:kern w:val="2"/>
          <w:sz w:val="32"/>
          <w:szCs w:val="32"/>
          <w:lang w:val="en-US" w:eastAsia="zh-CN" w:bidi="ar"/>
        </w:rPr>
      </w:pPr>
      <w:r>
        <w:rPr>
          <w:rFonts w:hint="default" w:ascii="Times New Roman" w:hAnsi="Times New Roman" w:eastAsia="楷体_GB2312" w:cs="Times New Roman"/>
          <w:sz w:val="32"/>
          <w:szCs w:val="32"/>
          <w:lang w:eastAsia="zh-CN"/>
        </w:rPr>
        <w:t>二是始终做改革发展的推动者，稳稳立住高质量发展这一首要任务。</w:t>
      </w:r>
      <w:r>
        <w:rPr>
          <w:rFonts w:hint="eastAsia" w:ascii="仿宋_GB2312" w:hAnsi="仿宋_GB2312" w:eastAsia="仿宋_GB2312" w:cs="仿宋_GB2312"/>
          <w:sz w:val="32"/>
          <w:szCs w:val="32"/>
          <w:lang w:eastAsia="zh-CN"/>
        </w:rPr>
        <w:t>关注平安洪雅建设新形势，坚守政治安全、社会安全、经济安全、人民安全，把每个案件办成经得起历史和人民检验的“铁案”。围绕全县中心大局，优化法治化营商环境，护航新质生产力，</w:t>
      </w:r>
      <w:r>
        <w:rPr>
          <w:rFonts w:hint="eastAsia" w:ascii="仿宋_GB2312" w:hAnsi="仿宋_GB2312" w:eastAsia="仿宋_GB2312" w:cs="仿宋_GB2312"/>
          <w:sz w:val="32"/>
          <w:szCs w:val="32"/>
          <w:highlight w:val="none"/>
          <w:lang w:eastAsia="zh-CN"/>
        </w:rPr>
        <w:t>强化文旅深度融合的法院支撑，</w:t>
      </w:r>
      <w:r>
        <w:rPr>
          <w:rFonts w:hint="eastAsia" w:ascii="仿宋_GB2312" w:hAnsi="仿宋_GB2312" w:eastAsia="仿宋_GB2312" w:cs="仿宋_GB2312"/>
          <w:sz w:val="32"/>
          <w:szCs w:val="32"/>
          <w:lang w:eastAsia="zh-CN"/>
        </w:rPr>
        <w:t>全力服务保障洪雅高质量发展。坚持改革和法治相统一，积极稳妥实施人民法院“六五改革纲要”</w:t>
      </w:r>
      <w:r>
        <w:rPr>
          <w:rFonts w:hint="eastAsia" w:ascii="仿宋_GB2312" w:hAnsi="仿宋_GB2312" w:eastAsia="仿宋_GB2312" w:cs="仿宋_GB2312"/>
          <w:color w:val="000000"/>
          <w:kern w:val="2"/>
          <w:sz w:val="32"/>
          <w:szCs w:val="32"/>
          <w:lang w:val="en-US" w:eastAsia="zh-CN" w:bidi="ar"/>
        </w:rPr>
        <w:t>，以“小切口”破题司法责任制改革，加快推进审判体系和审判能力现代化。</w:t>
      </w:r>
    </w:p>
    <w:p>
      <w:pPr>
        <w:keepNext w:val="0"/>
        <w:keepLines w:val="0"/>
        <w:pageBreakBefore w:val="0"/>
        <w:widowControl w:val="0"/>
        <w:kinsoku/>
        <w:wordWrap/>
        <w:overflowPunct/>
        <w:topLinePunct w:val="0"/>
        <w:autoSpaceDE w:val="0"/>
        <w:autoSpaceDN/>
        <w:bidi w:val="0"/>
        <w:spacing w:line="580" w:lineRule="exact"/>
        <w:ind w:firstLine="640" w:firstLineChars="200"/>
        <w:textAlignment w:val="auto"/>
        <w:rPr>
          <w:rFonts w:hint="eastAsia" w:ascii="仿宋_GB2312" w:hAnsi="仿宋_GB2312" w:eastAsia="仿宋_GB2312" w:cs="仿宋_GB2312"/>
          <w:kern w:val="2"/>
          <w:sz w:val="32"/>
          <w:szCs w:val="32"/>
          <w:lang w:val="en-US" w:eastAsia="zh-CN" w:bidi="ar"/>
        </w:rPr>
      </w:pPr>
      <w:r>
        <w:rPr>
          <w:rFonts w:hint="default" w:ascii="Times New Roman" w:hAnsi="Times New Roman" w:eastAsia="楷体_GB2312" w:cs="Times New Roman"/>
          <w:sz w:val="32"/>
          <w:szCs w:val="32"/>
          <w:lang w:eastAsia="zh-CN"/>
        </w:rPr>
        <w:t>三是始终做民生权益的守护者，时时记住满足人民需要这一根本目的。</w:t>
      </w:r>
      <w:r>
        <w:rPr>
          <w:rFonts w:hint="eastAsia" w:ascii="仿宋_GB2312" w:hAnsi="仿宋_GB2312" w:eastAsia="仿宋_GB2312" w:cs="仿宋_GB2312"/>
          <w:sz w:val="32"/>
          <w:szCs w:val="32"/>
          <w:lang w:eastAsia="zh-CN"/>
        </w:rPr>
        <w:t>坚持和发展新时代“枫桥经验”，深度融入社会治安综合治理中心建设，持续提升社会治理法治化水平，推进纠纷源头预防、多元化解。持续优化司法为民服务，全力推广应用“两状”，落实立案登记制，强化“一老一小一残”等权益保障，进一步优化“立审执破”内部协同，加大执行攻坚力度，让人民群众切实感受到公平正义就在身边。加快数字法院建设，推进“库网”融合，强化科学管理，促推审判执行不断提质增效。</w:t>
      </w:r>
    </w:p>
    <w:p>
      <w:pPr>
        <w:spacing w:line="580" w:lineRule="exact"/>
        <w:ind w:firstLine="640" w:firstLineChars="200"/>
        <w:rPr>
          <w:rFonts w:hint="eastAsia" w:ascii="黑体" w:hAnsi="黑体" w:eastAsia="黑体" w:cs="黑体"/>
          <w:color w:val="333333"/>
          <w:sz w:val="32"/>
          <w:szCs w:val="32"/>
        </w:rPr>
      </w:pPr>
      <w:r>
        <w:rPr>
          <w:rFonts w:hint="eastAsia" w:ascii="黑体" w:hAnsi="黑体" w:eastAsia="黑体" w:cs="黑体"/>
          <w:color w:val="333333"/>
          <w:sz w:val="32"/>
          <w:szCs w:val="32"/>
        </w:rPr>
        <w:t>二、部门预算单位构成</w:t>
      </w:r>
    </w:p>
    <w:p>
      <w:pPr>
        <w:pStyle w:val="3"/>
        <w:adjustRightInd w:val="0"/>
        <w:snapToGrid w:val="0"/>
        <w:spacing w:beforeLines="0" w:line="580" w:lineRule="exact"/>
        <w:ind w:firstLine="640" w:firstLineChars="200"/>
        <w:rPr>
          <w:rFonts w:ascii="Times New Roman"/>
          <w:sz w:val="32"/>
          <w:szCs w:val="32"/>
        </w:rPr>
      </w:pPr>
      <w:r>
        <w:rPr>
          <w:rFonts w:hint="eastAsia" w:ascii="Times New Roman"/>
          <w:sz w:val="32"/>
          <w:szCs w:val="32"/>
        </w:rPr>
        <w:t>洪雅县人民法院现</w:t>
      </w:r>
      <w:r>
        <w:rPr>
          <w:rFonts w:hint="eastAsia" w:ascii="Times New Roman"/>
          <w:sz w:val="32"/>
          <w:szCs w:val="32"/>
          <w:lang w:eastAsia="zh-CN"/>
        </w:rPr>
        <w:t>有内设机构</w:t>
      </w:r>
      <w:r>
        <w:rPr>
          <w:rFonts w:hint="eastAsia" w:ascii="Times New Roman"/>
          <w:sz w:val="32"/>
          <w:szCs w:val="32"/>
          <w:lang w:val="en-US" w:eastAsia="zh-CN"/>
        </w:rPr>
        <w:t>9个，</w:t>
      </w:r>
      <w:r>
        <w:rPr>
          <w:rFonts w:hint="eastAsia" w:ascii="Times New Roman"/>
          <w:sz w:val="32"/>
          <w:szCs w:val="32"/>
        </w:rPr>
        <w:t>截至</w:t>
      </w:r>
      <w:r>
        <w:rPr>
          <w:rFonts w:hint="eastAsia" w:ascii="Times New Roman"/>
          <w:sz w:val="32"/>
          <w:szCs w:val="32"/>
          <w:lang w:eastAsia="zh-CN"/>
        </w:rPr>
        <w:t>202</w:t>
      </w:r>
      <w:r>
        <w:rPr>
          <w:rFonts w:hint="eastAsia" w:ascii="Times New Roman"/>
          <w:sz w:val="32"/>
          <w:szCs w:val="32"/>
          <w:lang w:val="en-US" w:eastAsia="zh-CN"/>
        </w:rPr>
        <w:t>5</w:t>
      </w:r>
      <w:r>
        <w:rPr>
          <w:rFonts w:hint="eastAsia" w:ascii="Times New Roman"/>
          <w:sz w:val="32"/>
          <w:szCs w:val="32"/>
        </w:rPr>
        <w:t>年末在职人员</w:t>
      </w:r>
      <w:r>
        <w:rPr>
          <w:rFonts w:hint="eastAsia" w:ascii="Times New Roman"/>
          <w:sz w:val="32"/>
          <w:szCs w:val="32"/>
          <w:lang w:val="en-US" w:eastAsia="zh-CN"/>
        </w:rPr>
        <w:t>69</w:t>
      </w:r>
      <w:r>
        <w:rPr>
          <w:rFonts w:hint="eastAsia" w:ascii="Times New Roman"/>
          <w:sz w:val="32"/>
          <w:szCs w:val="32"/>
        </w:rPr>
        <w:t>人</w:t>
      </w:r>
      <w:r>
        <w:rPr>
          <w:rFonts w:hint="eastAsia" w:ascii="Times New Roman"/>
          <w:sz w:val="32"/>
          <w:szCs w:val="32"/>
          <w:lang w:eastAsia="zh-CN"/>
        </w:rPr>
        <w:t>，</w:t>
      </w:r>
      <w:r>
        <w:rPr>
          <w:rFonts w:ascii="Times New Roman"/>
          <w:sz w:val="32"/>
          <w:szCs w:val="32"/>
        </w:rPr>
        <w:t>其中行政单位1个，下属二级预算单位0个，参照公务员法管理的事业单位</w:t>
      </w:r>
      <w:r>
        <w:rPr>
          <w:rFonts w:ascii="Times New Roman"/>
          <w:bCs/>
          <w:sz w:val="32"/>
          <w:szCs w:val="32"/>
        </w:rPr>
        <w:t>0</w:t>
      </w:r>
      <w:r>
        <w:rPr>
          <w:rFonts w:ascii="Times New Roman"/>
          <w:sz w:val="32"/>
          <w:szCs w:val="32"/>
        </w:rPr>
        <w:t>个，其他事业单位0个。</w:t>
      </w:r>
    </w:p>
    <w:p>
      <w:pPr>
        <w:spacing w:line="580" w:lineRule="exact"/>
        <w:ind w:firstLine="640" w:firstLineChars="200"/>
        <w:rPr>
          <w:rFonts w:hint="eastAsia" w:ascii="黑体" w:hAnsi="黑体" w:eastAsia="黑体" w:cs="黑体"/>
          <w:color w:val="333333"/>
          <w:sz w:val="32"/>
          <w:szCs w:val="32"/>
        </w:rPr>
      </w:pPr>
      <w:r>
        <w:rPr>
          <w:rFonts w:hint="eastAsia" w:ascii="黑体" w:hAnsi="黑体" w:eastAsia="黑体" w:cs="黑体"/>
          <w:color w:val="333333"/>
          <w:sz w:val="32"/>
          <w:szCs w:val="32"/>
        </w:rPr>
        <w:t>三、收支预算说明</w:t>
      </w:r>
    </w:p>
    <w:p>
      <w:pPr>
        <w:pStyle w:val="3"/>
        <w:adjustRightInd w:val="0"/>
        <w:snapToGrid w:val="0"/>
        <w:spacing w:beforeLines="0" w:line="580" w:lineRule="exact"/>
        <w:ind w:firstLine="672" w:firstLineChars="210"/>
        <w:rPr>
          <w:rFonts w:ascii="Times New Roman"/>
          <w:sz w:val="32"/>
          <w:szCs w:val="32"/>
        </w:rPr>
      </w:pPr>
      <w:r>
        <w:rPr>
          <w:rFonts w:eastAsia="仿宋_GB2312"/>
          <w:color w:val="333333"/>
          <w:sz w:val="32"/>
          <w:szCs w:val="32"/>
        </w:rPr>
        <w:t>按照综合预算的原则，</w:t>
      </w:r>
      <w:r>
        <w:rPr>
          <w:rFonts w:hint="eastAsia" w:eastAsia="仿宋_GB2312"/>
          <w:color w:val="333333"/>
          <w:sz w:val="32"/>
          <w:szCs w:val="32"/>
          <w:lang w:eastAsia="zh-CN"/>
        </w:rPr>
        <w:t>洪雅县人民法院</w:t>
      </w:r>
      <w:r>
        <w:rPr>
          <w:rFonts w:eastAsia="仿宋_GB2312"/>
          <w:color w:val="333333"/>
          <w:sz w:val="32"/>
          <w:szCs w:val="32"/>
        </w:rPr>
        <w:t>所有收入和支出均纳入部门预算管理。</w:t>
      </w:r>
      <w:r>
        <w:rPr>
          <w:rFonts w:hint="eastAsia" w:ascii="Times New Roman"/>
          <w:sz w:val="32"/>
          <w:szCs w:val="32"/>
          <w:lang w:eastAsia="zh-CN"/>
        </w:rPr>
        <w:t>2026</w:t>
      </w:r>
      <w:r>
        <w:rPr>
          <w:rFonts w:ascii="Times New Roman"/>
          <w:sz w:val="32"/>
          <w:szCs w:val="32"/>
        </w:rPr>
        <w:t>年洪雅县人民法院收入预算总额为</w:t>
      </w:r>
      <w:r>
        <w:rPr>
          <w:rFonts w:hint="eastAsia" w:ascii="Times New Roman"/>
          <w:sz w:val="32"/>
          <w:szCs w:val="32"/>
          <w:lang w:val="en-US" w:eastAsia="zh-CN"/>
        </w:rPr>
        <w:t>2166.07</w:t>
      </w:r>
      <w:r>
        <w:rPr>
          <w:rFonts w:ascii="Times New Roman"/>
          <w:sz w:val="32"/>
          <w:szCs w:val="32"/>
        </w:rPr>
        <w:t>万元，其中：一般公共预算拨款收入</w:t>
      </w:r>
      <w:r>
        <w:rPr>
          <w:rFonts w:hint="eastAsia" w:ascii="Times New Roman"/>
          <w:sz w:val="32"/>
          <w:szCs w:val="32"/>
          <w:lang w:val="en-US" w:eastAsia="zh-CN"/>
        </w:rPr>
        <w:t>1916.03</w:t>
      </w:r>
      <w:r>
        <w:rPr>
          <w:rFonts w:ascii="Times New Roman"/>
          <w:sz w:val="32"/>
          <w:szCs w:val="32"/>
        </w:rPr>
        <w:t>万元（公共安全支出</w:t>
      </w:r>
      <w:r>
        <w:rPr>
          <w:rFonts w:hint="eastAsia" w:ascii="Times New Roman"/>
          <w:sz w:val="32"/>
          <w:szCs w:val="32"/>
          <w:lang w:val="en-US" w:eastAsia="zh-CN"/>
        </w:rPr>
        <w:t>1462.33</w:t>
      </w:r>
      <w:r>
        <w:rPr>
          <w:rFonts w:ascii="Times New Roman"/>
          <w:sz w:val="32"/>
          <w:szCs w:val="32"/>
        </w:rPr>
        <w:t>万元，社会保障和就业支出</w:t>
      </w:r>
      <w:r>
        <w:rPr>
          <w:rFonts w:hint="eastAsia" w:ascii="Times New Roman"/>
          <w:sz w:val="32"/>
          <w:szCs w:val="32"/>
          <w:lang w:val="en-US" w:eastAsia="zh-CN"/>
        </w:rPr>
        <w:t>241.14</w:t>
      </w:r>
      <w:r>
        <w:rPr>
          <w:rFonts w:ascii="Times New Roman"/>
          <w:sz w:val="32"/>
          <w:szCs w:val="32"/>
        </w:rPr>
        <w:t>万元，卫生健康支出</w:t>
      </w:r>
      <w:r>
        <w:rPr>
          <w:rFonts w:hint="eastAsia" w:ascii="Times New Roman"/>
          <w:sz w:val="32"/>
          <w:szCs w:val="32"/>
          <w:lang w:val="en-US" w:eastAsia="zh-CN"/>
        </w:rPr>
        <w:t>83.39</w:t>
      </w:r>
      <w:r>
        <w:rPr>
          <w:rFonts w:ascii="Times New Roman"/>
          <w:sz w:val="32"/>
          <w:szCs w:val="32"/>
        </w:rPr>
        <w:t>万元，住房保障支出</w:t>
      </w:r>
      <w:r>
        <w:rPr>
          <w:rFonts w:hint="eastAsia" w:ascii="Times New Roman"/>
          <w:sz w:val="32"/>
          <w:szCs w:val="32"/>
          <w:lang w:val="en-US" w:eastAsia="zh-CN"/>
        </w:rPr>
        <w:t>129.17</w:t>
      </w:r>
      <w:r>
        <w:rPr>
          <w:rFonts w:ascii="Times New Roman"/>
          <w:sz w:val="32"/>
          <w:szCs w:val="32"/>
        </w:rPr>
        <w:t>万元</w:t>
      </w:r>
      <w:r>
        <w:rPr>
          <w:rFonts w:hint="eastAsia" w:ascii="Times New Roman"/>
          <w:sz w:val="32"/>
          <w:szCs w:val="32"/>
          <w:lang w:eastAsia="zh-CN"/>
        </w:rPr>
        <w:t>）</w:t>
      </w:r>
      <w:r>
        <w:rPr>
          <w:rFonts w:ascii="Times New Roman"/>
          <w:sz w:val="32"/>
          <w:szCs w:val="32"/>
        </w:rPr>
        <w:t>；其他收入</w:t>
      </w:r>
      <w:r>
        <w:rPr>
          <w:rFonts w:hint="eastAsia" w:ascii="Times New Roman"/>
          <w:sz w:val="32"/>
          <w:szCs w:val="32"/>
          <w:lang w:val="en-US" w:eastAsia="zh-CN"/>
        </w:rPr>
        <w:t>250.04</w:t>
      </w:r>
      <w:r>
        <w:rPr>
          <w:rFonts w:ascii="Times New Roman"/>
          <w:sz w:val="32"/>
          <w:szCs w:val="32"/>
        </w:rPr>
        <w:t>万元（其他收入全部为县级财政保障的人员经费，主要</w:t>
      </w:r>
      <w:bookmarkStart w:id="0" w:name="_GoBack"/>
      <w:bookmarkEnd w:id="0"/>
      <w:r>
        <w:rPr>
          <w:rFonts w:hint="eastAsia" w:ascii="Times New Roman"/>
          <w:sz w:val="32"/>
          <w:szCs w:val="32"/>
          <w:lang w:eastAsia="zh-CN"/>
        </w:rPr>
        <w:t>包括洪雅县人民法院</w:t>
      </w:r>
      <w:r>
        <w:rPr>
          <w:rFonts w:ascii="Times New Roman"/>
          <w:sz w:val="32"/>
          <w:szCs w:val="32"/>
        </w:rPr>
        <w:t>编外控制人员的工资及保险支出</w:t>
      </w:r>
      <w:r>
        <w:rPr>
          <w:rFonts w:hint="eastAsia" w:ascii="Times New Roman"/>
          <w:sz w:val="32"/>
          <w:szCs w:val="32"/>
          <w:lang w:val="en-US" w:eastAsia="zh-CN"/>
        </w:rPr>
        <w:t>22.11</w:t>
      </w:r>
      <w:r>
        <w:rPr>
          <w:rFonts w:ascii="Times New Roman"/>
          <w:sz w:val="32"/>
          <w:szCs w:val="32"/>
        </w:rPr>
        <w:t>万元、全院干警基础性绩效奖金支出</w:t>
      </w:r>
      <w:r>
        <w:rPr>
          <w:rFonts w:hint="eastAsia" w:ascii="Times New Roman"/>
          <w:sz w:val="32"/>
          <w:szCs w:val="32"/>
          <w:lang w:val="en-US" w:eastAsia="zh-CN"/>
        </w:rPr>
        <w:t>221.26</w:t>
      </w:r>
      <w:r>
        <w:rPr>
          <w:rFonts w:ascii="Times New Roman"/>
          <w:sz w:val="32"/>
          <w:szCs w:val="32"/>
        </w:rPr>
        <w:t>万元、退休人员公务员医疗补助支出</w:t>
      </w:r>
      <w:r>
        <w:rPr>
          <w:rFonts w:hint="eastAsia" w:ascii="Times New Roman"/>
          <w:sz w:val="32"/>
          <w:szCs w:val="32"/>
          <w:lang w:val="en-US" w:eastAsia="zh-CN"/>
        </w:rPr>
        <w:t>4.44</w:t>
      </w:r>
      <w:r>
        <w:rPr>
          <w:rFonts w:ascii="Times New Roman"/>
          <w:sz w:val="32"/>
          <w:szCs w:val="32"/>
        </w:rPr>
        <w:t>万元、退休人员</w:t>
      </w:r>
      <w:r>
        <w:rPr>
          <w:rFonts w:hint="eastAsia" w:ascii="Times New Roman"/>
          <w:sz w:val="32"/>
          <w:szCs w:val="32"/>
          <w:lang w:val="en-US" w:eastAsia="zh-CN"/>
        </w:rPr>
        <w:t>活动经费2.23万元</w:t>
      </w:r>
      <w:r>
        <w:rPr>
          <w:rFonts w:ascii="Times New Roman"/>
          <w:sz w:val="32"/>
          <w:szCs w:val="32"/>
        </w:rPr>
        <w:t>）。</w:t>
      </w:r>
    </w:p>
    <w:p>
      <w:pPr>
        <w:pStyle w:val="3"/>
        <w:adjustRightInd w:val="0"/>
        <w:snapToGrid w:val="0"/>
        <w:spacing w:beforeLines="0" w:line="580" w:lineRule="exact"/>
        <w:ind w:firstLine="672" w:firstLineChars="210"/>
        <w:rPr>
          <w:rFonts w:hint="default" w:ascii="Times New Roman" w:eastAsia="仿宋_GB2312"/>
          <w:bCs w:val="0"/>
          <w:sz w:val="32"/>
          <w:szCs w:val="32"/>
          <w:lang w:val="en-US" w:eastAsia="zh-CN"/>
        </w:rPr>
      </w:pPr>
      <w:r>
        <w:rPr>
          <w:rFonts w:hint="default" w:ascii="Times New Roman" w:eastAsia="仿宋_GB2312"/>
          <w:sz w:val="32"/>
          <w:szCs w:val="32"/>
          <w:lang w:eastAsia="zh-CN"/>
        </w:rPr>
        <w:t>洪雅县人民法院2026</w:t>
      </w:r>
      <w:r>
        <w:rPr>
          <w:rFonts w:ascii="Times New Roman" w:eastAsia="仿宋_GB2312"/>
          <w:sz w:val="32"/>
          <w:szCs w:val="32"/>
        </w:rPr>
        <w:t>年收支总预算</w:t>
      </w:r>
      <w:r>
        <w:rPr>
          <w:rFonts w:hint="default" w:ascii="Times New Roman" w:eastAsia="仿宋_GB2312"/>
          <w:sz w:val="32"/>
          <w:szCs w:val="32"/>
          <w:lang w:val="en-US" w:eastAsia="zh-CN"/>
        </w:rPr>
        <w:t>2166.07</w:t>
      </w:r>
      <w:r>
        <w:rPr>
          <w:rFonts w:ascii="Times New Roman" w:eastAsia="仿宋_GB2312"/>
          <w:sz w:val="32"/>
          <w:szCs w:val="32"/>
        </w:rPr>
        <w:t>万元,</w:t>
      </w:r>
      <w:r>
        <w:rPr>
          <w:rFonts w:ascii="Times New Roman" w:eastAsia="仿宋_GB2312"/>
          <w:bCs w:val="0"/>
          <w:sz w:val="32"/>
          <w:szCs w:val="32"/>
        </w:rPr>
        <w:t>比202</w:t>
      </w:r>
      <w:r>
        <w:rPr>
          <w:rFonts w:hint="default" w:ascii="Times New Roman" w:eastAsia="仿宋_GB2312"/>
          <w:bCs w:val="0"/>
          <w:sz w:val="32"/>
          <w:szCs w:val="32"/>
          <w:lang w:val="en-US" w:eastAsia="zh-CN"/>
        </w:rPr>
        <w:t>5</w:t>
      </w:r>
      <w:r>
        <w:rPr>
          <w:rFonts w:ascii="Times New Roman" w:eastAsia="仿宋_GB2312"/>
          <w:bCs w:val="0"/>
          <w:sz w:val="32"/>
          <w:szCs w:val="32"/>
        </w:rPr>
        <w:t>年收支预算总数</w:t>
      </w:r>
      <w:r>
        <w:rPr>
          <w:rFonts w:hint="default" w:ascii="Times New Roman" w:eastAsia="仿宋_GB2312"/>
          <w:bCs w:val="0"/>
          <w:sz w:val="32"/>
          <w:szCs w:val="32"/>
          <w:lang w:eastAsia="zh-CN"/>
        </w:rPr>
        <w:t>增加</w:t>
      </w:r>
      <w:r>
        <w:rPr>
          <w:rFonts w:hint="default" w:ascii="Times New Roman" w:eastAsia="仿宋_GB2312"/>
          <w:bCs w:val="0"/>
          <w:sz w:val="32"/>
          <w:szCs w:val="32"/>
          <w:lang w:val="en-US" w:eastAsia="zh-CN"/>
        </w:rPr>
        <w:t>131.64</w:t>
      </w:r>
      <w:r>
        <w:rPr>
          <w:rFonts w:ascii="Times New Roman" w:eastAsia="仿宋_GB2312"/>
          <w:bCs w:val="0"/>
          <w:sz w:val="32"/>
          <w:szCs w:val="32"/>
        </w:rPr>
        <w:t>万元，主要原因</w:t>
      </w:r>
      <w:r>
        <w:rPr>
          <w:rFonts w:hint="default" w:ascii="Times New Roman" w:eastAsia="仿宋_GB2312"/>
          <w:bCs w:val="0"/>
          <w:sz w:val="32"/>
          <w:szCs w:val="32"/>
          <w:lang w:val="en-US" w:eastAsia="zh-CN"/>
        </w:rPr>
        <w:t>为</w:t>
      </w:r>
      <w:r>
        <w:rPr>
          <w:rFonts w:hint="default" w:ascii="Times New Roman"/>
          <w:bCs w:val="0"/>
          <w:sz w:val="32"/>
          <w:szCs w:val="32"/>
          <w:lang w:val="en-US" w:eastAsia="zh-CN"/>
        </w:rPr>
        <w:t>人员经费预算增加，2026年</w:t>
      </w:r>
      <w:r>
        <w:rPr>
          <w:rFonts w:hint="eastAsia" w:ascii="Times New Roman"/>
          <w:bCs w:val="0"/>
          <w:sz w:val="32"/>
          <w:szCs w:val="32"/>
          <w:lang w:val="en-US" w:eastAsia="zh-CN"/>
        </w:rPr>
        <w:t>洪雅县人民法院</w:t>
      </w:r>
      <w:r>
        <w:rPr>
          <w:rFonts w:hint="default" w:ascii="Times New Roman" w:eastAsia="仿宋_GB2312"/>
          <w:bCs w:val="0"/>
          <w:sz w:val="32"/>
          <w:szCs w:val="32"/>
          <w:lang w:val="en-US" w:eastAsia="zh-CN"/>
        </w:rPr>
        <w:t>新进人员</w:t>
      </w:r>
      <w:r>
        <w:rPr>
          <w:rFonts w:hint="default" w:ascii="Times New Roman"/>
          <w:bCs w:val="0"/>
          <w:sz w:val="32"/>
          <w:szCs w:val="32"/>
          <w:lang w:val="en-US" w:eastAsia="zh-CN"/>
        </w:rPr>
        <w:t>3人，同时</w:t>
      </w:r>
      <w:r>
        <w:rPr>
          <w:rFonts w:hint="default" w:ascii="Times New Roman" w:eastAsia="仿宋_GB2312"/>
          <w:bCs w:val="0"/>
          <w:sz w:val="32"/>
          <w:szCs w:val="32"/>
          <w:lang w:val="en-US" w:eastAsia="zh-CN"/>
        </w:rPr>
        <w:t>人员工资</w:t>
      </w:r>
      <w:r>
        <w:rPr>
          <w:rFonts w:hint="default" w:ascii="Times New Roman"/>
          <w:bCs w:val="0"/>
          <w:sz w:val="32"/>
          <w:szCs w:val="32"/>
          <w:lang w:val="en-US" w:eastAsia="zh-CN"/>
        </w:rPr>
        <w:t>普调，</w:t>
      </w:r>
      <w:r>
        <w:rPr>
          <w:rFonts w:hint="default" w:ascii="Times New Roman" w:eastAsia="仿宋_GB2312"/>
          <w:bCs w:val="0"/>
          <w:sz w:val="32"/>
          <w:szCs w:val="32"/>
          <w:lang w:val="en-US" w:eastAsia="zh-CN"/>
        </w:rPr>
        <w:t>社保</w:t>
      </w:r>
      <w:r>
        <w:rPr>
          <w:rFonts w:hint="default" w:ascii="Times New Roman"/>
          <w:bCs w:val="0"/>
          <w:sz w:val="32"/>
          <w:szCs w:val="32"/>
          <w:lang w:val="en-US" w:eastAsia="zh-CN"/>
        </w:rPr>
        <w:t>等</w:t>
      </w:r>
      <w:r>
        <w:rPr>
          <w:rFonts w:hint="default" w:ascii="Times New Roman" w:eastAsia="仿宋_GB2312"/>
          <w:bCs w:val="0"/>
          <w:sz w:val="32"/>
          <w:szCs w:val="32"/>
          <w:lang w:val="en-US" w:eastAsia="zh-CN"/>
        </w:rPr>
        <w:t>缴费基数的调增</w:t>
      </w:r>
      <w:r>
        <w:rPr>
          <w:rFonts w:hint="default" w:ascii="Times New Roman"/>
          <w:bCs w:val="0"/>
          <w:sz w:val="32"/>
          <w:szCs w:val="32"/>
          <w:lang w:val="en-US" w:eastAsia="zh-CN"/>
        </w:rPr>
        <w:t>导致</w:t>
      </w:r>
      <w:r>
        <w:rPr>
          <w:rFonts w:hint="eastAsia" w:ascii="Times New Roman"/>
          <w:bCs w:val="0"/>
          <w:sz w:val="32"/>
          <w:szCs w:val="32"/>
          <w:lang w:val="en-US" w:eastAsia="zh-CN"/>
        </w:rPr>
        <w:t>洪雅县人民法院</w:t>
      </w:r>
      <w:r>
        <w:rPr>
          <w:rFonts w:hint="default" w:ascii="Times New Roman"/>
          <w:bCs w:val="0"/>
          <w:sz w:val="32"/>
          <w:szCs w:val="32"/>
          <w:lang w:val="en-US" w:eastAsia="zh-CN"/>
        </w:rPr>
        <w:t>人员经费较上年增加</w:t>
      </w:r>
      <w:r>
        <w:rPr>
          <w:rFonts w:hint="default" w:ascii="Times New Roman" w:eastAsia="仿宋_GB2312"/>
          <w:bCs w:val="0"/>
          <w:sz w:val="32"/>
          <w:szCs w:val="32"/>
          <w:lang w:val="en-US" w:eastAsia="zh-CN"/>
        </w:rPr>
        <w:t>。</w:t>
      </w:r>
    </w:p>
    <w:p>
      <w:pPr>
        <w:spacing w:line="580" w:lineRule="exact"/>
        <w:ind w:firstLine="640" w:firstLineChars="200"/>
        <w:outlineLvl w:val="0"/>
        <w:rPr>
          <w:rFonts w:eastAsia="楷体_GB2312"/>
          <w:bCs/>
          <w:sz w:val="32"/>
          <w:szCs w:val="32"/>
        </w:rPr>
      </w:pPr>
      <w:r>
        <w:rPr>
          <w:rFonts w:eastAsia="楷体_GB2312"/>
          <w:bCs/>
          <w:sz w:val="32"/>
          <w:szCs w:val="32"/>
        </w:rPr>
        <w:t>（一）收入预算</w:t>
      </w:r>
    </w:p>
    <w:p>
      <w:pPr>
        <w:spacing w:line="580" w:lineRule="exact"/>
        <w:ind w:firstLine="640" w:firstLineChars="200"/>
        <w:outlineLvl w:val="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洪雅县人民法院2026</w:t>
      </w:r>
      <w:r>
        <w:rPr>
          <w:rFonts w:hint="eastAsia" w:ascii="仿宋_GB2312" w:hAnsi="仿宋_GB2312" w:eastAsia="仿宋_GB2312" w:cs="仿宋_GB2312"/>
          <w:color w:val="auto"/>
          <w:sz w:val="32"/>
          <w:szCs w:val="32"/>
        </w:rPr>
        <w:t>年收入预算为</w:t>
      </w:r>
      <w:r>
        <w:rPr>
          <w:rFonts w:hint="eastAsia" w:ascii="仿宋_GB2312" w:hAnsi="仿宋_GB2312" w:eastAsia="仿宋_GB2312" w:cs="仿宋_GB2312"/>
          <w:color w:val="auto"/>
          <w:sz w:val="32"/>
          <w:szCs w:val="32"/>
          <w:lang w:val="en-US" w:eastAsia="zh-CN"/>
        </w:rPr>
        <w:t>2166.07</w:t>
      </w:r>
      <w:r>
        <w:rPr>
          <w:rFonts w:hint="eastAsia" w:ascii="仿宋_GB2312" w:hAnsi="仿宋_GB2312" w:eastAsia="仿宋_GB2312" w:cs="仿宋_GB2312"/>
          <w:color w:val="auto"/>
          <w:sz w:val="32"/>
          <w:szCs w:val="32"/>
        </w:rPr>
        <w:t>万元，其中：一般公共预算拨款收入</w:t>
      </w:r>
      <w:r>
        <w:rPr>
          <w:rFonts w:hint="eastAsia" w:ascii="仿宋_GB2312" w:hAnsi="仿宋_GB2312" w:eastAsia="仿宋_GB2312" w:cs="仿宋_GB2312"/>
          <w:color w:val="auto"/>
          <w:sz w:val="32"/>
          <w:szCs w:val="32"/>
          <w:lang w:val="en-US" w:eastAsia="zh-CN"/>
        </w:rPr>
        <w:t>1916.03</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88.46</w:t>
      </w:r>
      <w:r>
        <w:rPr>
          <w:rFonts w:hint="eastAsia" w:ascii="仿宋_GB2312" w:hAnsi="仿宋_GB2312" w:eastAsia="仿宋_GB2312" w:cs="仿宋_GB2312"/>
          <w:color w:val="auto"/>
          <w:sz w:val="32"/>
          <w:szCs w:val="32"/>
        </w:rPr>
        <w:t>%；事业收入</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%；事业单位经营收入</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其他收入</w:t>
      </w:r>
      <w:r>
        <w:rPr>
          <w:rFonts w:hint="eastAsia" w:ascii="仿宋_GB2312" w:hAnsi="仿宋_GB2312" w:eastAsia="仿宋_GB2312" w:cs="仿宋_GB2312"/>
          <w:color w:val="auto"/>
          <w:sz w:val="32"/>
          <w:szCs w:val="32"/>
          <w:lang w:val="en-US" w:eastAsia="zh-CN"/>
        </w:rPr>
        <w:t>250.04</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11.54</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p>
    <w:p>
      <w:pPr>
        <w:spacing w:line="580" w:lineRule="exact"/>
        <w:ind w:firstLine="640" w:firstLineChars="200"/>
        <w:outlineLvl w:val="0"/>
        <w:rPr>
          <w:rFonts w:eastAsia="楷体_GB2312"/>
          <w:color w:val="333333"/>
          <w:sz w:val="32"/>
          <w:szCs w:val="32"/>
        </w:rPr>
      </w:pPr>
      <w:r>
        <w:rPr>
          <w:rFonts w:eastAsia="楷体_GB2312"/>
          <w:color w:val="333333"/>
          <w:sz w:val="32"/>
          <w:szCs w:val="32"/>
        </w:rPr>
        <w:t>（二）支出预算</w:t>
      </w:r>
    </w:p>
    <w:p>
      <w:pPr>
        <w:spacing w:line="580" w:lineRule="exact"/>
        <w:ind w:firstLine="640" w:firstLineChars="200"/>
        <w:outlineLvl w:val="0"/>
        <w:rPr>
          <w:rFonts w:eastAsia="仿宋_GB2312"/>
          <w:bCs/>
          <w:sz w:val="32"/>
          <w:szCs w:val="32"/>
        </w:rPr>
      </w:pPr>
      <w:r>
        <w:rPr>
          <w:rFonts w:hint="eastAsia" w:eastAsia="仿宋_GB2312"/>
          <w:bCs/>
          <w:sz w:val="32"/>
          <w:szCs w:val="32"/>
          <w:lang w:eastAsia="zh-CN"/>
        </w:rPr>
        <w:t>洪雅县人民法院2026</w:t>
      </w:r>
      <w:r>
        <w:rPr>
          <w:rFonts w:eastAsia="仿宋_GB2312"/>
          <w:bCs/>
          <w:sz w:val="32"/>
          <w:szCs w:val="32"/>
        </w:rPr>
        <w:t>年支出预算</w:t>
      </w:r>
      <w:r>
        <w:rPr>
          <w:rFonts w:hint="eastAsia" w:eastAsia="仿宋_GB2312"/>
          <w:bCs/>
          <w:sz w:val="32"/>
          <w:szCs w:val="32"/>
          <w:lang w:val="en-US" w:eastAsia="zh-CN"/>
        </w:rPr>
        <w:t>2166.07</w:t>
      </w:r>
      <w:r>
        <w:rPr>
          <w:rFonts w:eastAsia="仿宋_GB2312"/>
          <w:bCs/>
          <w:sz w:val="32"/>
          <w:szCs w:val="32"/>
        </w:rPr>
        <w:t>万元，其中：基本支出</w:t>
      </w:r>
      <w:r>
        <w:rPr>
          <w:rFonts w:hint="eastAsia" w:eastAsia="仿宋_GB2312"/>
          <w:bCs/>
          <w:sz w:val="32"/>
          <w:szCs w:val="32"/>
          <w:lang w:val="en-US" w:eastAsia="zh-CN"/>
        </w:rPr>
        <w:t>1764.07</w:t>
      </w:r>
      <w:r>
        <w:rPr>
          <w:rFonts w:eastAsia="仿宋_GB2312"/>
          <w:bCs/>
          <w:sz w:val="32"/>
          <w:szCs w:val="32"/>
        </w:rPr>
        <w:t>万元（其中市级财政保障</w:t>
      </w:r>
      <w:r>
        <w:rPr>
          <w:rFonts w:hint="eastAsia" w:eastAsia="仿宋_GB2312"/>
          <w:bCs/>
          <w:sz w:val="32"/>
          <w:szCs w:val="32"/>
          <w:lang w:val="en-US" w:eastAsia="zh-CN"/>
        </w:rPr>
        <w:t>1514.03</w:t>
      </w:r>
      <w:r>
        <w:rPr>
          <w:rFonts w:eastAsia="仿宋_GB2312"/>
          <w:bCs/>
          <w:sz w:val="32"/>
          <w:szCs w:val="32"/>
        </w:rPr>
        <w:t>万元，县级财政保障</w:t>
      </w:r>
      <w:r>
        <w:rPr>
          <w:rFonts w:hint="eastAsia" w:eastAsia="仿宋_GB2312"/>
          <w:bCs/>
          <w:sz w:val="32"/>
          <w:szCs w:val="32"/>
          <w:lang w:val="en-US" w:eastAsia="zh-CN"/>
        </w:rPr>
        <w:t>250.04</w:t>
      </w:r>
      <w:r>
        <w:rPr>
          <w:rFonts w:eastAsia="仿宋_GB2312"/>
          <w:bCs/>
          <w:sz w:val="32"/>
          <w:szCs w:val="32"/>
        </w:rPr>
        <w:t>万元），项目支出</w:t>
      </w:r>
      <w:r>
        <w:rPr>
          <w:rFonts w:hint="eastAsia" w:eastAsia="仿宋_GB2312"/>
          <w:bCs/>
          <w:sz w:val="32"/>
          <w:szCs w:val="32"/>
          <w:lang w:val="en-US" w:eastAsia="zh-CN"/>
        </w:rPr>
        <w:t>402</w:t>
      </w:r>
      <w:r>
        <w:rPr>
          <w:rFonts w:eastAsia="仿宋_GB2312"/>
          <w:bCs/>
          <w:sz w:val="32"/>
          <w:szCs w:val="32"/>
        </w:rPr>
        <w:t>万元。</w:t>
      </w:r>
    </w:p>
    <w:p>
      <w:pPr>
        <w:spacing w:line="580" w:lineRule="exact"/>
        <w:ind w:firstLine="640" w:firstLineChars="200"/>
        <w:outlineLvl w:val="0"/>
        <w:rPr>
          <w:rFonts w:eastAsia="黑体"/>
          <w:bCs/>
          <w:sz w:val="32"/>
          <w:szCs w:val="32"/>
        </w:rPr>
      </w:pPr>
      <w:r>
        <w:rPr>
          <w:rFonts w:eastAsia="黑体"/>
          <w:bCs/>
          <w:sz w:val="32"/>
          <w:szCs w:val="32"/>
        </w:rPr>
        <w:t>四、财政拨款收支情况说明</w:t>
      </w:r>
    </w:p>
    <w:p>
      <w:pPr>
        <w:pStyle w:val="3"/>
        <w:adjustRightInd w:val="0"/>
        <w:snapToGrid w:val="0"/>
        <w:spacing w:beforeLines="0" w:line="580" w:lineRule="exact"/>
        <w:ind w:firstLine="672" w:firstLineChars="210"/>
        <w:rPr>
          <w:rFonts w:hint="default" w:ascii="Times New Roman" w:hAnsi="Times New Roman" w:eastAsia="仿宋_GB2312" w:cs="Times New Roman"/>
          <w:bCs/>
          <w:sz w:val="32"/>
          <w:szCs w:val="32"/>
          <w:lang w:val="en-US" w:eastAsia="zh-CN"/>
        </w:rPr>
      </w:pPr>
      <w:r>
        <w:rPr>
          <w:rFonts w:hint="default" w:ascii="Times New Roman" w:hAnsi="Times New Roman" w:eastAsia="仿宋_GB2312" w:cs="Times New Roman"/>
          <w:bCs/>
          <w:sz w:val="32"/>
          <w:szCs w:val="32"/>
          <w:lang w:eastAsia="zh-CN"/>
        </w:rPr>
        <w:t>洪雅县人民法院2026</w:t>
      </w:r>
      <w:r>
        <w:rPr>
          <w:rFonts w:ascii="Times New Roman" w:hAnsi="Times New Roman" w:eastAsia="仿宋_GB2312" w:cs="Times New Roman"/>
          <w:bCs/>
          <w:sz w:val="32"/>
          <w:szCs w:val="32"/>
        </w:rPr>
        <w:t>年财政拨款收支总预算为</w:t>
      </w:r>
      <w:r>
        <w:rPr>
          <w:rFonts w:hint="default" w:ascii="Times New Roman" w:hAnsi="Times New Roman" w:eastAsia="仿宋_GB2312" w:cs="Times New Roman"/>
          <w:bCs/>
          <w:sz w:val="32"/>
          <w:szCs w:val="32"/>
          <w:lang w:val="en-US" w:eastAsia="zh-CN"/>
        </w:rPr>
        <w:t>2166.07</w:t>
      </w:r>
      <w:r>
        <w:rPr>
          <w:rFonts w:ascii="Times New Roman" w:hAnsi="Times New Roman" w:eastAsia="仿宋_GB2312" w:cs="Times New Roman"/>
          <w:bCs/>
          <w:sz w:val="32"/>
          <w:szCs w:val="32"/>
        </w:rPr>
        <w:t>万元，比202</w:t>
      </w:r>
      <w:r>
        <w:rPr>
          <w:rFonts w:hint="default" w:ascii="Times New Roman" w:hAnsi="Times New Roman" w:eastAsia="仿宋_GB2312" w:cs="Times New Roman"/>
          <w:bCs/>
          <w:sz w:val="32"/>
          <w:szCs w:val="32"/>
          <w:lang w:val="en-US" w:eastAsia="zh-CN"/>
        </w:rPr>
        <w:t>5</w:t>
      </w:r>
      <w:r>
        <w:rPr>
          <w:rFonts w:ascii="Times New Roman" w:hAnsi="Times New Roman" w:eastAsia="仿宋_GB2312" w:cs="Times New Roman"/>
          <w:bCs/>
          <w:sz w:val="32"/>
          <w:szCs w:val="32"/>
        </w:rPr>
        <w:t>年收支预算总数</w:t>
      </w:r>
      <w:r>
        <w:rPr>
          <w:rFonts w:hint="default" w:ascii="Times New Roman" w:hAnsi="Times New Roman" w:eastAsia="仿宋_GB2312" w:cs="Times New Roman"/>
          <w:bCs/>
          <w:sz w:val="32"/>
          <w:szCs w:val="32"/>
          <w:lang w:eastAsia="zh-CN"/>
        </w:rPr>
        <w:t>增加</w:t>
      </w:r>
      <w:r>
        <w:rPr>
          <w:rFonts w:hint="default" w:ascii="Times New Roman" w:hAnsi="Times New Roman" w:eastAsia="仿宋_GB2312" w:cs="Times New Roman"/>
          <w:bCs/>
          <w:sz w:val="32"/>
          <w:szCs w:val="32"/>
          <w:lang w:val="en-US" w:eastAsia="zh-CN"/>
        </w:rPr>
        <w:t>131.64</w:t>
      </w:r>
      <w:r>
        <w:rPr>
          <w:rFonts w:ascii="Times New Roman" w:hAnsi="Times New Roman" w:eastAsia="仿宋_GB2312" w:cs="Times New Roman"/>
          <w:bCs/>
          <w:sz w:val="32"/>
          <w:szCs w:val="32"/>
        </w:rPr>
        <w:t>万元，主要原因</w:t>
      </w:r>
      <w:r>
        <w:rPr>
          <w:rFonts w:hint="default" w:ascii="Times New Roman" w:hAnsi="Times New Roman" w:eastAsia="仿宋_GB2312" w:cs="Times New Roman"/>
          <w:bCs/>
          <w:sz w:val="32"/>
          <w:szCs w:val="32"/>
          <w:lang w:val="en-US" w:eastAsia="zh-CN"/>
        </w:rPr>
        <w:t>为</w:t>
      </w:r>
      <w:r>
        <w:rPr>
          <w:rFonts w:hint="default" w:ascii="Times New Roman" w:hAnsi="Times New Roman" w:cs="Times New Roman"/>
          <w:bCs/>
          <w:sz w:val="32"/>
          <w:szCs w:val="32"/>
          <w:lang w:val="en-US" w:eastAsia="zh-CN"/>
        </w:rPr>
        <w:t>人员经费预算增加，2026年</w:t>
      </w:r>
      <w:r>
        <w:rPr>
          <w:rFonts w:hint="eastAsia" w:ascii="Times New Roman" w:cs="Times New Roman"/>
          <w:bCs/>
          <w:sz w:val="32"/>
          <w:szCs w:val="32"/>
          <w:lang w:val="en-US" w:eastAsia="zh-CN"/>
        </w:rPr>
        <w:t>洪雅县人民法院</w:t>
      </w:r>
      <w:r>
        <w:rPr>
          <w:rFonts w:hint="default" w:ascii="Times New Roman" w:hAnsi="Times New Roman" w:eastAsia="仿宋_GB2312" w:cs="Times New Roman"/>
          <w:bCs/>
          <w:sz w:val="32"/>
          <w:szCs w:val="32"/>
          <w:lang w:val="en-US" w:eastAsia="zh-CN"/>
        </w:rPr>
        <w:t>新进人员</w:t>
      </w:r>
      <w:r>
        <w:rPr>
          <w:rFonts w:hint="default" w:ascii="Times New Roman" w:hAnsi="Times New Roman" w:cs="Times New Roman"/>
          <w:bCs/>
          <w:sz w:val="32"/>
          <w:szCs w:val="32"/>
          <w:lang w:val="en-US" w:eastAsia="zh-CN"/>
        </w:rPr>
        <w:t>3人，同时</w:t>
      </w:r>
      <w:r>
        <w:rPr>
          <w:rFonts w:hint="default" w:ascii="Times New Roman" w:hAnsi="Times New Roman" w:eastAsia="仿宋_GB2312" w:cs="Times New Roman"/>
          <w:bCs/>
          <w:sz w:val="32"/>
          <w:szCs w:val="32"/>
          <w:lang w:val="en-US" w:eastAsia="zh-CN"/>
        </w:rPr>
        <w:t>人员工资</w:t>
      </w:r>
      <w:r>
        <w:rPr>
          <w:rFonts w:hint="default" w:ascii="Times New Roman" w:hAnsi="Times New Roman" w:cs="Times New Roman"/>
          <w:bCs/>
          <w:sz w:val="32"/>
          <w:szCs w:val="32"/>
          <w:lang w:val="en-US" w:eastAsia="zh-CN"/>
        </w:rPr>
        <w:t>普调，</w:t>
      </w:r>
      <w:r>
        <w:rPr>
          <w:rFonts w:hint="default" w:ascii="Times New Roman" w:hAnsi="Times New Roman" w:eastAsia="仿宋_GB2312" w:cs="Times New Roman"/>
          <w:bCs/>
          <w:sz w:val="32"/>
          <w:szCs w:val="32"/>
          <w:lang w:val="en-US" w:eastAsia="zh-CN"/>
        </w:rPr>
        <w:t>社保</w:t>
      </w:r>
      <w:r>
        <w:rPr>
          <w:rFonts w:hint="default" w:ascii="Times New Roman" w:hAnsi="Times New Roman" w:cs="Times New Roman"/>
          <w:bCs/>
          <w:sz w:val="32"/>
          <w:szCs w:val="32"/>
          <w:lang w:val="en-US" w:eastAsia="zh-CN"/>
        </w:rPr>
        <w:t>等</w:t>
      </w:r>
      <w:r>
        <w:rPr>
          <w:rFonts w:hint="default" w:ascii="Times New Roman" w:hAnsi="Times New Roman" w:eastAsia="仿宋_GB2312" w:cs="Times New Roman"/>
          <w:bCs/>
          <w:sz w:val="32"/>
          <w:szCs w:val="32"/>
          <w:lang w:val="en-US" w:eastAsia="zh-CN"/>
        </w:rPr>
        <w:t>缴费基数的调增</w:t>
      </w:r>
      <w:r>
        <w:rPr>
          <w:rFonts w:hint="default" w:ascii="Times New Roman" w:hAnsi="Times New Roman" w:cs="Times New Roman"/>
          <w:bCs/>
          <w:sz w:val="32"/>
          <w:szCs w:val="32"/>
          <w:lang w:val="en-US" w:eastAsia="zh-CN"/>
        </w:rPr>
        <w:t>导致</w:t>
      </w:r>
      <w:r>
        <w:rPr>
          <w:rFonts w:hint="eastAsia" w:ascii="Times New Roman" w:cs="Times New Roman"/>
          <w:bCs/>
          <w:sz w:val="32"/>
          <w:szCs w:val="32"/>
          <w:lang w:val="en-US" w:eastAsia="zh-CN"/>
        </w:rPr>
        <w:t>洪雅县人民法院</w:t>
      </w:r>
      <w:r>
        <w:rPr>
          <w:rFonts w:hint="default" w:ascii="Times New Roman" w:hAnsi="Times New Roman" w:cs="Times New Roman"/>
          <w:bCs/>
          <w:sz w:val="32"/>
          <w:szCs w:val="32"/>
          <w:lang w:val="en-US" w:eastAsia="zh-CN"/>
        </w:rPr>
        <w:t>人员经费较上年增加</w:t>
      </w:r>
      <w:r>
        <w:rPr>
          <w:rFonts w:hint="default" w:ascii="Times New Roman" w:hAnsi="Times New Roman" w:eastAsia="仿宋_GB2312" w:cs="Times New Roman"/>
          <w:bCs/>
          <w:sz w:val="32"/>
          <w:szCs w:val="32"/>
          <w:lang w:val="en-US" w:eastAsia="zh-CN"/>
        </w:rPr>
        <w:t>。</w:t>
      </w:r>
    </w:p>
    <w:p>
      <w:pPr>
        <w:pStyle w:val="3"/>
        <w:adjustRightInd w:val="0"/>
        <w:snapToGrid w:val="0"/>
        <w:spacing w:beforeLines="0" w:line="580" w:lineRule="exact"/>
        <w:ind w:firstLine="672" w:firstLineChars="210"/>
        <w:rPr>
          <w:rFonts w:ascii="Times New Roman"/>
          <w:sz w:val="32"/>
          <w:szCs w:val="32"/>
        </w:rPr>
      </w:pPr>
      <w:r>
        <w:rPr>
          <w:rFonts w:hint="eastAsia" w:ascii="Times New Roman"/>
          <w:sz w:val="32"/>
          <w:szCs w:val="32"/>
          <w:lang w:eastAsia="zh-CN"/>
        </w:rPr>
        <w:t>2026</w:t>
      </w:r>
      <w:r>
        <w:rPr>
          <w:rFonts w:ascii="Times New Roman"/>
          <w:sz w:val="32"/>
          <w:szCs w:val="32"/>
        </w:rPr>
        <w:t>年洪雅县人民法院收入预算总额为</w:t>
      </w:r>
      <w:r>
        <w:rPr>
          <w:rFonts w:hint="eastAsia" w:ascii="Times New Roman"/>
          <w:sz w:val="32"/>
          <w:szCs w:val="32"/>
          <w:lang w:val="en-US" w:eastAsia="zh-CN"/>
        </w:rPr>
        <w:t>2166.07</w:t>
      </w:r>
      <w:r>
        <w:rPr>
          <w:rFonts w:ascii="Times New Roman"/>
          <w:sz w:val="32"/>
          <w:szCs w:val="32"/>
        </w:rPr>
        <w:t>万元，其中：一般公共预算拨款收入</w:t>
      </w:r>
      <w:r>
        <w:rPr>
          <w:rFonts w:hint="eastAsia" w:ascii="Times New Roman"/>
          <w:sz w:val="32"/>
          <w:szCs w:val="32"/>
          <w:lang w:val="en-US" w:eastAsia="zh-CN"/>
        </w:rPr>
        <w:t>1916.03</w:t>
      </w:r>
      <w:r>
        <w:rPr>
          <w:rFonts w:ascii="Times New Roman"/>
          <w:sz w:val="32"/>
          <w:szCs w:val="32"/>
        </w:rPr>
        <w:t>万元（公共安全支出</w:t>
      </w:r>
      <w:r>
        <w:rPr>
          <w:rFonts w:hint="eastAsia" w:ascii="Times New Roman"/>
          <w:sz w:val="32"/>
          <w:szCs w:val="32"/>
          <w:lang w:val="en-US" w:eastAsia="zh-CN"/>
        </w:rPr>
        <w:t>1462.33</w:t>
      </w:r>
      <w:r>
        <w:rPr>
          <w:rFonts w:ascii="Times New Roman"/>
          <w:sz w:val="32"/>
          <w:szCs w:val="32"/>
        </w:rPr>
        <w:t>万元，社会保障和就业支出</w:t>
      </w:r>
      <w:r>
        <w:rPr>
          <w:rFonts w:hint="eastAsia" w:ascii="Times New Roman"/>
          <w:sz w:val="32"/>
          <w:szCs w:val="32"/>
          <w:lang w:val="en-US" w:eastAsia="zh-CN"/>
        </w:rPr>
        <w:t>241.14</w:t>
      </w:r>
      <w:r>
        <w:rPr>
          <w:rFonts w:ascii="Times New Roman"/>
          <w:sz w:val="32"/>
          <w:szCs w:val="32"/>
        </w:rPr>
        <w:t>万元，卫生健康支出</w:t>
      </w:r>
      <w:r>
        <w:rPr>
          <w:rFonts w:hint="eastAsia" w:ascii="Times New Roman"/>
          <w:sz w:val="32"/>
          <w:szCs w:val="32"/>
          <w:lang w:val="en-US" w:eastAsia="zh-CN"/>
        </w:rPr>
        <w:t>83.39</w:t>
      </w:r>
      <w:r>
        <w:rPr>
          <w:rFonts w:ascii="Times New Roman"/>
          <w:sz w:val="32"/>
          <w:szCs w:val="32"/>
        </w:rPr>
        <w:t>万元，住房保障支出</w:t>
      </w:r>
      <w:r>
        <w:rPr>
          <w:rFonts w:hint="eastAsia" w:ascii="Times New Roman"/>
          <w:sz w:val="32"/>
          <w:szCs w:val="32"/>
          <w:lang w:val="en-US" w:eastAsia="zh-CN"/>
        </w:rPr>
        <w:t>129.17</w:t>
      </w:r>
      <w:r>
        <w:rPr>
          <w:rFonts w:ascii="Times New Roman"/>
          <w:sz w:val="32"/>
          <w:szCs w:val="32"/>
        </w:rPr>
        <w:t>万元</w:t>
      </w:r>
      <w:r>
        <w:rPr>
          <w:rFonts w:hint="eastAsia" w:ascii="Times New Roman"/>
          <w:sz w:val="32"/>
          <w:szCs w:val="32"/>
          <w:lang w:eastAsia="zh-CN"/>
        </w:rPr>
        <w:t>）</w:t>
      </w:r>
      <w:r>
        <w:rPr>
          <w:rFonts w:ascii="Times New Roman"/>
          <w:sz w:val="32"/>
          <w:szCs w:val="32"/>
        </w:rPr>
        <w:t>；其他收入</w:t>
      </w:r>
      <w:r>
        <w:rPr>
          <w:rFonts w:hint="eastAsia" w:ascii="Times New Roman"/>
          <w:sz w:val="32"/>
          <w:szCs w:val="32"/>
          <w:lang w:val="en-US" w:eastAsia="zh-CN"/>
        </w:rPr>
        <w:t>250.04</w:t>
      </w:r>
      <w:r>
        <w:rPr>
          <w:rFonts w:ascii="Times New Roman"/>
          <w:sz w:val="32"/>
          <w:szCs w:val="32"/>
        </w:rPr>
        <w:t>万元（其他收入全部为县级财政保障的人员经费，主要</w:t>
      </w:r>
      <w:r>
        <w:rPr>
          <w:rFonts w:hint="eastAsia" w:ascii="Times New Roman"/>
          <w:sz w:val="32"/>
          <w:szCs w:val="32"/>
          <w:lang w:eastAsia="zh-CN"/>
        </w:rPr>
        <w:t>包括洪雅县人民法院</w:t>
      </w:r>
      <w:r>
        <w:rPr>
          <w:rFonts w:ascii="Times New Roman"/>
          <w:sz w:val="32"/>
          <w:szCs w:val="32"/>
        </w:rPr>
        <w:t>编外控制人员的工资及保险支出</w:t>
      </w:r>
      <w:r>
        <w:rPr>
          <w:rFonts w:hint="eastAsia" w:ascii="Times New Roman"/>
          <w:sz w:val="32"/>
          <w:szCs w:val="32"/>
          <w:lang w:val="en-US" w:eastAsia="zh-CN"/>
        </w:rPr>
        <w:t>22.11</w:t>
      </w:r>
      <w:r>
        <w:rPr>
          <w:rFonts w:ascii="Times New Roman"/>
          <w:sz w:val="32"/>
          <w:szCs w:val="32"/>
        </w:rPr>
        <w:t>万元、全院干警基础性绩效奖金支出</w:t>
      </w:r>
      <w:r>
        <w:rPr>
          <w:rFonts w:hint="eastAsia" w:ascii="Times New Roman"/>
          <w:sz w:val="32"/>
          <w:szCs w:val="32"/>
          <w:lang w:val="en-US" w:eastAsia="zh-CN"/>
        </w:rPr>
        <w:t>221.26</w:t>
      </w:r>
      <w:r>
        <w:rPr>
          <w:rFonts w:ascii="Times New Roman"/>
          <w:sz w:val="32"/>
          <w:szCs w:val="32"/>
        </w:rPr>
        <w:t>万元、退休人员公务员医疗补助支出</w:t>
      </w:r>
      <w:r>
        <w:rPr>
          <w:rFonts w:hint="eastAsia" w:ascii="Times New Roman"/>
          <w:sz w:val="32"/>
          <w:szCs w:val="32"/>
          <w:lang w:val="en-US" w:eastAsia="zh-CN"/>
        </w:rPr>
        <w:t>4.44</w:t>
      </w:r>
      <w:r>
        <w:rPr>
          <w:rFonts w:ascii="Times New Roman"/>
          <w:sz w:val="32"/>
          <w:szCs w:val="32"/>
        </w:rPr>
        <w:t>万元、退休人员</w:t>
      </w:r>
      <w:r>
        <w:rPr>
          <w:rFonts w:hint="eastAsia" w:ascii="Times New Roman"/>
          <w:sz w:val="32"/>
          <w:szCs w:val="32"/>
          <w:lang w:val="en-US" w:eastAsia="zh-CN"/>
        </w:rPr>
        <w:t>活动经费2.23万元</w:t>
      </w:r>
      <w:r>
        <w:rPr>
          <w:rFonts w:ascii="Times New Roman"/>
          <w:sz w:val="32"/>
          <w:szCs w:val="32"/>
        </w:rPr>
        <w:t>）。</w:t>
      </w:r>
    </w:p>
    <w:p>
      <w:pPr>
        <w:pStyle w:val="3"/>
        <w:adjustRightInd w:val="0"/>
        <w:snapToGrid w:val="0"/>
        <w:spacing w:beforeLines="0" w:line="580" w:lineRule="exact"/>
        <w:ind w:firstLine="672" w:firstLineChars="210"/>
        <w:rPr>
          <w:rFonts w:eastAsia="黑体"/>
          <w:color w:val="333333"/>
          <w:sz w:val="32"/>
          <w:szCs w:val="32"/>
        </w:rPr>
      </w:pPr>
      <w:r>
        <w:rPr>
          <w:rFonts w:eastAsia="黑体"/>
          <w:color w:val="333333"/>
          <w:sz w:val="32"/>
          <w:szCs w:val="32"/>
        </w:rPr>
        <w:t>五、一般公共预算当年拨款说明</w:t>
      </w:r>
    </w:p>
    <w:p>
      <w:pPr>
        <w:spacing w:line="580" w:lineRule="exact"/>
        <w:ind w:firstLine="640" w:firstLineChars="200"/>
        <w:rPr>
          <w:rFonts w:eastAsia="楷体_GB2312"/>
          <w:color w:val="333333"/>
          <w:sz w:val="32"/>
          <w:szCs w:val="32"/>
        </w:rPr>
      </w:pPr>
      <w:r>
        <w:rPr>
          <w:rFonts w:eastAsia="楷体_GB2312"/>
          <w:color w:val="333333"/>
          <w:sz w:val="32"/>
          <w:szCs w:val="32"/>
        </w:rPr>
        <w:t>（一）一般公共预算当年拨款规模变化情况</w:t>
      </w:r>
    </w:p>
    <w:p>
      <w:pPr>
        <w:pStyle w:val="3"/>
        <w:adjustRightInd w:val="0"/>
        <w:snapToGrid w:val="0"/>
        <w:spacing w:beforeLines="0" w:line="580" w:lineRule="exact"/>
        <w:ind w:firstLine="672" w:firstLineChars="210"/>
        <w:rPr>
          <w:rFonts w:hint="default" w:ascii="Times New Roman" w:eastAsia="仿宋_GB2312"/>
          <w:bCs w:val="0"/>
          <w:sz w:val="32"/>
          <w:szCs w:val="32"/>
          <w:lang w:val="en-US" w:eastAsia="zh-CN"/>
        </w:rPr>
      </w:pPr>
      <w:r>
        <w:rPr>
          <w:rFonts w:hint="default" w:ascii="Times New Roman" w:eastAsia="仿宋_GB2312"/>
          <w:sz w:val="32"/>
          <w:szCs w:val="32"/>
          <w:lang w:eastAsia="zh-CN"/>
        </w:rPr>
        <w:t>洪雅县人民法院2026</w:t>
      </w:r>
      <w:r>
        <w:rPr>
          <w:rFonts w:ascii="Times New Roman" w:eastAsia="仿宋_GB2312"/>
          <w:sz w:val="32"/>
          <w:szCs w:val="32"/>
        </w:rPr>
        <w:t>年一般公共预算拨款收入</w:t>
      </w:r>
      <w:r>
        <w:rPr>
          <w:rFonts w:hint="default" w:ascii="Times New Roman" w:eastAsia="仿宋_GB2312"/>
          <w:sz w:val="32"/>
          <w:szCs w:val="32"/>
          <w:lang w:val="en-US" w:eastAsia="zh-CN"/>
        </w:rPr>
        <w:t>1916.03</w:t>
      </w:r>
      <w:r>
        <w:rPr>
          <w:rFonts w:ascii="Times New Roman" w:eastAsia="仿宋_GB2312"/>
          <w:sz w:val="32"/>
          <w:szCs w:val="32"/>
        </w:rPr>
        <w:t>万元，</w:t>
      </w:r>
      <w:r>
        <w:rPr>
          <w:rFonts w:ascii="Times New Roman" w:eastAsia="仿宋_GB2312"/>
          <w:bCs w:val="0"/>
          <w:sz w:val="32"/>
          <w:szCs w:val="32"/>
        </w:rPr>
        <w:t>比202</w:t>
      </w:r>
      <w:r>
        <w:rPr>
          <w:rFonts w:hint="default" w:ascii="Times New Roman" w:eastAsia="仿宋_GB2312"/>
          <w:bCs w:val="0"/>
          <w:sz w:val="32"/>
          <w:szCs w:val="32"/>
          <w:lang w:val="en-US" w:eastAsia="zh-CN"/>
        </w:rPr>
        <w:t>5</w:t>
      </w:r>
      <w:r>
        <w:rPr>
          <w:rFonts w:ascii="Times New Roman" w:eastAsia="仿宋_GB2312"/>
          <w:bCs w:val="0"/>
          <w:sz w:val="32"/>
          <w:szCs w:val="32"/>
        </w:rPr>
        <w:t>年收支预算总数</w:t>
      </w:r>
      <w:r>
        <w:rPr>
          <w:rFonts w:hint="default" w:ascii="Times New Roman" w:eastAsia="仿宋_GB2312"/>
          <w:bCs w:val="0"/>
          <w:sz w:val="32"/>
          <w:szCs w:val="32"/>
          <w:lang w:eastAsia="zh-CN"/>
        </w:rPr>
        <w:t>增加</w:t>
      </w:r>
      <w:r>
        <w:rPr>
          <w:rFonts w:hint="eastAsia" w:ascii="Times New Roman"/>
          <w:bCs w:val="0"/>
          <w:sz w:val="32"/>
          <w:szCs w:val="32"/>
          <w:lang w:val="en-US" w:eastAsia="zh-CN"/>
        </w:rPr>
        <w:t>118.64</w:t>
      </w:r>
      <w:r>
        <w:rPr>
          <w:rFonts w:ascii="Times New Roman" w:eastAsia="仿宋_GB2312"/>
          <w:bCs w:val="0"/>
          <w:sz w:val="32"/>
          <w:szCs w:val="32"/>
        </w:rPr>
        <w:t>元，主要原因</w:t>
      </w:r>
      <w:r>
        <w:rPr>
          <w:rFonts w:hint="default" w:ascii="Times New Roman" w:eastAsia="仿宋_GB2312"/>
          <w:bCs w:val="0"/>
          <w:sz w:val="32"/>
          <w:szCs w:val="32"/>
          <w:lang w:val="en-US" w:eastAsia="zh-CN"/>
        </w:rPr>
        <w:t>为</w:t>
      </w:r>
      <w:r>
        <w:rPr>
          <w:rFonts w:hint="default" w:ascii="Times New Roman"/>
          <w:bCs w:val="0"/>
          <w:sz w:val="32"/>
          <w:szCs w:val="32"/>
          <w:lang w:val="en-US" w:eastAsia="zh-CN"/>
        </w:rPr>
        <w:t>人员经费预算增加，2026年</w:t>
      </w:r>
      <w:r>
        <w:rPr>
          <w:rFonts w:hint="eastAsia" w:ascii="Times New Roman"/>
          <w:bCs w:val="0"/>
          <w:sz w:val="32"/>
          <w:szCs w:val="32"/>
          <w:lang w:val="en-US" w:eastAsia="zh-CN"/>
        </w:rPr>
        <w:t>洪雅县人民法院</w:t>
      </w:r>
      <w:r>
        <w:rPr>
          <w:rFonts w:hint="default" w:ascii="Times New Roman" w:eastAsia="仿宋_GB2312"/>
          <w:bCs w:val="0"/>
          <w:sz w:val="32"/>
          <w:szCs w:val="32"/>
          <w:lang w:val="en-US" w:eastAsia="zh-CN"/>
        </w:rPr>
        <w:t>新进人员</w:t>
      </w:r>
      <w:r>
        <w:rPr>
          <w:rFonts w:hint="default" w:ascii="Times New Roman"/>
          <w:bCs w:val="0"/>
          <w:sz w:val="32"/>
          <w:szCs w:val="32"/>
          <w:lang w:val="en-US" w:eastAsia="zh-CN"/>
        </w:rPr>
        <w:t>3人，同时</w:t>
      </w:r>
      <w:r>
        <w:rPr>
          <w:rFonts w:hint="default" w:ascii="Times New Roman" w:eastAsia="仿宋_GB2312"/>
          <w:bCs w:val="0"/>
          <w:sz w:val="32"/>
          <w:szCs w:val="32"/>
          <w:lang w:val="en-US" w:eastAsia="zh-CN"/>
        </w:rPr>
        <w:t>人员工资</w:t>
      </w:r>
      <w:r>
        <w:rPr>
          <w:rFonts w:hint="default" w:ascii="Times New Roman"/>
          <w:bCs w:val="0"/>
          <w:sz w:val="32"/>
          <w:szCs w:val="32"/>
          <w:lang w:val="en-US" w:eastAsia="zh-CN"/>
        </w:rPr>
        <w:t>普调，</w:t>
      </w:r>
      <w:r>
        <w:rPr>
          <w:rFonts w:hint="default" w:ascii="Times New Roman" w:eastAsia="仿宋_GB2312"/>
          <w:bCs w:val="0"/>
          <w:sz w:val="32"/>
          <w:szCs w:val="32"/>
          <w:lang w:val="en-US" w:eastAsia="zh-CN"/>
        </w:rPr>
        <w:t>社保</w:t>
      </w:r>
      <w:r>
        <w:rPr>
          <w:rFonts w:hint="default" w:ascii="Times New Roman"/>
          <w:bCs w:val="0"/>
          <w:sz w:val="32"/>
          <w:szCs w:val="32"/>
          <w:lang w:val="en-US" w:eastAsia="zh-CN"/>
        </w:rPr>
        <w:t>等</w:t>
      </w:r>
      <w:r>
        <w:rPr>
          <w:rFonts w:hint="default" w:ascii="Times New Roman" w:eastAsia="仿宋_GB2312"/>
          <w:bCs w:val="0"/>
          <w:sz w:val="32"/>
          <w:szCs w:val="32"/>
          <w:lang w:val="en-US" w:eastAsia="zh-CN"/>
        </w:rPr>
        <w:t>缴费基数的调增</w:t>
      </w:r>
      <w:r>
        <w:rPr>
          <w:rFonts w:hint="default" w:ascii="Times New Roman"/>
          <w:bCs w:val="0"/>
          <w:sz w:val="32"/>
          <w:szCs w:val="32"/>
          <w:lang w:val="en-US" w:eastAsia="zh-CN"/>
        </w:rPr>
        <w:t>导致</w:t>
      </w:r>
      <w:r>
        <w:rPr>
          <w:rFonts w:hint="eastAsia" w:ascii="Times New Roman"/>
          <w:bCs w:val="0"/>
          <w:sz w:val="32"/>
          <w:szCs w:val="32"/>
          <w:lang w:val="en-US" w:eastAsia="zh-CN"/>
        </w:rPr>
        <w:t>洪雅县人民法院</w:t>
      </w:r>
      <w:r>
        <w:rPr>
          <w:rFonts w:hint="default" w:ascii="Times New Roman"/>
          <w:bCs w:val="0"/>
          <w:sz w:val="32"/>
          <w:szCs w:val="32"/>
          <w:lang w:val="en-US" w:eastAsia="zh-CN"/>
        </w:rPr>
        <w:t>人员经费较上年增加</w:t>
      </w:r>
      <w:r>
        <w:rPr>
          <w:rFonts w:hint="default" w:ascii="Times New Roman" w:eastAsia="仿宋_GB2312"/>
          <w:bCs w:val="0"/>
          <w:sz w:val="32"/>
          <w:szCs w:val="32"/>
          <w:lang w:val="en-US" w:eastAsia="zh-CN"/>
        </w:rPr>
        <w:t>。</w:t>
      </w:r>
    </w:p>
    <w:p>
      <w:pPr>
        <w:spacing w:line="580" w:lineRule="exact"/>
        <w:ind w:firstLine="640" w:firstLineChars="200"/>
        <w:rPr>
          <w:rFonts w:eastAsia="楷体_GB2312"/>
          <w:color w:val="333333"/>
          <w:sz w:val="32"/>
          <w:szCs w:val="32"/>
        </w:rPr>
      </w:pPr>
      <w:r>
        <w:rPr>
          <w:rFonts w:eastAsia="楷体_GB2312"/>
          <w:color w:val="333333"/>
          <w:sz w:val="32"/>
          <w:szCs w:val="32"/>
        </w:rPr>
        <w:t>（二）一般公共预算当年支出情况</w:t>
      </w:r>
    </w:p>
    <w:p>
      <w:pPr>
        <w:spacing w:line="580" w:lineRule="exact"/>
        <w:ind w:firstLine="960" w:firstLineChars="300"/>
        <w:rPr>
          <w:rFonts w:eastAsia="仿宋_GB2312"/>
          <w:color w:val="333333"/>
          <w:sz w:val="32"/>
          <w:szCs w:val="32"/>
        </w:rPr>
      </w:pPr>
      <w:r>
        <w:rPr>
          <w:rFonts w:hint="eastAsia" w:eastAsia="仿宋_GB2312"/>
          <w:color w:val="333333"/>
          <w:sz w:val="32"/>
          <w:szCs w:val="32"/>
          <w:lang w:eastAsia="zh-CN"/>
        </w:rPr>
        <w:t>洪雅县人民法院2026</w:t>
      </w:r>
      <w:r>
        <w:rPr>
          <w:rFonts w:eastAsia="仿宋_GB2312"/>
          <w:color w:val="333333"/>
          <w:sz w:val="32"/>
          <w:szCs w:val="32"/>
        </w:rPr>
        <w:t>年一般公共预算当年支出</w:t>
      </w:r>
      <w:r>
        <w:rPr>
          <w:rFonts w:hint="eastAsia" w:eastAsia="仿宋_GB2312"/>
          <w:color w:val="333333"/>
          <w:sz w:val="32"/>
          <w:szCs w:val="32"/>
          <w:lang w:val="en-US" w:eastAsia="zh-CN"/>
        </w:rPr>
        <w:t>1916.03万元，其中，公共安全</w:t>
      </w:r>
      <w:r>
        <w:rPr>
          <w:rFonts w:eastAsia="仿宋_GB2312"/>
          <w:color w:val="333333"/>
          <w:sz w:val="32"/>
          <w:szCs w:val="32"/>
        </w:rPr>
        <w:t>支出</w:t>
      </w:r>
      <w:r>
        <w:rPr>
          <w:rFonts w:hint="eastAsia" w:eastAsia="仿宋_GB2312"/>
          <w:color w:val="333333"/>
          <w:sz w:val="32"/>
          <w:szCs w:val="32"/>
          <w:lang w:val="en-US" w:eastAsia="zh-CN"/>
        </w:rPr>
        <w:t>1462.33</w:t>
      </w:r>
      <w:r>
        <w:rPr>
          <w:rFonts w:eastAsia="仿宋_GB2312"/>
          <w:color w:val="333333"/>
          <w:sz w:val="32"/>
          <w:szCs w:val="32"/>
        </w:rPr>
        <w:t>万元，占</w:t>
      </w:r>
      <w:r>
        <w:rPr>
          <w:rFonts w:hint="eastAsia" w:eastAsia="仿宋_GB2312"/>
          <w:color w:val="333333"/>
          <w:sz w:val="32"/>
          <w:szCs w:val="32"/>
          <w:lang w:val="en-US" w:eastAsia="zh-CN"/>
        </w:rPr>
        <w:t>76.32</w:t>
      </w:r>
      <w:r>
        <w:rPr>
          <w:rFonts w:eastAsia="仿宋_GB2312"/>
          <w:color w:val="333333"/>
          <w:sz w:val="32"/>
          <w:szCs w:val="32"/>
        </w:rPr>
        <w:t>%；社会保险和就业支出</w:t>
      </w:r>
      <w:r>
        <w:rPr>
          <w:rFonts w:hint="eastAsia" w:eastAsia="仿宋_GB2312"/>
          <w:color w:val="333333"/>
          <w:sz w:val="32"/>
          <w:szCs w:val="32"/>
          <w:lang w:val="en-US" w:eastAsia="zh-CN"/>
        </w:rPr>
        <w:t>241.14</w:t>
      </w:r>
      <w:r>
        <w:rPr>
          <w:rFonts w:eastAsia="仿宋_GB2312"/>
          <w:color w:val="333333"/>
          <w:sz w:val="32"/>
          <w:szCs w:val="32"/>
        </w:rPr>
        <w:t>万元，占</w:t>
      </w:r>
      <w:r>
        <w:rPr>
          <w:rFonts w:hint="eastAsia" w:eastAsia="仿宋_GB2312"/>
          <w:color w:val="333333"/>
          <w:sz w:val="32"/>
          <w:szCs w:val="32"/>
          <w:lang w:val="en-US" w:eastAsia="zh-CN"/>
        </w:rPr>
        <w:t>12.59</w:t>
      </w:r>
      <w:r>
        <w:rPr>
          <w:rFonts w:eastAsia="仿宋_GB2312"/>
          <w:color w:val="333333"/>
          <w:sz w:val="32"/>
          <w:szCs w:val="32"/>
        </w:rPr>
        <w:t>%；社会保险基金支出</w:t>
      </w:r>
      <w:r>
        <w:rPr>
          <w:rFonts w:hint="eastAsia" w:eastAsia="仿宋_GB2312"/>
          <w:color w:val="333333"/>
          <w:sz w:val="32"/>
          <w:szCs w:val="32"/>
          <w:lang w:val="en-US" w:eastAsia="zh-CN"/>
        </w:rPr>
        <w:t>0</w:t>
      </w:r>
      <w:r>
        <w:rPr>
          <w:rFonts w:eastAsia="仿宋_GB2312"/>
          <w:color w:val="333333"/>
          <w:sz w:val="32"/>
          <w:szCs w:val="32"/>
        </w:rPr>
        <w:t>万元，占</w:t>
      </w:r>
      <w:r>
        <w:rPr>
          <w:rFonts w:hint="eastAsia" w:eastAsia="仿宋_GB2312"/>
          <w:color w:val="333333"/>
          <w:sz w:val="32"/>
          <w:szCs w:val="32"/>
          <w:lang w:val="en-US" w:eastAsia="zh-CN"/>
        </w:rPr>
        <w:t>0</w:t>
      </w:r>
      <w:r>
        <w:rPr>
          <w:rFonts w:eastAsia="仿宋_GB2312"/>
          <w:color w:val="333333"/>
          <w:sz w:val="32"/>
          <w:szCs w:val="32"/>
        </w:rPr>
        <w:t>%；卫生健康支出</w:t>
      </w:r>
      <w:r>
        <w:rPr>
          <w:rFonts w:hint="eastAsia" w:eastAsia="仿宋_GB2312"/>
          <w:color w:val="333333"/>
          <w:sz w:val="32"/>
          <w:szCs w:val="32"/>
          <w:lang w:val="en-US" w:eastAsia="zh-CN"/>
        </w:rPr>
        <w:t>83.39</w:t>
      </w:r>
      <w:r>
        <w:rPr>
          <w:rFonts w:eastAsia="仿宋_GB2312"/>
          <w:color w:val="333333"/>
          <w:sz w:val="32"/>
          <w:szCs w:val="32"/>
        </w:rPr>
        <w:t>万元，占</w:t>
      </w:r>
      <w:r>
        <w:rPr>
          <w:rFonts w:hint="eastAsia" w:eastAsia="仿宋_GB2312"/>
          <w:color w:val="333333"/>
          <w:sz w:val="32"/>
          <w:szCs w:val="32"/>
          <w:lang w:val="en-US" w:eastAsia="zh-CN"/>
        </w:rPr>
        <w:t>4.35</w:t>
      </w:r>
      <w:r>
        <w:rPr>
          <w:rFonts w:eastAsia="仿宋_GB2312"/>
          <w:color w:val="333333"/>
          <w:sz w:val="32"/>
          <w:szCs w:val="32"/>
        </w:rPr>
        <w:t>%；住房保障支出</w:t>
      </w:r>
      <w:r>
        <w:rPr>
          <w:rFonts w:hint="eastAsia" w:eastAsia="仿宋_GB2312"/>
          <w:color w:val="333333"/>
          <w:sz w:val="32"/>
          <w:szCs w:val="32"/>
          <w:lang w:val="en-US" w:eastAsia="zh-CN"/>
        </w:rPr>
        <w:t>129.17</w:t>
      </w:r>
      <w:r>
        <w:rPr>
          <w:rFonts w:eastAsia="仿宋_GB2312"/>
          <w:color w:val="333333"/>
          <w:sz w:val="32"/>
          <w:szCs w:val="32"/>
        </w:rPr>
        <w:t>万元，占</w:t>
      </w:r>
      <w:r>
        <w:rPr>
          <w:rFonts w:hint="eastAsia" w:eastAsia="仿宋_GB2312"/>
          <w:color w:val="333333"/>
          <w:sz w:val="32"/>
          <w:szCs w:val="32"/>
          <w:lang w:val="en-US" w:eastAsia="zh-CN"/>
        </w:rPr>
        <w:t>6.74</w:t>
      </w:r>
      <w:r>
        <w:rPr>
          <w:rFonts w:eastAsia="仿宋_GB2312"/>
          <w:color w:val="333333"/>
          <w:sz w:val="32"/>
          <w:szCs w:val="32"/>
        </w:rPr>
        <w:t>%。</w:t>
      </w:r>
    </w:p>
    <w:p>
      <w:pPr>
        <w:spacing w:line="580" w:lineRule="exact"/>
        <w:ind w:firstLine="640" w:firstLineChars="200"/>
        <w:rPr>
          <w:rFonts w:eastAsia="仿宋_GB2312"/>
          <w:color w:val="333333"/>
          <w:sz w:val="32"/>
          <w:szCs w:val="32"/>
        </w:rPr>
      </w:pPr>
      <w:r>
        <w:rPr>
          <w:rFonts w:eastAsia="仿宋_GB2312"/>
          <w:color w:val="333333"/>
          <w:sz w:val="32"/>
          <w:szCs w:val="32"/>
        </w:rPr>
        <w:t>具体情况为：</w:t>
      </w:r>
    </w:p>
    <w:p>
      <w:pPr>
        <w:spacing w:line="580" w:lineRule="exact"/>
        <w:ind w:firstLine="640" w:firstLineChars="200"/>
        <w:rPr>
          <w:rFonts w:eastAsia="仿宋_GB2312"/>
          <w:color w:val="333333"/>
          <w:sz w:val="32"/>
          <w:szCs w:val="32"/>
        </w:rPr>
      </w:pPr>
      <w:r>
        <w:rPr>
          <w:rFonts w:eastAsia="仿宋_GB2312"/>
          <w:color w:val="333333"/>
          <w:sz w:val="32"/>
          <w:szCs w:val="32"/>
        </w:rPr>
        <w:t>1</w:t>
      </w:r>
      <w:r>
        <w:rPr>
          <w:rFonts w:hint="eastAsia" w:eastAsia="仿宋_GB2312"/>
          <w:color w:val="333333"/>
          <w:sz w:val="32"/>
          <w:szCs w:val="32"/>
          <w:lang w:eastAsia="zh-CN"/>
        </w:rPr>
        <w:t>.</w:t>
      </w:r>
      <w:r>
        <w:rPr>
          <w:rFonts w:eastAsia="仿宋_GB2312"/>
          <w:color w:val="333333"/>
          <w:sz w:val="32"/>
          <w:szCs w:val="32"/>
        </w:rPr>
        <w:t>204（类）05（款）01（项）：</w:t>
      </w:r>
      <w:r>
        <w:rPr>
          <w:rFonts w:hint="eastAsia" w:eastAsia="仿宋_GB2312"/>
          <w:color w:val="333333"/>
          <w:sz w:val="32"/>
          <w:szCs w:val="32"/>
          <w:lang w:eastAsia="zh-CN"/>
        </w:rPr>
        <w:t>2026</w:t>
      </w:r>
      <w:r>
        <w:rPr>
          <w:rFonts w:eastAsia="仿宋_GB2312"/>
          <w:color w:val="333333"/>
          <w:sz w:val="32"/>
          <w:szCs w:val="32"/>
        </w:rPr>
        <w:t>年预算数为</w:t>
      </w:r>
      <w:r>
        <w:rPr>
          <w:rFonts w:hint="eastAsia" w:eastAsia="仿宋_GB2312"/>
          <w:color w:val="333333"/>
          <w:sz w:val="32"/>
          <w:szCs w:val="32"/>
          <w:lang w:val="en-US" w:eastAsia="zh-CN"/>
        </w:rPr>
        <w:t>1040.52</w:t>
      </w:r>
      <w:r>
        <w:rPr>
          <w:rFonts w:eastAsia="仿宋_GB2312"/>
          <w:color w:val="333333"/>
          <w:sz w:val="32"/>
          <w:szCs w:val="32"/>
        </w:rPr>
        <w:t>万元，此项目为</w:t>
      </w:r>
      <w:r>
        <w:rPr>
          <w:rFonts w:hint="eastAsia" w:eastAsia="仿宋_GB2312"/>
          <w:color w:val="333333"/>
          <w:sz w:val="32"/>
          <w:szCs w:val="32"/>
          <w:lang w:eastAsia="zh-CN"/>
        </w:rPr>
        <w:t>洪雅县人民法院</w:t>
      </w:r>
      <w:r>
        <w:rPr>
          <w:rFonts w:eastAsia="仿宋_GB2312"/>
          <w:color w:val="333333"/>
          <w:sz w:val="32"/>
          <w:szCs w:val="32"/>
        </w:rPr>
        <w:t>基本支出，主要用于保障行政机关、下属事业单位等机构正常运转的日常支出，包括基本工资、津贴补贴等人员经费以及办公费、印刷费、水电费、伙食补助、办公设备购置等日常公用经费。</w:t>
      </w:r>
    </w:p>
    <w:p>
      <w:pPr>
        <w:spacing w:line="580" w:lineRule="exact"/>
        <w:ind w:firstLine="640" w:firstLineChars="200"/>
        <w:rPr>
          <w:rFonts w:eastAsia="仿宋_GB2312"/>
          <w:color w:val="333333"/>
          <w:sz w:val="32"/>
          <w:szCs w:val="32"/>
        </w:rPr>
      </w:pPr>
      <w:r>
        <w:rPr>
          <w:rFonts w:eastAsia="仿宋_GB2312"/>
          <w:color w:val="333333"/>
          <w:sz w:val="32"/>
          <w:szCs w:val="32"/>
        </w:rPr>
        <w:t>2</w:t>
      </w:r>
      <w:r>
        <w:rPr>
          <w:rFonts w:hint="eastAsia" w:eastAsia="仿宋_GB2312"/>
          <w:color w:val="333333"/>
          <w:sz w:val="32"/>
          <w:szCs w:val="32"/>
          <w:lang w:eastAsia="zh-CN"/>
        </w:rPr>
        <w:t>.</w:t>
      </w:r>
      <w:r>
        <w:rPr>
          <w:rFonts w:eastAsia="仿宋_GB2312"/>
          <w:color w:val="333333"/>
          <w:sz w:val="32"/>
          <w:szCs w:val="32"/>
        </w:rPr>
        <w:t>204（类）05（款）02（项）：202</w:t>
      </w:r>
      <w:r>
        <w:rPr>
          <w:rFonts w:hint="eastAsia" w:eastAsia="仿宋_GB2312"/>
          <w:color w:val="333333"/>
          <w:sz w:val="32"/>
          <w:szCs w:val="32"/>
          <w:lang w:val="en-US" w:eastAsia="zh-CN"/>
        </w:rPr>
        <w:t>6</w:t>
      </w:r>
      <w:r>
        <w:rPr>
          <w:rFonts w:eastAsia="仿宋_GB2312"/>
          <w:color w:val="333333"/>
          <w:sz w:val="32"/>
          <w:szCs w:val="32"/>
        </w:rPr>
        <w:t>年预算数为</w:t>
      </w:r>
      <w:r>
        <w:rPr>
          <w:rFonts w:hint="eastAsia" w:eastAsia="仿宋_GB2312"/>
          <w:color w:val="333333"/>
          <w:sz w:val="32"/>
          <w:szCs w:val="32"/>
          <w:lang w:val="en-US" w:eastAsia="zh-CN"/>
        </w:rPr>
        <w:t>402</w:t>
      </w:r>
      <w:r>
        <w:rPr>
          <w:rFonts w:eastAsia="仿宋_GB2312"/>
          <w:color w:val="333333"/>
          <w:sz w:val="32"/>
          <w:szCs w:val="32"/>
        </w:rPr>
        <w:t>万元，此款项为</w:t>
      </w:r>
      <w:r>
        <w:rPr>
          <w:rFonts w:hint="eastAsia" w:eastAsia="仿宋_GB2312"/>
          <w:color w:val="333333"/>
          <w:sz w:val="32"/>
          <w:szCs w:val="32"/>
          <w:lang w:eastAsia="zh-CN"/>
        </w:rPr>
        <w:t>洪雅县人民法院</w:t>
      </w:r>
      <w:r>
        <w:rPr>
          <w:rFonts w:eastAsia="仿宋_GB2312"/>
          <w:color w:val="333333"/>
          <w:sz w:val="32"/>
          <w:szCs w:val="32"/>
        </w:rPr>
        <w:t>项目支出，主要用于保障行政机关、下属事业单位等机构为完成特定的行政工作任务或事业发展目标，用于特殊运转类项目支出，其中，</w:t>
      </w:r>
      <w:r>
        <w:rPr>
          <w:rFonts w:hint="eastAsia" w:eastAsia="仿宋_GB2312"/>
          <w:color w:val="333333"/>
          <w:sz w:val="32"/>
          <w:szCs w:val="32"/>
          <w:lang w:eastAsia="zh-CN"/>
        </w:rPr>
        <w:t>审判执行业务及辅助经费支出</w:t>
      </w:r>
      <w:r>
        <w:rPr>
          <w:rFonts w:hint="eastAsia" w:eastAsia="仿宋_GB2312"/>
          <w:color w:val="333333"/>
          <w:sz w:val="32"/>
          <w:szCs w:val="32"/>
          <w:lang w:val="en-US" w:eastAsia="zh-CN"/>
        </w:rPr>
        <w:t>348</w:t>
      </w:r>
      <w:r>
        <w:rPr>
          <w:rFonts w:eastAsia="仿宋_GB2312"/>
          <w:color w:val="333333"/>
          <w:sz w:val="32"/>
          <w:szCs w:val="32"/>
        </w:rPr>
        <w:t>万元</w:t>
      </w:r>
      <w:r>
        <w:rPr>
          <w:rFonts w:hint="eastAsia" w:eastAsia="仿宋_GB2312"/>
          <w:color w:val="333333"/>
          <w:sz w:val="32"/>
          <w:szCs w:val="32"/>
          <w:lang w:eastAsia="zh-CN"/>
        </w:rPr>
        <w:t>，后勤物管服务专项经费支出</w:t>
      </w:r>
      <w:r>
        <w:rPr>
          <w:rFonts w:hint="eastAsia" w:eastAsia="仿宋_GB2312"/>
          <w:color w:val="333333"/>
          <w:sz w:val="32"/>
          <w:szCs w:val="32"/>
          <w:lang w:val="en-US" w:eastAsia="zh-CN"/>
        </w:rPr>
        <w:t>54万元</w:t>
      </w:r>
      <w:r>
        <w:rPr>
          <w:rFonts w:eastAsia="仿宋_GB2312"/>
          <w:color w:val="333333"/>
          <w:sz w:val="32"/>
          <w:szCs w:val="32"/>
        </w:rPr>
        <w:t>。</w:t>
      </w:r>
    </w:p>
    <w:p>
      <w:pPr>
        <w:spacing w:line="580" w:lineRule="exact"/>
        <w:ind w:firstLine="640" w:firstLineChars="200"/>
        <w:rPr>
          <w:rFonts w:eastAsia="仿宋_GB2312"/>
          <w:color w:val="333333"/>
          <w:sz w:val="32"/>
          <w:szCs w:val="32"/>
        </w:rPr>
      </w:pPr>
      <w:r>
        <w:rPr>
          <w:rFonts w:hint="eastAsia" w:eastAsia="仿宋_GB2312"/>
          <w:color w:val="333333"/>
          <w:sz w:val="32"/>
          <w:szCs w:val="32"/>
          <w:lang w:val="en-US" w:eastAsia="zh-CN"/>
        </w:rPr>
        <w:t>3.</w:t>
      </w:r>
      <w:r>
        <w:rPr>
          <w:rFonts w:eastAsia="仿宋_GB2312"/>
          <w:color w:val="333333"/>
          <w:sz w:val="32"/>
          <w:szCs w:val="32"/>
        </w:rPr>
        <w:t>208（类）05（款）05（项）：202</w:t>
      </w:r>
      <w:r>
        <w:rPr>
          <w:rFonts w:hint="eastAsia" w:eastAsia="仿宋_GB2312"/>
          <w:color w:val="333333"/>
          <w:sz w:val="32"/>
          <w:szCs w:val="32"/>
          <w:lang w:val="en-US" w:eastAsia="zh-CN"/>
        </w:rPr>
        <w:t>6</w:t>
      </w:r>
      <w:r>
        <w:rPr>
          <w:rFonts w:eastAsia="仿宋_GB2312"/>
          <w:color w:val="333333"/>
          <w:sz w:val="32"/>
          <w:szCs w:val="32"/>
        </w:rPr>
        <w:t>年预算数为</w:t>
      </w:r>
      <w:r>
        <w:rPr>
          <w:rFonts w:hint="eastAsia" w:eastAsia="仿宋_GB2312"/>
          <w:color w:val="333333"/>
          <w:sz w:val="32"/>
          <w:szCs w:val="32"/>
          <w:lang w:val="en-US" w:eastAsia="zh-CN"/>
        </w:rPr>
        <w:t>160.76</w:t>
      </w:r>
      <w:r>
        <w:rPr>
          <w:rFonts w:eastAsia="仿宋_GB2312"/>
          <w:color w:val="333333"/>
          <w:sz w:val="32"/>
          <w:szCs w:val="32"/>
        </w:rPr>
        <w:t>万元，此项经费为主要用于实施养老保险制度后，部门按规定由单位缴纳的基本养老保险支出。</w:t>
      </w:r>
    </w:p>
    <w:p>
      <w:pPr>
        <w:spacing w:line="580" w:lineRule="exact"/>
        <w:ind w:firstLine="640" w:firstLineChars="200"/>
        <w:rPr>
          <w:rFonts w:eastAsia="仿宋_GB2312"/>
          <w:color w:val="333333"/>
          <w:sz w:val="32"/>
          <w:szCs w:val="32"/>
        </w:rPr>
      </w:pPr>
      <w:r>
        <w:rPr>
          <w:rFonts w:hint="eastAsia" w:eastAsia="仿宋_GB2312"/>
          <w:color w:val="333333"/>
          <w:sz w:val="32"/>
          <w:szCs w:val="32"/>
          <w:lang w:val="en-US" w:eastAsia="zh-CN"/>
        </w:rPr>
        <w:t>4.</w:t>
      </w:r>
      <w:r>
        <w:rPr>
          <w:rFonts w:eastAsia="仿宋_GB2312"/>
          <w:color w:val="333333"/>
          <w:sz w:val="32"/>
          <w:szCs w:val="32"/>
        </w:rPr>
        <w:t>208（类）05（款）06（项）：202</w:t>
      </w:r>
      <w:r>
        <w:rPr>
          <w:rFonts w:hint="eastAsia" w:eastAsia="仿宋_GB2312"/>
          <w:color w:val="333333"/>
          <w:sz w:val="32"/>
          <w:szCs w:val="32"/>
          <w:lang w:val="en-US" w:eastAsia="zh-CN"/>
        </w:rPr>
        <w:t>6</w:t>
      </w:r>
      <w:r>
        <w:rPr>
          <w:rFonts w:eastAsia="仿宋_GB2312"/>
          <w:color w:val="333333"/>
          <w:sz w:val="32"/>
          <w:szCs w:val="32"/>
        </w:rPr>
        <w:t>年预算数为</w:t>
      </w:r>
      <w:r>
        <w:rPr>
          <w:rFonts w:hint="eastAsia" w:eastAsia="仿宋_GB2312"/>
          <w:color w:val="333333"/>
          <w:sz w:val="32"/>
          <w:szCs w:val="32"/>
          <w:lang w:val="en-US" w:eastAsia="zh-CN"/>
        </w:rPr>
        <w:t>80.38</w:t>
      </w:r>
      <w:r>
        <w:rPr>
          <w:rFonts w:eastAsia="仿宋_GB2312"/>
          <w:color w:val="333333"/>
          <w:sz w:val="32"/>
          <w:szCs w:val="32"/>
        </w:rPr>
        <w:t>万元，此项目为</w:t>
      </w:r>
      <w:r>
        <w:rPr>
          <w:rFonts w:hint="eastAsia" w:eastAsia="仿宋_GB2312"/>
          <w:color w:val="333333"/>
          <w:sz w:val="32"/>
          <w:szCs w:val="32"/>
          <w:lang w:eastAsia="zh-CN"/>
        </w:rPr>
        <w:t>洪雅县人民法院</w:t>
      </w:r>
      <w:r>
        <w:rPr>
          <w:rFonts w:eastAsia="仿宋_GB2312"/>
          <w:color w:val="333333"/>
          <w:sz w:val="32"/>
          <w:szCs w:val="32"/>
        </w:rPr>
        <w:t>基本支出，主要用于实施养老保险制度后，部门按规定由单位缴纳的职业年金。</w:t>
      </w:r>
    </w:p>
    <w:p>
      <w:pPr>
        <w:spacing w:line="580" w:lineRule="exact"/>
        <w:ind w:firstLine="640" w:firstLineChars="200"/>
        <w:rPr>
          <w:rFonts w:hint="eastAsia" w:eastAsia="仿宋_GB2312"/>
          <w:color w:val="333333"/>
          <w:sz w:val="32"/>
          <w:szCs w:val="32"/>
          <w:lang w:eastAsia="zh-CN"/>
        </w:rPr>
      </w:pPr>
      <w:r>
        <w:rPr>
          <w:rFonts w:hint="eastAsia" w:eastAsia="仿宋_GB2312"/>
          <w:color w:val="333333"/>
          <w:sz w:val="32"/>
          <w:szCs w:val="32"/>
          <w:lang w:val="en-US" w:eastAsia="zh-CN"/>
        </w:rPr>
        <w:t>5.</w:t>
      </w:r>
      <w:r>
        <w:rPr>
          <w:rFonts w:eastAsia="仿宋_GB2312"/>
          <w:color w:val="333333"/>
          <w:sz w:val="32"/>
          <w:szCs w:val="32"/>
        </w:rPr>
        <w:t>20</w:t>
      </w:r>
      <w:r>
        <w:rPr>
          <w:rFonts w:hint="eastAsia" w:eastAsia="仿宋_GB2312"/>
          <w:color w:val="333333"/>
          <w:sz w:val="32"/>
          <w:szCs w:val="32"/>
          <w:lang w:val="en-US" w:eastAsia="zh-CN"/>
        </w:rPr>
        <w:t>4</w:t>
      </w:r>
      <w:r>
        <w:rPr>
          <w:rFonts w:eastAsia="仿宋_GB2312"/>
          <w:color w:val="333333"/>
          <w:sz w:val="32"/>
          <w:szCs w:val="32"/>
        </w:rPr>
        <w:t>（类）</w:t>
      </w:r>
      <w:r>
        <w:rPr>
          <w:rFonts w:hint="eastAsia" w:eastAsia="仿宋_GB2312"/>
          <w:color w:val="333333"/>
          <w:sz w:val="32"/>
          <w:szCs w:val="32"/>
          <w:lang w:val="en-US" w:eastAsia="zh-CN"/>
        </w:rPr>
        <w:t>05</w:t>
      </w:r>
      <w:r>
        <w:rPr>
          <w:rFonts w:eastAsia="仿宋_GB2312"/>
          <w:color w:val="333333"/>
          <w:sz w:val="32"/>
          <w:szCs w:val="32"/>
        </w:rPr>
        <w:t>（款）</w:t>
      </w:r>
      <w:r>
        <w:rPr>
          <w:rFonts w:hint="eastAsia" w:eastAsia="仿宋_GB2312"/>
          <w:color w:val="333333"/>
          <w:sz w:val="32"/>
          <w:szCs w:val="32"/>
          <w:lang w:val="en-US" w:eastAsia="zh-CN"/>
        </w:rPr>
        <w:t>50</w:t>
      </w:r>
      <w:r>
        <w:rPr>
          <w:rFonts w:eastAsia="仿宋_GB2312"/>
          <w:color w:val="333333"/>
          <w:sz w:val="32"/>
          <w:szCs w:val="32"/>
        </w:rPr>
        <w:t>（项）：202</w:t>
      </w:r>
      <w:r>
        <w:rPr>
          <w:rFonts w:hint="eastAsia" w:eastAsia="仿宋_GB2312"/>
          <w:color w:val="333333"/>
          <w:sz w:val="32"/>
          <w:szCs w:val="32"/>
          <w:lang w:val="en-US" w:eastAsia="zh-CN"/>
        </w:rPr>
        <w:t>6</w:t>
      </w:r>
      <w:r>
        <w:rPr>
          <w:rFonts w:eastAsia="仿宋_GB2312"/>
          <w:color w:val="333333"/>
          <w:sz w:val="32"/>
          <w:szCs w:val="32"/>
        </w:rPr>
        <w:t>年预算数为</w:t>
      </w:r>
      <w:r>
        <w:rPr>
          <w:rFonts w:hint="eastAsia" w:eastAsia="仿宋_GB2312"/>
          <w:color w:val="333333"/>
          <w:sz w:val="32"/>
          <w:szCs w:val="32"/>
          <w:lang w:val="en-US" w:eastAsia="zh-CN"/>
        </w:rPr>
        <w:t>19.81</w:t>
      </w:r>
      <w:r>
        <w:rPr>
          <w:rFonts w:eastAsia="仿宋_GB2312"/>
          <w:color w:val="333333"/>
          <w:sz w:val="32"/>
          <w:szCs w:val="32"/>
        </w:rPr>
        <w:t>万元，此项目为</w:t>
      </w:r>
      <w:r>
        <w:rPr>
          <w:rFonts w:hint="eastAsia" w:eastAsia="仿宋_GB2312"/>
          <w:color w:val="333333"/>
          <w:sz w:val="32"/>
          <w:szCs w:val="32"/>
          <w:lang w:eastAsia="zh-CN"/>
        </w:rPr>
        <w:t>洪雅县人民法院</w:t>
      </w:r>
      <w:r>
        <w:rPr>
          <w:rFonts w:eastAsia="仿宋_GB2312"/>
          <w:color w:val="333333"/>
          <w:sz w:val="32"/>
          <w:szCs w:val="32"/>
        </w:rPr>
        <w:t>基本支出，主要用于</w:t>
      </w:r>
      <w:r>
        <w:rPr>
          <w:rFonts w:hint="eastAsia" w:eastAsia="仿宋_GB2312"/>
          <w:color w:val="333333"/>
          <w:sz w:val="32"/>
          <w:szCs w:val="32"/>
          <w:lang w:eastAsia="zh-CN"/>
        </w:rPr>
        <w:t>洪雅县人民法院事业运行支出。</w:t>
      </w:r>
    </w:p>
    <w:p>
      <w:pPr>
        <w:spacing w:line="580" w:lineRule="exact"/>
        <w:ind w:firstLine="0" w:firstLineChars="0"/>
        <w:rPr>
          <w:rFonts w:hint="eastAsia" w:eastAsia="仿宋_GB2312"/>
          <w:color w:val="333333"/>
          <w:sz w:val="32"/>
          <w:szCs w:val="32"/>
        </w:rPr>
      </w:pPr>
      <w:r>
        <w:rPr>
          <w:rFonts w:hint="eastAsia" w:eastAsia="仿宋_GB2312"/>
          <w:color w:val="333333"/>
          <w:sz w:val="32"/>
          <w:szCs w:val="32"/>
          <w:lang w:val="en-US" w:eastAsia="zh-CN"/>
        </w:rPr>
        <w:t xml:space="preserve">    6.</w:t>
      </w:r>
      <w:r>
        <w:rPr>
          <w:rFonts w:hint="eastAsia" w:eastAsia="仿宋_GB2312"/>
          <w:color w:val="333333"/>
          <w:sz w:val="32"/>
          <w:szCs w:val="32"/>
        </w:rPr>
        <w:t>210（类）11（款）01（项）：202</w:t>
      </w:r>
      <w:r>
        <w:rPr>
          <w:rFonts w:hint="eastAsia" w:eastAsia="仿宋_GB2312"/>
          <w:color w:val="333333"/>
          <w:sz w:val="32"/>
          <w:szCs w:val="32"/>
          <w:lang w:val="en-US" w:eastAsia="zh-CN"/>
        </w:rPr>
        <w:t>6</w:t>
      </w:r>
      <w:r>
        <w:rPr>
          <w:rFonts w:hint="eastAsia" w:eastAsia="仿宋_GB2312"/>
          <w:color w:val="333333"/>
          <w:sz w:val="32"/>
          <w:szCs w:val="32"/>
        </w:rPr>
        <w:t>年预算数为</w:t>
      </w:r>
      <w:r>
        <w:rPr>
          <w:rFonts w:hint="eastAsia" w:eastAsia="仿宋_GB2312"/>
          <w:color w:val="333333"/>
          <w:sz w:val="32"/>
          <w:szCs w:val="32"/>
          <w:lang w:val="en-US" w:eastAsia="zh-CN"/>
        </w:rPr>
        <w:t>83.39</w:t>
      </w:r>
      <w:r>
        <w:rPr>
          <w:rFonts w:hint="eastAsia" w:eastAsia="仿宋_GB2312"/>
          <w:color w:val="333333"/>
          <w:sz w:val="32"/>
          <w:szCs w:val="32"/>
        </w:rPr>
        <w:t>万元，此项目为</w:t>
      </w:r>
      <w:r>
        <w:rPr>
          <w:rFonts w:hint="eastAsia" w:eastAsia="仿宋_GB2312"/>
          <w:color w:val="333333"/>
          <w:sz w:val="32"/>
          <w:szCs w:val="32"/>
          <w:lang w:eastAsia="zh-CN"/>
        </w:rPr>
        <w:t>洪雅县人民法院</w:t>
      </w:r>
      <w:r>
        <w:rPr>
          <w:rFonts w:hint="eastAsia" w:eastAsia="仿宋_GB2312"/>
          <w:color w:val="333333"/>
          <w:sz w:val="32"/>
          <w:szCs w:val="32"/>
        </w:rPr>
        <w:t>基本支出，主要用于部门按规定缴纳的基本医疗保险缴费。</w:t>
      </w:r>
    </w:p>
    <w:p>
      <w:pPr>
        <w:spacing w:line="580" w:lineRule="exact"/>
        <w:ind w:firstLine="640" w:firstLineChars="200"/>
        <w:rPr>
          <w:rFonts w:eastAsia="黑体"/>
          <w:bCs/>
          <w:sz w:val="32"/>
          <w:szCs w:val="32"/>
        </w:rPr>
      </w:pPr>
      <w:r>
        <w:rPr>
          <w:rFonts w:hint="eastAsia" w:eastAsia="仿宋_GB2312"/>
          <w:color w:val="333333"/>
          <w:sz w:val="32"/>
          <w:szCs w:val="32"/>
          <w:lang w:val="en-US" w:eastAsia="zh-CN"/>
        </w:rPr>
        <w:t>7.</w:t>
      </w:r>
      <w:r>
        <w:rPr>
          <w:rFonts w:eastAsia="仿宋_GB2312"/>
          <w:color w:val="333333"/>
          <w:sz w:val="32"/>
          <w:szCs w:val="32"/>
        </w:rPr>
        <w:t>221（类）02（款）01（项）：20</w:t>
      </w:r>
      <w:r>
        <w:rPr>
          <w:rFonts w:hint="eastAsia" w:eastAsia="仿宋_GB2312"/>
          <w:color w:val="333333"/>
          <w:sz w:val="32"/>
          <w:szCs w:val="32"/>
          <w:lang w:val="en-US" w:eastAsia="zh-CN"/>
        </w:rPr>
        <w:t>26</w:t>
      </w:r>
      <w:r>
        <w:rPr>
          <w:rFonts w:eastAsia="仿宋_GB2312"/>
          <w:color w:val="333333"/>
          <w:sz w:val="32"/>
          <w:szCs w:val="32"/>
        </w:rPr>
        <w:t>年预算数为</w:t>
      </w:r>
      <w:r>
        <w:rPr>
          <w:rFonts w:hint="eastAsia" w:eastAsia="仿宋_GB2312"/>
          <w:color w:val="333333"/>
          <w:sz w:val="32"/>
          <w:szCs w:val="32"/>
          <w:lang w:val="en-US" w:eastAsia="zh-CN"/>
        </w:rPr>
        <w:t>129.17</w:t>
      </w:r>
      <w:r>
        <w:rPr>
          <w:rFonts w:eastAsia="仿宋_GB2312"/>
          <w:color w:val="333333"/>
          <w:sz w:val="32"/>
          <w:szCs w:val="32"/>
        </w:rPr>
        <w:t>万元，此项目为</w:t>
      </w:r>
      <w:r>
        <w:rPr>
          <w:rFonts w:hint="eastAsia" w:eastAsia="仿宋_GB2312"/>
          <w:color w:val="333333"/>
          <w:sz w:val="32"/>
          <w:szCs w:val="32"/>
          <w:lang w:eastAsia="zh-CN"/>
        </w:rPr>
        <w:t>洪雅县人民法院</w:t>
      </w:r>
      <w:r>
        <w:rPr>
          <w:rFonts w:eastAsia="仿宋_GB2312"/>
          <w:color w:val="333333"/>
          <w:sz w:val="32"/>
          <w:szCs w:val="32"/>
        </w:rPr>
        <w:t>基本支出，主要用于部门按基本工资和津贴补贴以及规定比例为职工缴纳的住房公积金支出。</w:t>
      </w:r>
    </w:p>
    <w:p>
      <w:pPr>
        <w:spacing w:line="580" w:lineRule="exact"/>
        <w:ind w:firstLine="640" w:firstLineChars="200"/>
        <w:outlineLvl w:val="0"/>
        <w:rPr>
          <w:rFonts w:eastAsia="黑体"/>
          <w:bCs/>
          <w:sz w:val="32"/>
          <w:szCs w:val="32"/>
        </w:rPr>
      </w:pPr>
      <w:r>
        <w:rPr>
          <w:rFonts w:eastAsia="黑体"/>
          <w:bCs/>
          <w:sz w:val="32"/>
          <w:szCs w:val="32"/>
        </w:rPr>
        <w:t>六、一般公共预算基本支出说明</w:t>
      </w:r>
    </w:p>
    <w:p>
      <w:pPr>
        <w:spacing w:line="580" w:lineRule="exact"/>
        <w:ind w:firstLine="640" w:firstLineChars="200"/>
        <w:outlineLvl w:val="0"/>
        <w:rPr>
          <w:rFonts w:hint="default" w:eastAsia="仿宋_GB2312"/>
          <w:bCs/>
          <w:sz w:val="32"/>
          <w:szCs w:val="32"/>
          <w:lang w:val="en-US" w:eastAsia="zh-CN"/>
        </w:rPr>
      </w:pPr>
      <w:r>
        <w:rPr>
          <w:rFonts w:hint="eastAsia" w:eastAsia="仿宋_GB2312"/>
          <w:bCs/>
          <w:sz w:val="32"/>
          <w:szCs w:val="32"/>
          <w:lang w:eastAsia="zh-CN"/>
        </w:rPr>
        <w:t>洪雅县人民法院2026</w:t>
      </w:r>
      <w:r>
        <w:rPr>
          <w:rFonts w:eastAsia="仿宋_GB2312"/>
          <w:bCs/>
          <w:sz w:val="32"/>
          <w:szCs w:val="32"/>
        </w:rPr>
        <w:t>年一般公共预算基本支出</w:t>
      </w:r>
      <w:r>
        <w:rPr>
          <w:rFonts w:hint="eastAsia" w:eastAsia="仿宋_GB2312"/>
          <w:bCs/>
          <w:sz w:val="32"/>
          <w:szCs w:val="32"/>
          <w:lang w:val="en-US" w:eastAsia="zh-CN"/>
        </w:rPr>
        <w:t>1514.03</w:t>
      </w:r>
      <w:r>
        <w:rPr>
          <w:rFonts w:eastAsia="仿宋_GB2312"/>
          <w:bCs/>
          <w:sz w:val="32"/>
          <w:szCs w:val="32"/>
        </w:rPr>
        <w:t>万元，其中：人员经费</w:t>
      </w:r>
      <w:r>
        <w:rPr>
          <w:rFonts w:hint="eastAsia" w:eastAsia="仿宋_GB2312"/>
          <w:bCs/>
          <w:sz w:val="32"/>
          <w:szCs w:val="32"/>
          <w:lang w:val="en-US" w:eastAsia="zh-CN"/>
        </w:rPr>
        <w:t>1311.62</w:t>
      </w:r>
      <w:r>
        <w:rPr>
          <w:rFonts w:eastAsia="仿宋_GB2312"/>
          <w:bCs/>
          <w:sz w:val="32"/>
          <w:szCs w:val="32"/>
        </w:rPr>
        <w:t>万元，主要包括：基本工资</w:t>
      </w:r>
      <w:r>
        <w:rPr>
          <w:rFonts w:hint="eastAsia" w:eastAsia="仿宋_GB2312"/>
          <w:bCs/>
          <w:sz w:val="32"/>
          <w:szCs w:val="32"/>
          <w:lang w:val="en-US" w:eastAsia="zh-CN"/>
        </w:rPr>
        <w:t>343.1</w:t>
      </w:r>
      <w:r>
        <w:rPr>
          <w:rFonts w:eastAsia="仿宋_GB2312"/>
          <w:bCs/>
          <w:sz w:val="32"/>
          <w:szCs w:val="32"/>
        </w:rPr>
        <w:t>万元、津贴补贴</w:t>
      </w:r>
      <w:r>
        <w:rPr>
          <w:rFonts w:hint="eastAsia" w:eastAsia="仿宋_GB2312"/>
          <w:bCs/>
          <w:sz w:val="32"/>
          <w:szCs w:val="32"/>
          <w:lang w:val="en-US" w:eastAsia="zh-CN"/>
        </w:rPr>
        <w:t>392.86</w:t>
      </w:r>
      <w:r>
        <w:rPr>
          <w:rFonts w:eastAsia="仿宋_GB2312"/>
          <w:bCs/>
          <w:sz w:val="32"/>
          <w:szCs w:val="32"/>
        </w:rPr>
        <w:t>万元、奖金</w:t>
      </w:r>
      <w:r>
        <w:rPr>
          <w:rFonts w:hint="eastAsia" w:eastAsia="仿宋_GB2312"/>
          <w:bCs/>
          <w:sz w:val="32"/>
          <w:szCs w:val="32"/>
          <w:lang w:val="en-US" w:eastAsia="zh-CN"/>
        </w:rPr>
        <w:t>27.44</w:t>
      </w:r>
      <w:r>
        <w:rPr>
          <w:rFonts w:eastAsia="仿宋_GB2312"/>
          <w:bCs/>
          <w:sz w:val="32"/>
          <w:szCs w:val="32"/>
        </w:rPr>
        <w:t>万元、绩效工资</w:t>
      </w:r>
      <w:r>
        <w:rPr>
          <w:rFonts w:hint="eastAsia" w:eastAsia="仿宋_GB2312"/>
          <w:bCs/>
          <w:sz w:val="32"/>
          <w:szCs w:val="32"/>
          <w:lang w:val="en-US" w:eastAsia="zh-CN"/>
        </w:rPr>
        <w:t>19.8</w:t>
      </w:r>
      <w:r>
        <w:rPr>
          <w:rFonts w:eastAsia="仿宋_GB2312"/>
          <w:bCs/>
          <w:sz w:val="32"/>
          <w:szCs w:val="32"/>
        </w:rPr>
        <w:t>万元</w:t>
      </w:r>
      <w:r>
        <w:rPr>
          <w:rFonts w:hint="eastAsia" w:eastAsia="仿宋_GB2312"/>
          <w:bCs/>
          <w:sz w:val="32"/>
          <w:szCs w:val="32"/>
          <w:lang w:eastAsia="zh-CN"/>
        </w:rPr>
        <w:t>、</w:t>
      </w:r>
      <w:r>
        <w:rPr>
          <w:rFonts w:eastAsia="仿宋_GB2312"/>
          <w:bCs/>
          <w:sz w:val="32"/>
          <w:szCs w:val="32"/>
        </w:rPr>
        <w:t>公交补贴</w:t>
      </w:r>
      <w:r>
        <w:rPr>
          <w:rFonts w:hint="eastAsia" w:eastAsia="仿宋_GB2312"/>
          <w:bCs/>
          <w:sz w:val="32"/>
          <w:szCs w:val="32"/>
          <w:lang w:val="en-US" w:eastAsia="zh-CN"/>
        </w:rPr>
        <w:t>52.92万元</w:t>
      </w:r>
      <w:r>
        <w:rPr>
          <w:rFonts w:eastAsia="仿宋_GB2312"/>
          <w:bCs/>
          <w:sz w:val="32"/>
          <w:szCs w:val="32"/>
        </w:rPr>
        <w:t>、工会</w:t>
      </w:r>
      <w:r>
        <w:rPr>
          <w:rFonts w:hint="eastAsia" w:eastAsia="仿宋_GB2312"/>
          <w:bCs/>
          <w:sz w:val="32"/>
          <w:szCs w:val="32"/>
          <w:lang w:val="en-US" w:eastAsia="zh-CN"/>
        </w:rPr>
        <w:t>19.55</w:t>
      </w:r>
      <w:r>
        <w:rPr>
          <w:rFonts w:eastAsia="仿宋_GB2312"/>
          <w:bCs/>
          <w:sz w:val="32"/>
          <w:szCs w:val="32"/>
        </w:rPr>
        <w:t>万元</w:t>
      </w:r>
      <w:r>
        <w:rPr>
          <w:rFonts w:hint="eastAsia" w:eastAsia="仿宋_GB2312"/>
          <w:bCs/>
          <w:sz w:val="32"/>
          <w:szCs w:val="32"/>
          <w:lang w:eastAsia="zh-CN"/>
        </w:rPr>
        <w:t>、</w:t>
      </w:r>
      <w:r>
        <w:rPr>
          <w:rFonts w:eastAsia="仿宋_GB2312"/>
          <w:bCs/>
          <w:sz w:val="32"/>
          <w:szCs w:val="32"/>
        </w:rPr>
        <w:t>社会保险缴费</w:t>
      </w:r>
      <w:r>
        <w:rPr>
          <w:rFonts w:hint="eastAsia" w:eastAsia="仿宋_GB2312"/>
          <w:bCs/>
          <w:sz w:val="32"/>
          <w:szCs w:val="32"/>
          <w:lang w:val="en-US" w:eastAsia="zh-CN"/>
        </w:rPr>
        <w:t>326.78</w:t>
      </w:r>
      <w:r>
        <w:rPr>
          <w:rFonts w:eastAsia="仿宋_GB2312"/>
          <w:bCs/>
          <w:sz w:val="32"/>
          <w:szCs w:val="32"/>
        </w:rPr>
        <w:t>万元、住房公积金支出</w:t>
      </w:r>
      <w:r>
        <w:rPr>
          <w:rFonts w:hint="eastAsia" w:eastAsia="仿宋_GB2312"/>
          <w:bCs/>
          <w:sz w:val="32"/>
          <w:szCs w:val="32"/>
          <w:lang w:val="en-US" w:eastAsia="zh-CN"/>
        </w:rPr>
        <w:t>129.17</w:t>
      </w:r>
      <w:r>
        <w:rPr>
          <w:rFonts w:eastAsia="仿宋_GB2312"/>
          <w:bCs/>
          <w:sz w:val="32"/>
          <w:szCs w:val="32"/>
        </w:rPr>
        <w:t>万元。公用经费</w:t>
      </w:r>
      <w:r>
        <w:rPr>
          <w:rFonts w:hint="eastAsia" w:eastAsia="仿宋_GB2312"/>
          <w:bCs/>
          <w:sz w:val="32"/>
          <w:szCs w:val="32"/>
          <w:lang w:val="en-US" w:eastAsia="zh-CN"/>
        </w:rPr>
        <w:t>190.4</w:t>
      </w:r>
      <w:r>
        <w:rPr>
          <w:rFonts w:eastAsia="仿宋_GB2312"/>
          <w:bCs/>
          <w:sz w:val="32"/>
          <w:szCs w:val="32"/>
        </w:rPr>
        <w:t>万元，主要包括：物业管理费</w:t>
      </w:r>
      <w:r>
        <w:rPr>
          <w:rFonts w:hint="eastAsia" w:eastAsia="仿宋_GB2312"/>
          <w:bCs/>
          <w:sz w:val="32"/>
          <w:szCs w:val="32"/>
          <w:lang w:val="en-US" w:eastAsia="zh-CN"/>
        </w:rPr>
        <w:t>15</w:t>
      </w:r>
      <w:r>
        <w:rPr>
          <w:rFonts w:eastAsia="仿宋_GB2312"/>
          <w:bCs/>
          <w:sz w:val="32"/>
          <w:szCs w:val="32"/>
        </w:rPr>
        <w:t>万元、办公费</w:t>
      </w:r>
      <w:r>
        <w:rPr>
          <w:rFonts w:hint="eastAsia" w:eastAsia="仿宋_GB2312"/>
          <w:bCs/>
          <w:sz w:val="32"/>
          <w:szCs w:val="32"/>
          <w:lang w:val="en-US" w:eastAsia="zh-CN"/>
        </w:rPr>
        <w:t>35</w:t>
      </w:r>
      <w:r>
        <w:rPr>
          <w:rFonts w:eastAsia="仿宋_GB2312"/>
          <w:bCs/>
          <w:sz w:val="32"/>
          <w:szCs w:val="32"/>
        </w:rPr>
        <w:t>万元、水费</w:t>
      </w:r>
      <w:r>
        <w:rPr>
          <w:rFonts w:hint="eastAsia" w:eastAsia="仿宋_GB2312"/>
          <w:bCs/>
          <w:sz w:val="32"/>
          <w:szCs w:val="32"/>
          <w:lang w:val="en-US" w:eastAsia="zh-CN"/>
        </w:rPr>
        <w:t>3</w:t>
      </w:r>
      <w:r>
        <w:rPr>
          <w:rFonts w:eastAsia="仿宋_GB2312"/>
          <w:bCs/>
          <w:sz w:val="32"/>
          <w:szCs w:val="32"/>
        </w:rPr>
        <w:t>万元、</w:t>
      </w:r>
      <w:r>
        <w:rPr>
          <w:rFonts w:hint="eastAsia" w:eastAsia="仿宋_GB2312"/>
          <w:bCs/>
          <w:sz w:val="32"/>
          <w:szCs w:val="32"/>
          <w:lang w:val="en-US" w:eastAsia="zh-CN"/>
        </w:rPr>
        <w:t>印刷费5万元、</w:t>
      </w:r>
      <w:r>
        <w:rPr>
          <w:rFonts w:eastAsia="仿宋_GB2312"/>
          <w:bCs/>
          <w:sz w:val="32"/>
          <w:szCs w:val="32"/>
        </w:rPr>
        <w:t>电费</w:t>
      </w:r>
      <w:r>
        <w:rPr>
          <w:rFonts w:hint="eastAsia" w:eastAsia="仿宋_GB2312"/>
          <w:bCs/>
          <w:sz w:val="32"/>
          <w:szCs w:val="32"/>
          <w:lang w:val="en-US" w:eastAsia="zh-CN"/>
        </w:rPr>
        <w:t>20</w:t>
      </w:r>
      <w:r>
        <w:rPr>
          <w:rFonts w:eastAsia="仿宋_GB2312"/>
          <w:bCs/>
          <w:sz w:val="32"/>
          <w:szCs w:val="32"/>
        </w:rPr>
        <w:t>万元、差旅费</w:t>
      </w:r>
      <w:r>
        <w:rPr>
          <w:rFonts w:hint="eastAsia" w:eastAsia="仿宋_GB2312"/>
          <w:bCs/>
          <w:sz w:val="32"/>
          <w:szCs w:val="32"/>
          <w:lang w:val="en-US" w:eastAsia="zh-CN"/>
        </w:rPr>
        <w:t>18.28</w:t>
      </w:r>
      <w:r>
        <w:rPr>
          <w:rFonts w:eastAsia="仿宋_GB2312"/>
          <w:bCs/>
          <w:sz w:val="32"/>
          <w:szCs w:val="32"/>
        </w:rPr>
        <w:t>万元、维护费</w:t>
      </w:r>
      <w:r>
        <w:rPr>
          <w:rFonts w:hint="eastAsia" w:eastAsia="仿宋_GB2312"/>
          <w:bCs/>
          <w:sz w:val="32"/>
          <w:szCs w:val="32"/>
          <w:lang w:val="en-US" w:eastAsia="zh-CN"/>
        </w:rPr>
        <w:t>5</w:t>
      </w:r>
      <w:r>
        <w:rPr>
          <w:rFonts w:eastAsia="仿宋_GB2312"/>
          <w:bCs/>
          <w:sz w:val="32"/>
          <w:szCs w:val="32"/>
        </w:rPr>
        <w:t>万元、公务接待费2万元、</w:t>
      </w:r>
      <w:r>
        <w:rPr>
          <w:rFonts w:hint="eastAsia" w:eastAsia="仿宋_GB2312"/>
          <w:bCs/>
          <w:sz w:val="32"/>
          <w:szCs w:val="32"/>
          <w:lang w:eastAsia="zh-CN"/>
        </w:rPr>
        <w:t>培训费</w:t>
      </w:r>
      <w:r>
        <w:rPr>
          <w:rFonts w:hint="eastAsia" w:eastAsia="仿宋_GB2312"/>
          <w:bCs/>
          <w:sz w:val="32"/>
          <w:szCs w:val="32"/>
          <w:lang w:val="en-US" w:eastAsia="zh-CN"/>
        </w:rPr>
        <w:t>5万元、</w:t>
      </w:r>
      <w:r>
        <w:rPr>
          <w:rFonts w:eastAsia="仿宋_GB2312"/>
          <w:bCs/>
          <w:sz w:val="32"/>
          <w:szCs w:val="32"/>
        </w:rPr>
        <w:t>劳务费</w:t>
      </w:r>
      <w:r>
        <w:rPr>
          <w:rFonts w:hint="eastAsia" w:eastAsia="仿宋_GB2312"/>
          <w:bCs/>
          <w:sz w:val="32"/>
          <w:szCs w:val="32"/>
          <w:lang w:val="en-US" w:eastAsia="zh-CN"/>
        </w:rPr>
        <w:t>5</w:t>
      </w:r>
      <w:r>
        <w:rPr>
          <w:rFonts w:eastAsia="仿宋_GB2312"/>
          <w:bCs/>
          <w:sz w:val="32"/>
          <w:szCs w:val="32"/>
        </w:rPr>
        <w:t>万元、委托业务费</w:t>
      </w:r>
      <w:r>
        <w:rPr>
          <w:rFonts w:hint="eastAsia" w:eastAsia="仿宋_GB2312"/>
          <w:bCs/>
          <w:sz w:val="32"/>
          <w:szCs w:val="32"/>
          <w:lang w:val="en-US" w:eastAsia="zh-CN"/>
        </w:rPr>
        <w:t>20</w:t>
      </w:r>
      <w:r>
        <w:rPr>
          <w:rFonts w:eastAsia="仿宋_GB2312"/>
          <w:bCs/>
          <w:sz w:val="32"/>
          <w:szCs w:val="32"/>
        </w:rPr>
        <w:t>万元、其他商品和服务支出</w:t>
      </w:r>
      <w:r>
        <w:rPr>
          <w:rFonts w:hint="eastAsia" w:eastAsia="仿宋_GB2312"/>
          <w:bCs/>
          <w:sz w:val="32"/>
          <w:szCs w:val="32"/>
          <w:lang w:val="en-US" w:eastAsia="zh-CN"/>
        </w:rPr>
        <w:t>57.12</w:t>
      </w:r>
      <w:r>
        <w:rPr>
          <w:rFonts w:eastAsia="仿宋_GB2312"/>
          <w:bCs/>
          <w:sz w:val="32"/>
          <w:szCs w:val="32"/>
        </w:rPr>
        <w:t>万元。</w:t>
      </w:r>
      <w:r>
        <w:rPr>
          <w:rFonts w:hint="eastAsia" w:eastAsia="仿宋_GB2312"/>
          <w:bCs/>
          <w:sz w:val="32"/>
          <w:szCs w:val="32"/>
          <w:lang w:eastAsia="zh-CN"/>
        </w:rPr>
        <w:t>对个人和家庭的补助</w:t>
      </w:r>
      <w:r>
        <w:rPr>
          <w:rFonts w:hint="eastAsia" w:eastAsia="仿宋_GB2312"/>
          <w:bCs/>
          <w:sz w:val="32"/>
          <w:szCs w:val="32"/>
          <w:lang w:val="en-US" w:eastAsia="zh-CN"/>
        </w:rPr>
        <w:t>12.01万元。</w:t>
      </w:r>
    </w:p>
    <w:p>
      <w:pPr>
        <w:spacing w:line="580" w:lineRule="exact"/>
        <w:ind w:firstLine="640" w:firstLineChars="200"/>
        <w:outlineLvl w:val="0"/>
        <w:rPr>
          <w:rFonts w:eastAsia="黑体"/>
          <w:bCs/>
          <w:sz w:val="32"/>
          <w:szCs w:val="32"/>
        </w:rPr>
      </w:pPr>
      <w:r>
        <w:rPr>
          <w:rFonts w:eastAsia="黑体"/>
          <w:bCs/>
          <w:sz w:val="32"/>
          <w:szCs w:val="32"/>
        </w:rPr>
        <w:t>七、“三公”经费安排情况说明</w:t>
      </w:r>
    </w:p>
    <w:p>
      <w:pPr>
        <w:spacing w:line="580" w:lineRule="exact"/>
        <w:ind w:firstLine="640" w:firstLineChars="200"/>
        <w:rPr>
          <w:rFonts w:eastAsia="仿宋_GB2312"/>
          <w:color w:val="333333"/>
          <w:sz w:val="32"/>
          <w:szCs w:val="32"/>
        </w:rPr>
      </w:pPr>
      <w:r>
        <w:rPr>
          <w:rFonts w:hint="eastAsia" w:eastAsia="仿宋_GB2312"/>
          <w:color w:val="333333"/>
          <w:sz w:val="32"/>
          <w:szCs w:val="32"/>
          <w:lang w:eastAsia="zh-CN"/>
        </w:rPr>
        <w:t>洪雅县人民法院2026</w:t>
      </w:r>
      <w:r>
        <w:rPr>
          <w:rFonts w:eastAsia="仿宋_GB2312"/>
          <w:color w:val="333333"/>
          <w:sz w:val="32"/>
          <w:szCs w:val="32"/>
        </w:rPr>
        <w:t>年“三公”经费财政拨款预算数</w:t>
      </w:r>
      <w:r>
        <w:rPr>
          <w:rFonts w:hint="eastAsia" w:eastAsia="仿宋_GB2312"/>
          <w:color w:val="333333"/>
          <w:sz w:val="32"/>
          <w:szCs w:val="32"/>
          <w:lang w:val="en-US" w:eastAsia="zh-CN"/>
        </w:rPr>
        <w:t>2</w:t>
      </w:r>
      <w:r>
        <w:rPr>
          <w:rFonts w:eastAsia="仿宋_GB2312"/>
          <w:color w:val="333333"/>
          <w:sz w:val="32"/>
          <w:szCs w:val="32"/>
        </w:rPr>
        <w:t>万元，其中：公务接待费</w:t>
      </w:r>
      <w:r>
        <w:rPr>
          <w:rFonts w:hint="eastAsia" w:eastAsia="仿宋_GB2312"/>
          <w:color w:val="333333"/>
          <w:sz w:val="32"/>
          <w:szCs w:val="32"/>
          <w:lang w:val="en-US" w:eastAsia="zh-CN"/>
        </w:rPr>
        <w:t>2</w:t>
      </w:r>
      <w:r>
        <w:rPr>
          <w:rFonts w:eastAsia="仿宋_GB2312"/>
          <w:color w:val="333333"/>
          <w:sz w:val="32"/>
          <w:szCs w:val="32"/>
        </w:rPr>
        <w:t>万元，公务用车购置及运行维护费</w:t>
      </w:r>
      <w:r>
        <w:rPr>
          <w:rFonts w:hint="eastAsia" w:eastAsia="仿宋_GB2312"/>
          <w:color w:val="333333"/>
          <w:sz w:val="32"/>
          <w:szCs w:val="32"/>
          <w:lang w:val="en-US" w:eastAsia="zh-CN"/>
        </w:rPr>
        <w:t>0</w:t>
      </w:r>
      <w:r>
        <w:rPr>
          <w:rFonts w:eastAsia="仿宋_GB2312"/>
          <w:color w:val="333333"/>
          <w:sz w:val="32"/>
          <w:szCs w:val="32"/>
        </w:rPr>
        <w:t>万元。</w:t>
      </w:r>
      <w:r>
        <w:rPr>
          <w:rFonts w:hint="eastAsia" w:eastAsia="仿宋_GB2312"/>
          <w:color w:val="333333"/>
          <w:sz w:val="32"/>
          <w:szCs w:val="32"/>
          <w:lang w:eastAsia="zh-CN"/>
        </w:rPr>
        <w:t>2026</w:t>
      </w:r>
      <w:r>
        <w:rPr>
          <w:rFonts w:eastAsia="仿宋_GB2312"/>
          <w:color w:val="333333"/>
          <w:sz w:val="32"/>
          <w:szCs w:val="32"/>
        </w:rPr>
        <w:t>年</w:t>
      </w:r>
      <w:r>
        <w:rPr>
          <w:rFonts w:hint="eastAsia" w:eastAsia="仿宋_GB2312"/>
          <w:color w:val="333333"/>
          <w:sz w:val="32"/>
          <w:szCs w:val="32"/>
          <w:lang w:eastAsia="zh-CN"/>
        </w:rPr>
        <w:t>洪雅县人民法院</w:t>
      </w:r>
      <w:r>
        <w:rPr>
          <w:rFonts w:eastAsia="仿宋_GB2312"/>
          <w:color w:val="333333"/>
          <w:sz w:val="32"/>
          <w:szCs w:val="32"/>
        </w:rPr>
        <w:t>年初部门预算暂不编列因公出国（境）经费，执行中确需安排出国（境）任务和计划的，按照“一事一议”的方式报市政府批准后安排经费。</w:t>
      </w:r>
    </w:p>
    <w:p>
      <w:pPr>
        <w:spacing w:line="580" w:lineRule="exact"/>
        <w:ind w:firstLine="640" w:firstLineChars="200"/>
        <w:rPr>
          <w:rFonts w:hint="eastAsia" w:eastAsia="仿宋_GB2312"/>
          <w:color w:val="333333"/>
          <w:sz w:val="32"/>
          <w:szCs w:val="32"/>
          <w:lang w:eastAsia="zh-CN"/>
        </w:rPr>
      </w:pPr>
      <w:r>
        <w:rPr>
          <w:rFonts w:hint="eastAsia" w:eastAsia="仿宋_GB2312"/>
          <w:color w:val="333333"/>
          <w:sz w:val="32"/>
          <w:szCs w:val="32"/>
        </w:rPr>
        <w:t>公务接待预算经费2万元，较</w:t>
      </w:r>
      <w:r>
        <w:rPr>
          <w:rFonts w:hint="eastAsia" w:eastAsia="仿宋_GB2312"/>
          <w:color w:val="333333"/>
          <w:sz w:val="32"/>
          <w:szCs w:val="32"/>
          <w:lang w:val="en-US" w:eastAsia="zh-CN"/>
        </w:rPr>
        <w:t>2025年</w:t>
      </w:r>
      <w:r>
        <w:rPr>
          <w:rFonts w:hint="eastAsia" w:eastAsia="仿宋_GB2312"/>
          <w:color w:val="333333"/>
          <w:sz w:val="32"/>
          <w:szCs w:val="32"/>
        </w:rPr>
        <w:t>无变化。主要原因为随着案件数逐年递增</w:t>
      </w:r>
      <w:r>
        <w:rPr>
          <w:rFonts w:hint="eastAsia" w:eastAsia="仿宋_GB2312"/>
          <w:color w:val="333333"/>
          <w:sz w:val="32"/>
          <w:szCs w:val="32"/>
          <w:lang w:eastAsia="zh-CN"/>
        </w:rPr>
        <w:t>的情况</w:t>
      </w:r>
      <w:r>
        <w:rPr>
          <w:rFonts w:hint="eastAsia" w:eastAsia="仿宋_GB2312"/>
          <w:color w:val="333333"/>
          <w:sz w:val="32"/>
          <w:szCs w:val="32"/>
        </w:rPr>
        <w:t>，兄弟法院到</w:t>
      </w:r>
      <w:r>
        <w:rPr>
          <w:rFonts w:hint="eastAsia" w:eastAsia="仿宋_GB2312"/>
          <w:color w:val="333333"/>
          <w:sz w:val="32"/>
          <w:szCs w:val="32"/>
          <w:lang w:eastAsia="zh-CN"/>
        </w:rPr>
        <w:t>洪雅县人民法院</w:t>
      </w:r>
      <w:r>
        <w:rPr>
          <w:rFonts w:hint="eastAsia" w:eastAsia="仿宋_GB2312"/>
          <w:color w:val="333333"/>
          <w:sz w:val="32"/>
          <w:szCs w:val="32"/>
        </w:rPr>
        <w:t>开庭考察调研、检查指导等公务活动有增不减，故接待费预算较往年持平</w:t>
      </w:r>
      <w:r>
        <w:rPr>
          <w:rFonts w:hint="eastAsia" w:eastAsia="仿宋_GB2312"/>
          <w:color w:val="333333"/>
          <w:sz w:val="32"/>
          <w:szCs w:val="32"/>
          <w:lang w:eastAsia="zh-CN"/>
        </w:rPr>
        <w:t>。</w:t>
      </w:r>
    </w:p>
    <w:p>
      <w:pPr>
        <w:spacing w:line="580" w:lineRule="exact"/>
        <w:ind w:firstLine="640" w:firstLineChars="200"/>
        <w:rPr>
          <w:rFonts w:hint="eastAsia" w:eastAsia="仿宋_GB2312"/>
          <w:color w:val="333333"/>
          <w:sz w:val="32"/>
          <w:szCs w:val="32"/>
          <w:lang w:eastAsia="zh-CN"/>
        </w:rPr>
      </w:pPr>
      <w:r>
        <w:rPr>
          <w:rFonts w:eastAsia="仿宋_GB2312"/>
          <w:color w:val="333333"/>
          <w:sz w:val="32"/>
          <w:szCs w:val="32"/>
        </w:rPr>
        <w:t>公务用车购置及运行维护</w:t>
      </w:r>
      <w:r>
        <w:rPr>
          <w:rFonts w:hint="eastAsia" w:eastAsia="仿宋_GB2312"/>
          <w:color w:val="333333"/>
          <w:sz w:val="32"/>
          <w:szCs w:val="32"/>
          <w:lang w:eastAsia="zh-CN"/>
        </w:rPr>
        <w:t>预算支出</w:t>
      </w:r>
      <w:r>
        <w:rPr>
          <w:rFonts w:hint="eastAsia" w:eastAsia="仿宋_GB2312"/>
          <w:color w:val="333333"/>
          <w:sz w:val="32"/>
          <w:szCs w:val="32"/>
          <w:lang w:val="en-US" w:eastAsia="zh-CN"/>
        </w:rPr>
        <w:t>0万元</w:t>
      </w:r>
      <w:r>
        <w:rPr>
          <w:rFonts w:eastAsia="仿宋_GB2312"/>
          <w:color w:val="333333"/>
          <w:sz w:val="32"/>
          <w:szCs w:val="32"/>
        </w:rPr>
        <w:t>。</w:t>
      </w:r>
      <w:r>
        <w:rPr>
          <w:rFonts w:hint="eastAsia" w:eastAsia="仿宋_GB2312"/>
          <w:color w:val="333333"/>
          <w:sz w:val="32"/>
          <w:szCs w:val="32"/>
          <w:lang w:eastAsia="zh-CN"/>
        </w:rPr>
        <w:t>洪雅县人民法院</w:t>
      </w:r>
      <w:r>
        <w:rPr>
          <w:rFonts w:eastAsia="仿宋_GB2312"/>
          <w:color w:val="333333"/>
          <w:sz w:val="32"/>
          <w:szCs w:val="32"/>
        </w:rPr>
        <w:t>现有</w:t>
      </w:r>
      <w:r>
        <w:rPr>
          <w:rFonts w:hint="eastAsia" w:eastAsia="仿宋_GB2312"/>
          <w:color w:val="333333"/>
          <w:sz w:val="32"/>
          <w:szCs w:val="32"/>
          <w:lang w:eastAsia="zh-CN"/>
        </w:rPr>
        <w:t>执法执勤</w:t>
      </w:r>
      <w:r>
        <w:rPr>
          <w:rFonts w:eastAsia="仿宋_GB2312"/>
          <w:color w:val="333333"/>
          <w:sz w:val="32"/>
          <w:szCs w:val="32"/>
        </w:rPr>
        <w:t>车辆</w:t>
      </w:r>
      <w:r>
        <w:rPr>
          <w:rFonts w:hint="eastAsia" w:eastAsia="仿宋_GB2312"/>
          <w:color w:val="333333"/>
          <w:sz w:val="32"/>
          <w:szCs w:val="32"/>
          <w:lang w:val="en-US" w:eastAsia="zh-CN"/>
        </w:rPr>
        <w:t>13</w:t>
      </w:r>
      <w:r>
        <w:rPr>
          <w:rFonts w:eastAsia="仿宋_GB2312"/>
          <w:color w:val="333333"/>
          <w:sz w:val="32"/>
          <w:szCs w:val="32"/>
        </w:rPr>
        <w:t>辆</w:t>
      </w:r>
      <w:r>
        <w:rPr>
          <w:rFonts w:hint="eastAsia" w:eastAsia="仿宋_GB2312"/>
          <w:color w:val="333333"/>
          <w:sz w:val="32"/>
          <w:szCs w:val="32"/>
          <w:lang w:eastAsia="zh-CN"/>
        </w:rPr>
        <w:t>，主要用于执法执勤用车燃油、过路（桥）、维修、保险等运行方面支出。</w:t>
      </w:r>
    </w:p>
    <w:p>
      <w:pPr>
        <w:spacing w:line="580" w:lineRule="exact"/>
        <w:ind w:firstLine="640" w:firstLineChars="200"/>
        <w:rPr>
          <w:rFonts w:hint="default" w:eastAsia="仿宋_GB2312"/>
          <w:color w:val="333333"/>
          <w:sz w:val="32"/>
          <w:szCs w:val="32"/>
          <w:lang w:val="en-US" w:eastAsia="zh-CN"/>
        </w:rPr>
      </w:pPr>
      <w:r>
        <w:rPr>
          <w:rFonts w:hint="eastAsia" w:eastAsia="仿宋_GB2312"/>
          <w:color w:val="333333"/>
          <w:sz w:val="32"/>
          <w:szCs w:val="32"/>
          <w:lang w:eastAsia="zh-CN"/>
        </w:rPr>
        <w:t>2026</w:t>
      </w:r>
      <w:r>
        <w:rPr>
          <w:rFonts w:eastAsia="仿宋_GB2312"/>
          <w:color w:val="333333"/>
          <w:sz w:val="32"/>
          <w:szCs w:val="32"/>
        </w:rPr>
        <w:t>年安排公务用车</w:t>
      </w:r>
      <w:r>
        <w:rPr>
          <w:rFonts w:hint="eastAsia" w:eastAsia="仿宋_GB2312"/>
          <w:color w:val="333333"/>
          <w:sz w:val="32"/>
          <w:szCs w:val="32"/>
          <w:lang w:eastAsia="zh-CN"/>
        </w:rPr>
        <w:t>购置费</w:t>
      </w:r>
      <w:r>
        <w:rPr>
          <w:rFonts w:hint="eastAsia" w:eastAsia="仿宋_GB2312"/>
          <w:color w:val="333333"/>
          <w:sz w:val="32"/>
          <w:szCs w:val="32"/>
          <w:lang w:val="en-US" w:eastAsia="zh-CN"/>
        </w:rPr>
        <w:t>0</w:t>
      </w:r>
      <w:r>
        <w:rPr>
          <w:rFonts w:eastAsia="仿宋_GB2312"/>
          <w:color w:val="333333"/>
          <w:sz w:val="32"/>
          <w:szCs w:val="32"/>
        </w:rPr>
        <w:t>万元</w:t>
      </w:r>
      <w:r>
        <w:rPr>
          <w:rFonts w:hint="eastAsia" w:eastAsia="仿宋_GB2312"/>
          <w:color w:val="333333"/>
          <w:sz w:val="32"/>
          <w:szCs w:val="32"/>
          <w:lang w:val="en-US" w:eastAsia="zh-CN"/>
        </w:rPr>
        <w:t>。</w:t>
      </w:r>
    </w:p>
    <w:p>
      <w:pPr>
        <w:spacing w:line="580" w:lineRule="exact"/>
        <w:jc w:val="center"/>
        <w:rPr>
          <w:rFonts w:eastAsia="仿宋"/>
          <w:b/>
          <w:sz w:val="32"/>
          <w:szCs w:val="32"/>
        </w:rPr>
      </w:pPr>
      <w:r>
        <w:rPr>
          <w:rFonts w:hint="eastAsia" w:eastAsia="仿宋"/>
          <w:b/>
          <w:sz w:val="32"/>
          <w:szCs w:val="32"/>
          <w:lang w:eastAsia="zh-CN"/>
        </w:rPr>
        <w:t>洪雅县人民法院</w:t>
      </w:r>
      <w:r>
        <w:rPr>
          <w:rFonts w:eastAsia="仿宋"/>
          <w:b/>
          <w:sz w:val="32"/>
          <w:szCs w:val="32"/>
        </w:rPr>
        <w:t xml:space="preserve"> </w:t>
      </w:r>
      <w:r>
        <w:rPr>
          <w:rFonts w:hint="eastAsia" w:eastAsia="仿宋"/>
          <w:b/>
          <w:sz w:val="32"/>
          <w:szCs w:val="32"/>
          <w:lang w:eastAsia="zh-CN"/>
        </w:rPr>
        <w:t>2026</w:t>
      </w:r>
      <w:r>
        <w:rPr>
          <w:rFonts w:eastAsia="仿宋"/>
          <w:b/>
          <w:sz w:val="32"/>
          <w:szCs w:val="32"/>
        </w:rPr>
        <w:t>年“三公经费”预算情况表</w:t>
      </w:r>
    </w:p>
    <w:tbl>
      <w:tblPr>
        <w:tblStyle w:val="7"/>
        <w:tblW w:w="8520" w:type="dxa"/>
        <w:tblInd w:w="0" w:type="dxa"/>
        <w:tblLayout w:type="fixed"/>
        <w:tblCellMar>
          <w:top w:w="15" w:type="dxa"/>
          <w:left w:w="15" w:type="dxa"/>
          <w:bottom w:w="15" w:type="dxa"/>
          <w:right w:w="15" w:type="dxa"/>
        </w:tblCellMar>
      </w:tblPr>
      <w:tblGrid>
        <w:gridCol w:w="2256"/>
        <w:gridCol w:w="474"/>
        <w:gridCol w:w="234"/>
        <w:gridCol w:w="636"/>
        <w:gridCol w:w="215"/>
        <w:gridCol w:w="835"/>
        <w:gridCol w:w="1095"/>
        <w:gridCol w:w="1110"/>
        <w:gridCol w:w="220"/>
        <w:gridCol w:w="1445"/>
      </w:tblGrid>
      <w:tr>
        <w:tblPrEx>
          <w:tblCellMar>
            <w:top w:w="15" w:type="dxa"/>
            <w:left w:w="15" w:type="dxa"/>
            <w:bottom w:w="15" w:type="dxa"/>
            <w:right w:w="15" w:type="dxa"/>
          </w:tblCellMar>
        </w:tblPrEx>
        <w:trPr>
          <w:trHeight w:val="285" w:hRule="atLeast"/>
        </w:trPr>
        <w:tc>
          <w:tcPr>
            <w:tcW w:w="2256" w:type="dxa"/>
            <w:noWrap w:val="0"/>
            <w:vAlign w:val="bottom"/>
          </w:tcPr>
          <w:p>
            <w:pPr>
              <w:spacing w:line="580" w:lineRule="exact"/>
              <w:rPr>
                <w:rFonts w:eastAsia="仿宋"/>
                <w:color w:val="000000"/>
                <w:sz w:val="24"/>
              </w:rPr>
            </w:pPr>
          </w:p>
        </w:tc>
        <w:tc>
          <w:tcPr>
            <w:tcW w:w="474" w:type="dxa"/>
            <w:noWrap w:val="0"/>
            <w:vAlign w:val="bottom"/>
          </w:tcPr>
          <w:p>
            <w:pPr>
              <w:spacing w:line="580" w:lineRule="exact"/>
              <w:rPr>
                <w:rFonts w:eastAsia="仿宋"/>
                <w:color w:val="000000"/>
                <w:sz w:val="24"/>
              </w:rPr>
            </w:pPr>
          </w:p>
        </w:tc>
        <w:tc>
          <w:tcPr>
            <w:tcW w:w="870" w:type="dxa"/>
            <w:gridSpan w:val="2"/>
            <w:noWrap w:val="0"/>
            <w:vAlign w:val="bottom"/>
          </w:tcPr>
          <w:p>
            <w:pPr>
              <w:spacing w:line="580" w:lineRule="exact"/>
              <w:rPr>
                <w:rFonts w:eastAsia="仿宋"/>
                <w:color w:val="000000"/>
                <w:sz w:val="24"/>
              </w:rPr>
            </w:pPr>
          </w:p>
        </w:tc>
        <w:tc>
          <w:tcPr>
            <w:tcW w:w="1050" w:type="dxa"/>
            <w:gridSpan w:val="2"/>
            <w:noWrap w:val="0"/>
            <w:vAlign w:val="bottom"/>
          </w:tcPr>
          <w:p>
            <w:pPr>
              <w:spacing w:line="580" w:lineRule="exact"/>
              <w:rPr>
                <w:rFonts w:eastAsia="仿宋"/>
                <w:color w:val="000000"/>
                <w:sz w:val="24"/>
              </w:rPr>
            </w:pPr>
          </w:p>
        </w:tc>
        <w:tc>
          <w:tcPr>
            <w:tcW w:w="1095" w:type="dxa"/>
            <w:noWrap w:val="0"/>
            <w:vAlign w:val="bottom"/>
          </w:tcPr>
          <w:p>
            <w:pPr>
              <w:spacing w:line="580" w:lineRule="exact"/>
              <w:rPr>
                <w:rFonts w:eastAsia="仿宋"/>
                <w:color w:val="000000"/>
                <w:sz w:val="24"/>
              </w:rPr>
            </w:pPr>
          </w:p>
        </w:tc>
        <w:tc>
          <w:tcPr>
            <w:tcW w:w="1110" w:type="dxa"/>
            <w:noWrap w:val="0"/>
            <w:vAlign w:val="bottom"/>
          </w:tcPr>
          <w:p>
            <w:pPr>
              <w:spacing w:line="580" w:lineRule="exact"/>
              <w:rPr>
                <w:rFonts w:eastAsia="仿宋"/>
                <w:color w:val="000000"/>
                <w:sz w:val="24"/>
              </w:rPr>
            </w:pPr>
          </w:p>
        </w:tc>
        <w:tc>
          <w:tcPr>
            <w:tcW w:w="1665" w:type="dxa"/>
            <w:gridSpan w:val="2"/>
            <w:noWrap w:val="0"/>
            <w:vAlign w:val="bottom"/>
          </w:tcPr>
          <w:p>
            <w:pPr>
              <w:widowControl/>
              <w:spacing w:line="580" w:lineRule="exact"/>
              <w:ind w:right="300"/>
              <w:jc w:val="right"/>
              <w:textAlignment w:val="bottom"/>
              <w:rPr>
                <w:rFonts w:eastAsia="仿宋"/>
                <w:color w:val="000000"/>
                <w:sz w:val="24"/>
              </w:rPr>
            </w:pPr>
            <w:r>
              <w:rPr>
                <w:rFonts w:eastAsia="仿宋"/>
                <w:color w:val="000000"/>
                <w:kern w:val="0"/>
                <w:sz w:val="24"/>
              </w:rPr>
              <w:t>单位：万元</w:t>
            </w:r>
          </w:p>
        </w:tc>
      </w:tr>
      <w:tr>
        <w:tblPrEx>
          <w:tblCellMar>
            <w:top w:w="15" w:type="dxa"/>
            <w:left w:w="15" w:type="dxa"/>
            <w:bottom w:w="15" w:type="dxa"/>
            <w:right w:w="15" w:type="dxa"/>
          </w:tblCellMar>
        </w:tblPrEx>
        <w:trPr>
          <w:trHeight w:val="386" w:hRule="atLeast"/>
        </w:trPr>
        <w:tc>
          <w:tcPr>
            <w:tcW w:w="2256"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580" w:lineRule="exact"/>
              <w:jc w:val="center"/>
              <w:textAlignment w:val="center"/>
              <w:rPr>
                <w:rFonts w:eastAsia="仿宋"/>
                <w:color w:val="000000"/>
                <w:sz w:val="24"/>
              </w:rPr>
            </w:pPr>
            <w:r>
              <w:rPr>
                <w:rFonts w:eastAsia="仿宋"/>
                <w:color w:val="000000"/>
                <w:kern w:val="0"/>
                <w:sz w:val="24"/>
              </w:rPr>
              <w:t>单位名称</w:t>
            </w:r>
          </w:p>
        </w:tc>
        <w:tc>
          <w:tcPr>
            <w:tcW w:w="6264" w:type="dxa"/>
            <w:gridSpan w:val="9"/>
            <w:tcBorders>
              <w:top w:val="single" w:color="000000" w:sz="4" w:space="0"/>
              <w:left w:val="single" w:color="000000" w:sz="4" w:space="0"/>
              <w:bottom w:val="single" w:color="000000" w:sz="4" w:space="0"/>
              <w:right w:val="single" w:color="000000" w:sz="4" w:space="0"/>
            </w:tcBorders>
            <w:noWrap w:val="0"/>
            <w:vAlign w:val="center"/>
          </w:tcPr>
          <w:p>
            <w:pPr>
              <w:widowControl/>
              <w:spacing w:line="580" w:lineRule="exact"/>
              <w:jc w:val="center"/>
              <w:textAlignment w:val="center"/>
              <w:rPr>
                <w:rFonts w:eastAsia="仿宋"/>
                <w:color w:val="000000"/>
                <w:sz w:val="24"/>
              </w:rPr>
            </w:pPr>
            <w:r>
              <w:rPr>
                <w:rFonts w:eastAsia="仿宋"/>
                <w:color w:val="000000"/>
                <w:kern w:val="0"/>
                <w:sz w:val="24"/>
              </w:rPr>
              <w:t>当年财政拨款预算安排</w:t>
            </w:r>
          </w:p>
        </w:tc>
      </w:tr>
      <w:tr>
        <w:tblPrEx>
          <w:tblCellMar>
            <w:top w:w="15" w:type="dxa"/>
            <w:left w:w="15" w:type="dxa"/>
            <w:bottom w:w="15" w:type="dxa"/>
            <w:right w:w="15" w:type="dxa"/>
          </w:tblCellMar>
        </w:tblPrEx>
        <w:trPr>
          <w:trHeight w:val="445" w:hRule="atLeast"/>
        </w:trPr>
        <w:tc>
          <w:tcPr>
            <w:tcW w:w="2256"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580" w:lineRule="exact"/>
              <w:jc w:val="center"/>
              <w:rPr>
                <w:rFonts w:eastAsia="仿宋"/>
                <w:color w:val="000000"/>
                <w:sz w:val="24"/>
              </w:rPr>
            </w:pPr>
          </w:p>
        </w:tc>
        <w:tc>
          <w:tcPr>
            <w:tcW w:w="708"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580" w:lineRule="exact"/>
              <w:jc w:val="center"/>
              <w:textAlignment w:val="center"/>
              <w:rPr>
                <w:rFonts w:eastAsia="仿宋"/>
                <w:color w:val="000000"/>
                <w:sz w:val="24"/>
              </w:rPr>
            </w:pPr>
            <w:r>
              <w:rPr>
                <w:rFonts w:eastAsia="仿宋"/>
                <w:color w:val="000000"/>
                <w:kern w:val="0"/>
                <w:sz w:val="24"/>
              </w:rPr>
              <w:t>合计</w:t>
            </w:r>
          </w:p>
        </w:tc>
        <w:tc>
          <w:tcPr>
            <w:tcW w:w="851"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580" w:lineRule="exact"/>
              <w:jc w:val="center"/>
              <w:textAlignment w:val="center"/>
              <w:rPr>
                <w:rFonts w:eastAsia="仿宋"/>
                <w:color w:val="000000"/>
                <w:sz w:val="24"/>
              </w:rPr>
            </w:pPr>
            <w:r>
              <w:rPr>
                <w:rFonts w:eastAsia="仿宋"/>
                <w:color w:val="000000"/>
                <w:kern w:val="0"/>
                <w:sz w:val="24"/>
              </w:rPr>
              <w:t>因公出国（境）费用</w:t>
            </w:r>
          </w:p>
        </w:tc>
        <w:tc>
          <w:tcPr>
            <w:tcW w:w="3260" w:type="dxa"/>
            <w:gridSpan w:val="4"/>
            <w:tcBorders>
              <w:top w:val="single" w:color="000000" w:sz="4" w:space="0"/>
              <w:left w:val="single" w:color="000000" w:sz="4" w:space="0"/>
              <w:bottom w:val="single" w:color="000000" w:sz="4" w:space="0"/>
              <w:right w:val="single" w:color="000000" w:sz="4" w:space="0"/>
            </w:tcBorders>
            <w:noWrap w:val="0"/>
            <w:vAlign w:val="top"/>
          </w:tcPr>
          <w:p>
            <w:pPr>
              <w:spacing w:line="580" w:lineRule="exact"/>
              <w:jc w:val="center"/>
              <w:rPr>
                <w:rFonts w:eastAsia="仿宋"/>
                <w:color w:val="000000"/>
                <w:sz w:val="24"/>
              </w:rPr>
            </w:pPr>
            <w:r>
              <w:rPr>
                <w:rFonts w:eastAsia="仿宋"/>
                <w:color w:val="000000"/>
                <w:kern w:val="0"/>
                <w:sz w:val="24"/>
              </w:rPr>
              <w:t>公务用车购置及运行费</w:t>
            </w:r>
          </w:p>
        </w:tc>
        <w:tc>
          <w:tcPr>
            <w:tcW w:w="144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580" w:lineRule="exact"/>
              <w:jc w:val="center"/>
              <w:textAlignment w:val="center"/>
              <w:rPr>
                <w:rFonts w:eastAsia="仿宋"/>
                <w:color w:val="000000"/>
                <w:sz w:val="24"/>
              </w:rPr>
            </w:pPr>
            <w:r>
              <w:rPr>
                <w:rFonts w:eastAsia="仿宋"/>
                <w:color w:val="000000"/>
                <w:kern w:val="0"/>
                <w:sz w:val="24"/>
              </w:rPr>
              <w:t>公务接待费</w:t>
            </w:r>
          </w:p>
        </w:tc>
      </w:tr>
      <w:tr>
        <w:tblPrEx>
          <w:tblCellMar>
            <w:top w:w="15" w:type="dxa"/>
            <w:left w:w="15" w:type="dxa"/>
            <w:bottom w:w="15" w:type="dxa"/>
            <w:right w:w="15" w:type="dxa"/>
          </w:tblCellMar>
        </w:tblPrEx>
        <w:trPr>
          <w:trHeight w:val="667" w:hRule="atLeast"/>
        </w:trPr>
        <w:tc>
          <w:tcPr>
            <w:tcW w:w="2256"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580" w:lineRule="exact"/>
              <w:jc w:val="center"/>
              <w:rPr>
                <w:rFonts w:eastAsia="仿宋"/>
                <w:color w:val="000000"/>
                <w:sz w:val="24"/>
              </w:rPr>
            </w:pPr>
          </w:p>
        </w:tc>
        <w:tc>
          <w:tcPr>
            <w:tcW w:w="708"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spacing w:line="580" w:lineRule="exact"/>
              <w:jc w:val="center"/>
              <w:rPr>
                <w:rFonts w:eastAsia="仿宋"/>
                <w:color w:val="000000"/>
                <w:sz w:val="24"/>
              </w:rPr>
            </w:pPr>
          </w:p>
        </w:tc>
        <w:tc>
          <w:tcPr>
            <w:tcW w:w="85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spacing w:line="580" w:lineRule="exact"/>
              <w:jc w:val="center"/>
              <w:rPr>
                <w:rFonts w:eastAsia="仿宋"/>
                <w:color w:val="000000"/>
                <w:sz w:val="24"/>
              </w:rPr>
            </w:pPr>
          </w:p>
        </w:tc>
        <w:tc>
          <w:tcPr>
            <w:tcW w:w="835" w:type="dxa"/>
            <w:tcBorders>
              <w:top w:val="single" w:color="000000" w:sz="4" w:space="0"/>
              <w:left w:val="single" w:color="000000" w:sz="4" w:space="0"/>
              <w:right w:val="single" w:color="000000" w:sz="4" w:space="0"/>
            </w:tcBorders>
            <w:noWrap w:val="0"/>
            <w:vAlign w:val="center"/>
          </w:tcPr>
          <w:p>
            <w:pPr>
              <w:widowControl/>
              <w:spacing w:line="580" w:lineRule="exact"/>
              <w:jc w:val="center"/>
              <w:textAlignment w:val="center"/>
              <w:rPr>
                <w:rFonts w:eastAsia="仿宋"/>
                <w:color w:val="000000"/>
                <w:sz w:val="24"/>
              </w:rPr>
            </w:pPr>
            <w:r>
              <w:rPr>
                <w:rFonts w:eastAsia="仿宋"/>
                <w:color w:val="000000"/>
                <w:kern w:val="0"/>
                <w:sz w:val="24"/>
              </w:rPr>
              <w:t>小计</w:t>
            </w:r>
          </w:p>
        </w:tc>
        <w:tc>
          <w:tcPr>
            <w:tcW w:w="1095" w:type="dxa"/>
            <w:tcBorders>
              <w:top w:val="single" w:color="000000" w:sz="4" w:space="0"/>
              <w:left w:val="single" w:color="000000" w:sz="4" w:space="0"/>
              <w:right w:val="single" w:color="000000" w:sz="4" w:space="0"/>
            </w:tcBorders>
            <w:noWrap w:val="0"/>
            <w:vAlign w:val="center"/>
          </w:tcPr>
          <w:p>
            <w:pPr>
              <w:widowControl/>
              <w:spacing w:line="580" w:lineRule="exact"/>
              <w:jc w:val="center"/>
              <w:textAlignment w:val="center"/>
              <w:rPr>
                <w:rFonts w:eastAsia="仿宋"/>
                <w:color w:val="000000"/>
                <w:sz w:val="24"/>
              </w:rPr>
            </w:pPr>
            <w:r>
              <w:rPr>
                <w:rFonts w:eastAsia="仿宋"/>
                <w:color w:val="000000"/>
                <w:kern w:val="0"/>
                <w:sz w:val="24"/>
              </w:rPr>
              <w:t>公务用车购置费</w:t>
            </w:r>
          </w:p>
        </w:tc>
        <w:tc>
          <w:tcPr>
            <w:tcW w:w="1330" w:type="dxa"/>
            <w:gridSpan w:val="2"/>
            <w:tcBorders>
              <w:top w:val="single" w:color="000000" w:sz="4" w:space="0"/>
              <w:left w:val="single" w:color="000000" w:sz="4" w:space="0"/>
              <w:right w:val="single" w:color="000000" w:sz="4" w:space="0"/>
            </w:tcBorders>
            <w:noWrap w:val="0"/>
            <w:vAlign w:val="center"/>
          </w:tcPr>
          <w:p>
            <w:pPr>
              <w:widowControl/>
              <w:spacing w:line="580" w:lineRule="exact"/>
              <w:jc w:val="center"/>
              <w:textAlignment w:val="center"/>
              <w:rPr>
                <w:rFonts w:eastAsia="仿宋"/>
                <w:color w:val="000000"/>
                <w:sz w:val="24"/>
              </w:rPr>
            </w:pPr>
            <w:r>
              <w:rPr>
                <w:rFonts w:eastAsia="仿宋"/>
                <w:color w:val="000000"/>
                <w:kern w:val="0"/>
                <w:sz w:val="24"/>
              </w:rPr>
              <w:t>公务用车运行费</w:t>
            </w:r>
          </w:p>
        </w:tc>
        <w:tc>
          <w:tcPr>
            <w:tcW w:w="144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580" w:lineRule="exact"/>
              <w:jc w:val="center"/>
              <w:rPr>
                <w:rFonts w:eastAsia="仿宋"/>
                <w:color w:val="000000"/>
                <w:sz w:val="24"/>
              </w:rPr>
            </w:pPr>
          </w:p>
        </w:tc>
      </w:tr>
      <w:tr>
        <w:tblPrEx>
          <w:tblCellMar>
            <w:top w:w="15" w:type="dxa"/>
            <w:left w:w="15" w:type="dxa"/>
            <w:bottom w:w="15" w:type="dxa"/>
            <w:right w:w="15" w:type="dxa"/>
          </w:tblCellMar>
        </w:tblPrEx>
        <w:trPr>
          <w:trHeight w:val="460" w:hRule="atLeast"/>
        </w:trPr>
        <w:tc>
          <w:tcPr>
            <w:tcW w:w="225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80" w:lineRule="exact"/>
              <w:jc w:val="center"/>
              <w:textAlignment w:val="center"/>
              <w:rPr>
                <w:rFonts w:eastAsia="仿宋"/>
                <w:color w:val="000000"/>
                <w:sz w:val="24"/>
              </w:rPr>
            </w:pPr>
            <w:r>
              <w:rPr>
                <w:rFonts w:eastAsia="仿宋"/>
                <w:color w:val="000000"/>
                <w:kern w:val="0"/>
                <w:sz w:val="24"/>
              </w:rPr>
              <w:t>合计</w:t>
            </w:r>
          </w:p>
        </w:tc>
        <w:tc>
          <w:tcPr>
            <w:tcW w:w="70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580" w:lineRule="exact"/>
              <w:jc w:val="left"/>
              <w:textAlignment w:val="center"/>
              <w:rPr>
                <w:rFonts w:eastAsia="仿宋"/>
                <w:color w:val="000000"/>
                <w:sz w:val="24"/>
              </w:rPr>
            </w:pPr>
          </w:p>
        </w:tc>
        <w:tc>
          <w:tcPr>
            <w:tcW w:w="851"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580" w:lineRule="exact"/>
              <w:rPr>
                <w:rFonts w:eastAsia="仿宋"/>
                <w:color w:val="000000"/>
                <w:sz w:val="24"/>
              </w:rPr>
            </w:pPr>
          </w:p>
        </w:tc>
        <w:tc>
          <w:tcPr>
            <w:tcW w:w="8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80" w:lineRule="exact"/>
              <w:jc w:val="left"/>
              <w:textAlignment w:val="center"/>
              <w:rPr>
                <w:rFonts w:eastAsia="仿宋"/>
                <w:color w:val="000000"/>
                <w:sz w:val="24"/>
              </w:rPr>
            </w:pPr>
          </w:p>
        </w:tc>
        <w:tc>
          <w:tcPr>
            <w:tcW w:w="1095" w:type="dxa"/>
            <w:tcBorders>
              <w:top w:val="single" w:color="000000" w:sz="4" w:space="0"/>
              <w:left w:val="single" w:color="000000" w:sz="4" w:space="0"/>
              <w:bottom w:val="single" w:color="000000" w:sz="4" w:space="0"/>
              <w:right w:val="single" w:color="000000" w:sz="4" w:space="0"/>
            </w:tcBorders>
            <w:noWrap w:val="0"/>
            <w:vAlign w:val="center"/>
          </w:tcPr>
          <w:p>
            <w:pPr>
              <w:spacing w:line="580" w:lineRule="exact"/>
              <w:rPr>
                <w:rFonts w:eastAsia="仿宋"/>
                <w:color w:val="000000"/>
                <w:sz w:val="24"/>
              </w:rPr>
            </w:pPr>
          </w:p>
        </w:tc>
        <w:tc>
          <w:tcPr>
            <w:tcW w:w="133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580" w:lineRule="exact"/>
              <w:jc w:val="left"/>
              <w:textAlignment w:val="center"/>
              <w:rPr>
                <w:rFonts w:eastAsia="仿宋"/>
                <w:color w:val="000000"/>
                <w:sz w:val="24"/>
              </w:rPr>
            </w:pPr>
          </w:p>
        </w:tc>
        <w:tc>
          <w:tcPr>
            <w:tcW w:w="144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80" w:lineRule="exact"/>
              <w:jc w:val="left"/>
              <w:textAlignment w:val="center"/>
              <w:rPr>
                <w:rFonts w:eastAsia="仿宋"/>
                <w:color w:val="000000"/>
                <w:sz w:val="24"/>
              </w:rPr>
            </w:pPr>
          </w:p>
        </w:tc>
      </w:tr>
      <w:tr>
        <w:tblPrEx>
          <w:tblCellMar>
            <w:top w:w="15" w:type="dxa"/>
            <w:left w:w="15" w:type="dxa"/>
            <w:bottom w:w="15" w:type="dxa"/>
            <w:right w:w="15" w:type="dxa"/>
          </w:tblCellMar>
        </w:tblPrEx>
        <w:trPr>
          <w:trHeight w:val="523" w:hRule="atLeast"/>
        </w:trPr>
        <w:tc>
          <w:tcPr>
            <w:tcW w:w="225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80" w:lineRule="exact"/>
              <w:jc w:val="center"/>
              <w:textAlignment w:val="center"/>
              <w:rPr>
                <w:rFonts w:eastAsia="仿宋"/>
                <w:color w:val="000000"/>
                <w:sz w:val="24"/>
              </w:rPr>
            </w:pPr>
            <w:r>
              <w:rPr>
                <w:rFonts w:hint="eastAsia" w:eastAsia="仿宋"/>
                <w:color w:val="000000"/>
                <w:kern w:val="0"/>
                <w:sz w:val="24"/>
                <w:lang w:eastAsia="zh-CN"/>
              </w:rPr>
              <w:t>洪雅县人民法院</w:t>
            </w:r>
            <w:r>
              <w:rPr>
                <w:rFonts w:eastAsia="仿宋"/>
                <w:color w:val="000000"/>
                <w:kern w:val="0"/>
                <w:sz w:val="24"/>
              </w:rPr>
              <w:t>（机关）</w:t>
            </w:r>
          </w:p>
        </w:tc>
        <w:tc>
          <w:tcPr>
            <w:tcW w:w="70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580" w:lineRule="exact"/>
              <w:jc w:val="center"/>
              <w:textAlignment w:val="center"/>
              <w:rPr>
                <w:rFonts w:hint="eastAsia" w:eastAsia="仿宋"/>
                <w:color w:val="000000"/>
                <w:sz w:val="24"/>
                <w:lang w:val="en-US" w:eastAsia="zh-CN"/>
              </w:rPr>
            </w:pPr>
            <w:r>
              <w:rPr>
                <w:rFonts w:hint="eastAsia" w:eastAsia="仿宋"/>
                <w:color w:val="000000"/>
                <w:sz w:val="24"/>
                <w:lang w:val="en-US" w:eastAsia="zh-CN"/>
              </w:rPr>
              <w:t>2</w:t>
            </w:r>
          </w:p>
        </w:tc>
        <w:tc>
          <w:tcPr>
            <w:tcW w:w="851"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580" w:lineRule="exact"/>
              <w:jc w:val="center"/>
              <w:rPr>
                <w:rFonts w:hint="eastAsia" w:eastAsia="仿宋"/>
                <w:color w:val="000000"/>
                <w:sz w:val="24"/>
                <w:lang w:val="en-US" w:eastAsia="zh-CN"/>
              </w:rPr>
            </w:pPr>
            <w:r>
              <w:rPr>
                <w:rFonts w:hint="eastAsia" w:eastAsia="仿宋"/>
                <w:color w:val="000000"/>
                <w:sz w:val="24"/>
                <w:lang w:val="en-US" w:eastAsia="zh-CN"/>
              </w:rPr>
              <w:t>0</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80" w:lineRule="exact"/>
              <w:jc w:val="center"/>
              <w:textAlignment w:val="center"/>
              <w:rPr>
                <w:rFonts w:hint="eastAsia" w:eastAsia="仿宋"/>
                <w:color w:val="000000"/>
                <w:sz w:val="24"/>
                <w:lang w:val="en-US" w:eastAsia="zh-CN"/>
              </w:rPr>
            </w:pPr>
            <w:r>
              <w:rPr>
                <w:rFonts w:hint="eastAsia" w:eastAsia="仿宋"/>
                <w:color w:val="000000"/>
                <w:sz w:val="24"/>
                <w:lang w:val="en-US" w:eastAsia="zh-CN"/>
              </w:rPr>
              <w:t>0</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pPr>
              <w:spacing w:line="580" w:lineRule="exact"/>
              <w:jc w:val="center"/>
              <w:rPr>
                <w:rFonts w:hint="eastAsia" w:eastAsia="仿宋"/>
                <w:color w:val="000000"/>
                <w:sz w:val="24"/>
                <w:lang w:val="en-US" w:eastAsia="zh-CN"/>
              </w:rPr>
            </w:pPr>
            <w:r>
              <w:rPr>
                <w:rFonts w:hint="eastAsia" w:eastAsia="仿宋"/>
                <w:color w:val="000000"/>
                <w:sz w:val="24"/>
                <w:lang w:val="en-US" w:eastAsia="zh-CN"/>
              </w:rPr>
              <w:t>0</w:t>
            </w:r>
          </w:p>
        </w:tc>
        <w:tc>
          <w:tcPr>
            <w:tcW w:w="133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580" w:lineRule="exact"/>
              <w:jc w:val="center"/>
              <w:textAlignment w:val="center"/>
              <w:rPr>
                <w:rFonts w:hint="eastAsia" w:eastAsia="仿宋"/>
                <w:color w:val="000000"/>
                <w:sz w:val="24"/>
                <w:lang w:val="en-US" w:eastAsia="zh-CN"/>
              </w:rPr>
            </w:pPr>
            <w:r>
              <w:rPr>
                <w:rFonts w:hint="eastAsia" w:eastAsia="仿宋"/>
                <w:color w:val="000000"/>
                <w:sz w:val="24"/>
                <w:lang w:val="en-US" w:eastAsia="zh-CN"/>
              </w:rPr>
              <w:t>0</w:t>
            </w:r>
          </w:p>
        </w:tc>
        <w:tc>
          <w:tcPr>
            <w:tcW w:w="144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80" w:lineRule="exact"/>
              <w:jc w:val="center"/>
              <w:textAlignment w:val="center"/>
              <w:rPr>
                <w:rFonts w:hint="eastAsia" w:eastAsia="仿宋"/>
                <w:color w:val="000000"/>
                <w:sz w:val="24"/>
                <w:lang w:val="en-US" w:eastAsia="zh-CN"/>
              </w:rPr>
            </w:pPr>
            <w:r>
              <w:rPr>
                <w:rFonts w:hint="eastAsia" w:eastAsia="仿宋"/>
                <w:color w:val="000000"/>
                <w:sz w:val="24"/>
                <w:lang w:val="en-US" w:eastAsia="zh-CN"/>
              </w:rPr>
              <w:t>2</w:t>
            </w:r>
          </w:p>
        </w:tc>
      </w:tr>
    </w:tbl>
    <w:p>
      <w:pPr>
        <w:spacing w:line="580" w:lineRule="exact"/>
        <w:rPr>
          <w:rFonts w:eastAsia="黑体"/>
          <w:color w:val="333333"/>
          <w:sz w:val="32"/>
          <w:szCs w:val="32"/>
        </w:rPr>
      </w:pPr>
    </w:p>
    <w:p>
      <w:pPr>
        <w:spacing w:line="580" w:lineRule="exact"/>
        <w:ind w:firstLine="640" w:firstLineChars="200"/>
        <w:rPr>
          <w:rFonts w:eastAsia="黑体"/>
          <w:color w:val="333333"/>
          <w:sz w:val="32"/>
          <w:szCs w:val="32"/>
        </w:rPr>
      </w:pPr>
      <w:r>
        <w:rPr>
          <w:rFonts w:eastAsia="黑体"/>
          <w:color w:val="333333"/>
          <w:sz w:val="32"/>
          <w:szCs w:val="32"/>
        </w:rPr>
        <w:t>八、政府性基金预算收支情况说明</w:t>
      </w:r>
    </w:p>
    <w:p>
      <w:pPr>
        <w:spacing w:line="580" w:lineRule="exact"/>
        <w:ind w:firstLine="640" w:firstLineChars="200"/>
        <w:rPr>
          <w:rFonts w:eastAsia="仿宋_GB2312"/>
          <w:color w:val="333333"/>
          <w:sz w:val="32"/>
          <w:szCs w:val="32"/>
        </w:rPr>
      </w:pPr>
      <w:r>
        <w:rPr>
          <w:rFonts w:hint="eastAsia" w:eastAsia="仿宋_GB2312"/>
          <w:color w:val="333333"/>
          <w:sz w:val="32"/>
          <w:szCs w:val="32"/>
          <w:lang w:eastAsia="zh-CN"/>
        </w:rPr>
        <w:t>洪雅县人民法院2026</w:t>
      </w:r>
      <w:r>
        <w:rPr>
          <w:rFonts w:eastAsia="仿宋_GB2312"/>
          <w:color w:val="333333"/>
          <w:sz w:val="32"/>
          <w:szCs w:val="32"/>
        </w:rPr>
        <w:t>年</w:t>
      </w:r>
      <w:r>
        <w:rPr>
          <w:rFonts w:hint="eastAsia" w:eastAsia="仿宋_GB2312"/>
          <w:color w:val="333333"/>
          <w:sz w:val="32"/>
          <w:szCs w:val="32"/>
          <w:lang w:eastAsia="zh-CN"/>
        </w:rPr>
        <w:t>无</w:t>
      </w:r>
      <w:r>
        <w:rPr>
          <w:rFonts w:eastAsia="仿宋_GB2312"/>
          <w:color w:val="333333"/>
          <w:sz w:val="32"/>
          <w:szCs w:val="32"/>
        </w:rPr>
        <w:t>政府性基金预算安排的收入和支出。</w:t>
      </w:r>
    </w:p>
    <w:p>
      <w:pPr>
        <w:spacing w:line="580" w:lineRule="exact"/>
        <w:ind w:firstLine="640" w:firstLineChars="200"/>
        <w:rPr>
          <w:rFonts w:eastAsia="黑体"/>
          <w:color w:val="333333"/>
          <w:sz w:val="32"/>
          <w:szCs w:val="32"/>
        </w:rPr>
      </w:pPr>
      <w:r>
        <w:rPr>
          <w:rFonts w:eastAsia="黑体"/>
          <w:color w:val="333333"/>
          <w:sz w:val="32"/>
          <w:szCs w:val="32"/>
        </w:rPr>
        <w:t>九、国有资本经营预算收支情况说明</w:t>
      </w:r>
    </w:p>
    <w:p>
      <w:pPr>
        <w:spacing w:line="580" w:lineRule="exact"/>
        <w:ind w:firstLine="640" w:firstLineChars="200"/>
        <w:rPr>
          <w:rFonts w:eastAsia="仿宋_GB2312"/>
          <w:color w:val="333333"/>
          <w:sz w:val="32"/>
          <w:szCs w:val="32"/>
        </w:rPr>
      </w:pPr>
      <w:r>
        <w:rPr>
          <w:rFonts w:hint="eastAsia" w:eastAsia="仿宋_GB2312"/>
          <w:color w:val="333333"/>
          <w:sz w:val="32"/>
          <w:szCs w:val="32"/>
          <w:lang w:eastAsia="zh-CN"/>
        </w:rPr>
        <w:t>洪雅县人民法院2026</w:t>
      </w:r>
      <w:r>
        <w:rPr>
          <w:rFonts w:eastAsia="仿宋_GB2312"/>
          <w:color w:val="333333"/>
          <w:sz w:val="32"/>
          <w:szCs w:val="32"/>
        </w:rPr>
        <w:t>年</w:t>
      </w:r>
      <w:r>
        <w:rPr>
          <w:rFonts w:hint="eastAsia" w:eastAsia="仿宋_GB2312"/>
          <w:color w:val="333333"/>
          <w:sz w:val="32"/>
          <w:szCs w:val="32"/>
          <w:lang w:eastAsia="zh-CN"/>
        </w:rPr>
        <w:t>无</w:t>
      </w:r>
      <w:r>
        <w:rPr>
          <w:rFonts w:eastAsia="仿宋_GB2312"/>
          <w:color w:val="333333"/>
          <w:sz w:val="32"/>
          <w:szCs w:val="32"/>
        </w:rPr>
        <w:t>国有资本经营预算安排的收入和支出。</w:t>
      </w:r>
    </w:p>
    <w:p>
      <w:pPr>
        <w:spacing w:line="580" w:lineRule="exact"/>
        <w:ind w:firstLine="640" w:firstLineChars="200"/>
        <w:rPr>
          <w:rFonts w:eastAsia="黑体"/>
          <w:color w:val="333333"/>
          <w:sz w:val="32"/>
          <w:szCs w:val="32"/>
        </w:rPr>
      </w:pPr>
      <w:r>
        <w:rPr>
          <w:rFonts w:eastAsia="黑体"/>
          <w:color w:val="333333"/>
          <w:sz w:val="32"/>
          <w:szCs w:val="32"/>
        </w:rPr>
        <w:t>十、其他重要事项说明</w:t>
      </w:r>
    </w:p>
    <w:p>
      <w:pPr>
        <w:spacing w:line="580" w:lineRule="exact"/>
        <w:ind w:firstLine="640" w:firstLineChars="200"/>
        <w:rPr>
          <w:rFonts w:eastAsia="楷体_GB2312"/>
          <w:color w:val="333333"/>
          <w:sz w:val="32"/>
          <w:szCs w:val="32"/>
        </w:rPr>
      </w:pPr>
      <w:r>
        <w:rPr>
          <w:rFonts w:eastAsia="楷体_GB2312"/>
          <w:color w:val="333333"/>
          <w:sz w:val="32"/>
          <w:szCs w:val="32"/>
        </w:rPr>
        <w:t>（一）机关运行经费情况</w:t>
      </w:r>
    </w:p>
    <w:p>
      <w:pPr>
        <w:spacing w:line="580" w:lineRule="exact"/>
        <w:ind w:firstLine="640" w:firstLineChars="200"/>
        <w:rPr>
          <w:rFonts w:hint="eastAsia" w:eastAsia="仿宋_GB2312"/>
          <w:color w:val="333333"/>
          <w:sz w:val="32"/>
          <w:szCs w:val="32"/>
          <w:lang w:eastAsia="zh-CN"/>
        </w:rPr>
      </w:pPr>
      <w:r>
        <w:rPr>
          <w:rFonts w:hint="eastAsia" w:eastAsia="仿宋_GB2312"/>
          <w:color w:val="333333"/>
          <w:sz w:val="32"/>
          <w:szCs w:val="32"/>
          <w:lang w:eastAsia="zh-CN"/>
        </w:rPr>
        <w:t>2026</w:t>
      </w:r>
      <w:r>
        <w:rPr>
          <w:rFonts w:eastAsia="仿宋_GB2312"/>
          <w:color w:val="333333"/>
          <w:sz w:val="32"/>
          <w:szCs w:val="32"/>
        </w:rPr>
        <w:t>年，</w:t>
      </w:r>
      <w:r>
        <w:rPr>
          <w:rFonts w:hint="eastAsia" w:eastAsia="仿宋_GB2312"/>
          <w:color w:val="333333"/>
          <w:sz w:val="32"/>
          <w:szCs w:val="32"/>
          <w:lang w:eastAsia="zh-CN"/>
        </w:rPr>
        <w:t>洪雅县人民法院安排</w:t>
      </w:r>
      <w:r>
        <w:rPr>
          <w:rFonts w:eastAsia="仿宋_GB2312"/>
          <w:color w:val="333333"/>
          <w:sz w:val="32"/>
          <w:szCs w:val="32"/>
        </w:rPr>
        <w:t>机关运行经费财政拨款预算为</w:t>
      </w:r>
      <w:r>
        <w:rPr>
          <w:rFonts w:hint="eastAsia" w:eastAsia="仿宋_GB2312"/>
          <w:color w:val="333333"/>
          <w:sz w:val="32"/>
          <w:szCs w:val="32"/>
          <w:lang w:val="en-US" w:eastAsia="zh-CN"/>
        </w:rPr>
        <w:t>190.4</w:t>
      </w:r>
      <w:r>
        <w:rPr>
          <w:rFonts w:eastAsia="仿宋_GB2312"/>
          <w:color w:val="333333"/>
          <w:sz w:val="32"/>
          <w:szCs w:val="32"/>
        </w:rPr>
        <w:t>万元，</w:t>
      </w:r>
      <w:r>
        <w:rPr>
          <w:rFonts w:hint="eastAsia" w:eastAsia="仿宋_GB2312"/>
          <w:color w:val="333333"/>
          <w:sz w:val="32"/>
          <w:szCs w:val="32"/>
          <w:lang w:val="en-US" w:eastAsia="zh-CN"/>
        </w:rPr>
        <w:t>与2025年无变化。</w:t>
      </w:r>
      <w:r>
        <w:rPr>
          <w:rFonts w:eastAsia="仿宋_GB2312"/>
          <w:color w:val="333333"/>
          <w:sz w:val="32"/>
          <w:szCs w:val="32"/>
        </w:rPr>
        <w:t>主要原因是</w:t>
      </w:r>
      <w:r>
        <w:rPr>
          <w:rFonts w:eastAsia="仿宋_GB2312"/>
          <w:kern w:val="0"/>
          <w:sz w:val="32"/>
          <w:szCs w:val="32"/>
        </w:rPr>
        <w:t>继续牢固树立过紧日子思想，</w:t>
      </w:r>
      <w:r>
        <w:rPr>
          <w:rFonts w:hint="eastAsia" w:eastAsia="仿宋_GB2312"/>
          <w:kern w:val="0"/>
          <w:sz w:val="32"/>
          <w:szCs w:val="32"/>
        </w:rPr>
        <w:t>严格执行《眉山市人民政府办公室关于进一步厉行节约过紧日子的通知》相关要求</w:t>
      </w:r>
      <w:r>
        <w:rPr>
          <w:rFonts w:hint="eastAsia" w:eastAsia="仿宋_GB2312"/>
          <w:kern w:val="0"/>
          <w:sz w:val="32"/>
          <w:szCs w:val="32"/>
          <w:lang w:eastAsia="zh-CN"/>
        </w:rPr>
        <w:t>，</w:t>
      </w:r>
      <w:r>
        <w:rPr>
          <w:rFonts w:eastAsia="仿宋_GB2312"/>
          <w:color w:val="333333"/>
          <w:sz w:val="32"/>
          <w:szCs w:val="32"/>
        </w:rPr>
        <w:t>进一步压紧行政运行经费</w:t>
      </w:r>
      <w:r>
        <w:rPr>
          <w:rFonts w:hint="eastAsia" w:eastAsia="仿宋_GB2312"/>
          <w:color w:val="333333"/>
          <w:sz w:val="32"/>
          <w:szCs w:val="32"/>
          <w:lang w:eastAsia="zh-CN"/>
        </w:rPr>
        <w:t>。</w:t>
      </w:r>
    </w:p>
    <w:p>
      <w:pPr>
        <w:spacing w:line="580" w:lineRule="exact"/>
        <w:ind w:firstLine="640" w:firstLineChars="200"/>
        <w:rPr>
          <w:rFonts w:eastAsia="楷体_GB2312"/>
          <w:color w:val="333333"/>
          <w:sz w:val="32"/>
          <w:szCs w:val="32"/>
        </w:rPr>
      </w:pPr>
      <w:r>
        <w:rPr>
          <w:rFonts w:eastAsia="楷体_GB2312"/>
          <w:color w:val="333333"/>
          <w:sz w:val="32"/>
          <w:szCs w:val="32"/>
        </w:rPr>
        <w:t>（</w:t>
      </w:r>
      <w:r>
        <w:rPr>
          <w:rFonts w:hint="eastAsia" w:eastAsia="楷体_GB2312"/>
          <w:color w:val="333333"/>
          <w:sz w:val="32"/>
          <w:szCs w:val="32"/>
          <w:lang w:eastAsia="zh-CN"/>
        </w:rPr>
        <w:t>二</w:t>
      </w:r>
      <w:r>
        <w:rPr>
          <w:rFonts w:eastAsia="楷体_GB2312"/>
          <w:color w:val="333333"/>
          <w:sz w:val="32"/>
          <w:szCs w:val="32"/>
        </w:rPr>
        <w:t>）国有资产占用情况</w:t>
      </w:r>
    </w:p>
    <w:p>
      <w:pPr>
        <w:spacing w:line="580" w:lineRule="exact"/>
        <w:ind w:firstLine="640" w:firstLineChars="200"/>
        <w:rPr>
          <w:rFonts w:eastAsia="仿宋_GB2312"/>
          <w:color w:val="333333"/>
          <w:sz w:val="32"/>
          <w:szCs w:val="32"/>
        </w:rPr>
      </w:pPr>
      <w:r>
        <w:rPr>
          <w:rFonts w:eastAsia="仿宋_GB2312"/>
          <w:color w:val="333333"/>
          <w:sz w:val="32"/>
          <w:szCs w:val="32"/>
        </w:rPr>
        <w:t>截至202</w:t>
      </w:r>
      <w:r>
        <w:rPr>
          <w:rFonts w:hint="eastAsia" w:eastAsia="仿宋_GB2312"/>
          <w:color w:val="333333"/>
          <w:sz w:val="32"/>
          <w:szCs w:val="32"/>
          <w:lang w:val="en-US" w:eastAsia="zh-CN"/>
        </w:rPr>
        <w:t>5</w:t>
      </w:r>
      <w:r>
        <w:rPr>
          <w:rFonts w:eastAsia="仿宋_GB2312"/>
          <w:color w:val="333333"/>
          <w:sz w:val="32"/>
          <w:szCs w:val="32"/>
        </w:rPr>
        <w:t>年底，</w:t>
      </w:r>
      <w:r>
        <w:rPr>
          <w:rFonts w:hint="eastAsia" w:eastAsia="仿宋_GB2312"/>
          <w:color w:val="333333"/>
          <w:sz w:val="32"/>
          <w:szCs w:val="32"/>
          <w:lang w:eastAsia="zh-CN"/>
        </w:rPr>
        <w:t>洪雅县人民法院固定资产原值</w:t>
      </w:r>
      <w:r>
        <w:rPr>
          <w:rFonts w:hint="eastAsia" w:eastAsia="仿宋_GB2312"/>
          <w:color w:val="333333"/>
          <w:sz w:val="32"/>
          <w:szCs w:val="32"/>
          <w:lang w:val="en-US" w:eastAsia="zh-CN"/>
        </w:rPr>
        <w:t>3343.98万元，累计折旧1504.57万元，其中，土地、房屋及构建物1846.86万元，设备1330.29万元，家具166.83万元，</w:t>
      </w:r>
      <w:r>
        <w:rPr>
          <w:rFonts w:eastAsia="仿宋_GB2312"/>
          <w:color w:val="333333"/>
          <w:sz w:val="32"/>
          <w:szCs w:val="32"/>
        </w:rPr>
        <w:t>价值100万以上大型设备0套。</w:t>
      </w:r>
    </w:p>
    <w:p>
      <w:pPr>
        <w:spacing w:line="580" w:lineRule="exact"/>
        <w:ind w:firstLine="640" w:firstLineChars="200"/>
        <w:rPr>
          <w:rFonts w:hint="eastAsia" w:eastAsia="仿宋_GB2312"/>
          <w:color w:val="333333"/>
          <w:sz w:val="32"/>
          <w:szCs w:val="32"/>
          <w:lang w:eastAsia="zh-CN"/>
        </w:rPr>
      </w:pPr>
      <w:r>
        <w:rPr>
          <w:rFonts w:hint="eastAsia" w:eastAsia="仿宋_GB2312"/>
          <w:color w:val="333333"/>
          <w:sz w:val="32"/>
          <w:szCs w:val="32"/>
          <w:lang w:val="en-US" w:eastAsia="zh-CN"/>
        </w:rPr>
        <w:t>截止2025年底，</w:t>
      </w:r>
      <w:r>
        <w:rPr>
          <w:rFonts w:hint="eastAsia" w:eastAsia="仿宋_GB2312"/>
          <w:color w:val="333333"/>
          <w:sz w:val="32"/>
          <w:szCs w:val="32"/>
          <w:lang w:eastAsia="zh-CN"/>
        </w:rPr>
        <w:t>洪雅县人民法院</w:t>
      </w:r>
      <w:r>
        <w:rPr>
          <w:rFonts w:eastAsia="仿宋_GB2312"/>
          <w:color w:val="333333"/>
          <w:sz w:val="32"/>
          <w:szCs w:val="32"/>
        </w:rPr>
        <w:t>共有</w:t>
      </w:r>
      <w:r>
        <w:rPr>
          <w:rFonts w:hint="eastAsia" w:eastAsia="仿宋_GB2312"/>
          <w:color w:val="333333"/>
          <w:sz w:val="32"/>
          <w:szCs w:val="32"/>
          <w:lang w:eastAsia="zh-CN"/>
        </w:rPr>
        <w:t>执法执勤</w:t>
      </w:r>
      <w:r>
        <w:rPr>
          <w:rFonts w:eastAsia="仿宋_GB2312"/>
          <w:color w:val="333333"/>
          <w:sz w:val="32"/>
          <w:szCs w:val="32"/>
        </w:rPr>
        <w:t>车辆</w:t>
      </w:r>
      <w:r>
        <w:rPr>
          <w:rFonts w:hint="eastAsia" w:eastAsia="仿宋_GB2312"/>
          <w:color w:val="333333"/>
          <w:sz w:val="32"/>
          <w:szCs w:val="32"/>
          <w:lang w:val="en-US" w:eastAsia="zh-CN"/>
        </w:rPr>
        <w:t>15</w:t>
      </w:r>
      <w:r>
        <w:rPr>
          <w:rFonts w:eastAsia="仿宋_GB2312"/>
          <w:color w:val="333333"/>
          <w:sz w:val="32"/>
          <w:szCs w:val="32"/>
        </w:rPr>
        <w:t>辆</w:t>
      </w:r>
      <w:r>
        <w:rPr>
          <w:rFonts w:hint="eastAsia" w:eastAsia="仿宋_GB2312"/>
          <w:color w:val="333333"/>
          <w:sz w:val="32"/>
          <w:szCs w:val="32"/>
          <w:lang w:eastAsia="zh-CN"/>
        </w:rPr>
        <w:t>。</w:t>
      </w:r>
    </w:p>
    <w:p>
      <w:pPr>
        <w:spacing w:line="580" w:lineRule="exact"/>
        <w:ind w:firstLine="640" w:firstLineChars="200"/>
        <w:rPr>
          <w:rFonts w:eastAsia="仿宋_GB2312"/>
          <w:color w:val="333333"/>
          <w:sz w:val="32"/>
          <w:szCs w:val="32"/>
        </w:rPr>
      </w:pPr>
      <w:r>
        <w:rPr>
          <w:rFonts w:hint="eastAsia" w:eastAsia="仿宋_GB2312"/>
          <w:color w:val="333333"/>
          <w:sz w:val="32"/>
          <w:szCs w:val="32"/>
          <w:lang w:eastAsia="zh-CN"/>
        </w:rPr>
        <w:t>2026</w:t>
      </w:r>
      <w:r>
        <w:rPr>
          <w:rFonts w:eastAsia="仿宋_GB2312"/>
          <w:color w:val="333333"/>
          <w:sz w:val="32"/>
          <w:szCs w:val="32"/>
        </w:rPr>
        <w:t>年部门预算未安排购置车辆和价值100万元以上的大型设备。</w:t>
      </w:r>
    </w:p>
    <w:p>
      <w:pPr>
        <w:spacing w:line="580" w:lineRule="exact"/>
        <w:ind w:firstLine="640" w:firstLineChars="200"/>
        <w:rPr>
          <w:rFonts w:eastAsia="楷体_GB2312"/>
          <w:color w:val="333333"/>
          <w:sz w:val="32"/>
          <w:szCs w:val="32"/>
        </w:rPr>
      </w:pPr>
      <w:r>
        <w:rPr>
          <w:rFonts w:eastAsia="楷体_GB2312"/>
          <w:color w:val="333333"/>
          <w:sz w:val="32"/>
          <w:szCs w:val="32"/>
        </w:rPr>
        <w:t>（</w:t>
      </w:r>
      <w:r>
        <w:rPr>
          <w:rFonts w:hint="eastAsia" w:eastAsia="楷体_GB2312"/>
          <w:color w:val="333333"/>
          <w:sz w:val="32"/>
          <w:szCs w:val="32"/>
          <w:lang w:eastAsia="zh-CN"/>
        </w:rPr>
        <w:t>三</w:t>
      </w:r>
      <w:r>
        <w:rPr>
          <w:rFonts w:eastAsia="楷体_GB2312"/>
          <w:color w:val="333333"/>
          <w:sz w:val="32"/>
          <w:szCs w:val="32"/>
        </w:rPr>
        <w:t>）项目绩效目标设置情况</w:t>
      </w:r>
    </w:p>
    <w:p>
      <w:pPr>
        <w:spacing w:line="580" w:lineRule="exact"/>
        <w:ind w:firstLine="640" w:firstLineChars="200"/>
        <w:rPr>
          <w:rFonts w:hint="eastAsia" w:eastAsia="仿宋_GB2312"/>
          <w:color w:val="333333"/>
          <w:sz w:val="32"/>
          <w:szCs w:val="32"/>
          <w:lang w:val="en-US" w:eastAsia="zh-CN"/>
        </w:rPr>
      </w:pPr>
      <w:r>
        <w:rPr>
          <w:rFonts w:hint="eastAsia" w:eastAsia="仿宋_GB2312"/>
          <w:color w:val="333333"/>
          <w:sz w:val="32"/>
          <w:szCs w:val="32"/>
          <w:lang w:eastAsia="zh-CN"/>
        </w:rPr>
        <w:t>按照全面实施预算绩效管理要求，</w:t>
      </w:r>
      <w:r>
        <w:rPr>
          <w:rFonts w:hint="eastAsia" w:eastAsia="仿宋_GB2312"/>
          <w:color w:val="333333"/>
          <w:sz w:val="32"/>
          <w:szCs w:val="32"/>
          <w:lang w:val="en-US" w:eastAsia="zh-CN"/>
        </w:rPr>
        <w:t>2026年洪雅县人民法院5个项目实现绩效目标管理，涉及预算项目资金402万元，1、后勤物管服务专项经费54万元，主要保障机关绿化、保洁炊事等。2、审判业务及辅助经费348万元，为促进提升审判体系和审判能力现代化水平，进一步完善立案、审判、执行及法院日常行政事务性制度工作体系，不断提升审判质量和效率，此项目主要用于洪雅县人民法院聘用制书记员工作经费、培训办案业务、审判辅助人员劳务经费、文化建设实质化工作、诉非衔接人员调解员工作经费、破产案件财产补助基金、“集约送达、基础设施的建设改造及换装经费、网格员工作经费、智慧执行系统服务经费、互联网远程庭审平台建设、业务设备购置、档案数字化等涉及办案、审判、执行项目的实施（项目绩效目标和整体绩效目标详见附件6、附表7）。</w:t>
      </w:r>
    </w:p>
    <w:p>
      <w:pPr>
        <w:spacing w:line="580" w:lineRule="exact"/>
        <w:ind w:firstLine="640" w:firstLineChars="200"/>
        <w:rPr>
          <w:rFonts w:eastAsia="黑体"/>
          <w:color w:val="333333"/>
          <w:sz w:val="32"/>
          <w:szCs w:val="32"/>
        </w:rPr>
      </w:pPr>
      <w:r>
        <w:rPr>
          <w:rFonts w:eastAsia="黑体"/>
          <w:color w:val="333333"/>
          <w:sz w:val="32"/>
          <w:szCs w:val="32"/>
        </w:rPr>
        <w:t>十一、名词解释</w:t>
      </w:r>
    </w:p>
    <w:p>
      <w:pPr>
        <w:spacing w:line="580" w:lineRule="exact"/>
        <w:ind w:firstLine="630"/>
        <w:rPr>
          <w:rFonts w:eastAsia="仿宋"/>
          <w:sz w:val="32"/>
          <w:szCs w:val="32"/>
        </w:rPr>
      </w:pPr>
      <w:r>
        <w:rPr>
          <w:rFonts w:eastAsia="仿宋_GB2312"/>
          <w:bCs/>
          <w:sz w:val="32"/>
          <w:szCs w:val="20"/>
        </w:rPr>
        <w:t>对预算公开信息中涉及专项名词进行解释</w:t>
      </w:r>
      <w:r>
        <w:rPr>
          <w:rFonts w:eastAsia="仿宋"/>
          <w:sz w:val="32"/>
          <w:szCs w:val="32"/>
        </w:rPr>
        <w:t>。</w:t>
      </w:r>
    </w:p>
    <w:p>
      <w:pPr>
        <w:spacing w:line="580" w:lineRule="exact"/>
        <w:ind w:firstLine="630"/>
        <w:rPr>
          <w:rFonts w:eastAsia="仿宋_GB2312"/>
          <w:color w:val="333333"/>
          <w:sz w:val="32"/>
          <w:szCs w:val="32"/>
        </w:rPr>
      </w:pPr>
      <w:r>
        <w:rPr>
          <w:rFonts w:eastAsia="仿宋"/>
          <w:sz w:val="32"/>
          <w:szCs w:val="32"/>
        </w:rPr>
        <w:t>如：</w:t>
      </w:r>
      <w:r>
        <w:rPr>
          <w:rFonts w:eastAsia="仿宋_GB2312"/>
          <w:color w:val="333333"/>
          <w:sz w:val="32"/>
          <w:szCs w:val="32"/>
        </w:rPr>
        <w:t>（一）一般公共预算拨款收入：指市级财政当年拨付的资金。</w:t>
      </w:r>
    </w:p>
    <w:p>
      <w:pPr>
        <w:spacing w:line="580" w:lineRule="exact"/>
        <w:ind w:firstLine="630"/>
        <w:rPr>
          <w:rFonts w:eastAsia="仿宋_GB2312"/>
          <w:color w:val="333333"/>
          <w:sz w:val="32"/>
          <w:szCs w:val="32"/>
        </w:rPr>
      </w:pPr>
      <w:r>
        <w:rPr>
          <w:rFonts w:eastAsia="仿宋_GB2312"/>
          <w:color w:val="333333"/>
          <w:sz w:val="32"/>
          <w:szCs w:val="32"/>
        </w:rPr>
        <w:t>（二）基本支出：指为保证机构正常运转，完成日常工作任务而发生的人员支出和公用支出。</w:t>
      </w:r>
      <w:r>
        <w:rPr>
          <w:rFonts w:eastAsia="仿宋_GB2312"/>
          <w:color w:val="333333"/>
          <w:sz w:val="32"/>
          <w:szCs w:val="32"/>
        </w:rPr>
        <w:br w:type="textWrapping"/>
      </w:r>
      <w:r>
        <w:rPr>
          <w:rFonts w:eastAsia="仿宋_GB2312"/>
          <w:color w:val="333333"/>
          <w:sz w:val="32"/>
          <w:szCs w:val="32"/>
        </w:rPr>
        <w:t xml:space="preserve">    （三）项目支出：指在基本支出之外为完成特定行政任务和事业发展目标所发生的支出。</w:t>
      </w:r>
    </w:p>
    <w:p>
      <w:pPr>
        <w:spacing w:line="580" w:lineRule="exact"/>
        <w:ind w:firstLine="630"/>
        <w:rPr>
          <w:rFonts w:eastAsia="仿宋_GB2312"/>
          <w:color w:val="333333"/>
          <w:sz w:val="32"/>
          <w:szCs w:val="32"/>
        </w:rPr>
      </w:pPr>
      <w:r>
        <w:rPr>
          <w:rFonts w:eastAsia="仿宋_GB2312"/>
          <w:color w:val="333333"/>
          <w:sz w:val="32"/>
          <w:szCs w:val="32"/>
        </w:rPr>
        <w:t>（四）</w:t>
      </w:r>
      <w:r>
        <w:rPr>
          <w:rFonts w:hint="eastAsia" w:eastAsia="仿宋_GB2312"/>
          <w:color w:val="333333"/>
          <w:sz w:val="32"/>
          <w:szCs w:val="32"/>
          <w:lang w:eastAsia="zh-CN"/>
        </w:rPr>
        <w:t>“</w:t>
      </w:r>
      <w:r>
        <w:rPr>
          <w:rFonts w:eastAsia="仿宋_GB2312"/>
          <w:color w:val="333333"/>
          <w:sz w:val="32"/>
          <w:szCs w:val="32"/>
        </w:rPr>
        <w:t>三公”经费：纳入市财政局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80" w:lineRule="exact"/>
        <w:ind w:firstLine="630"/>
      </w:pPr>
      <w:r>
        <w:rPr>
          <w:rFonts w:eastAsia="仿宋_GB2312"/>
          <w:color w:val="333333"/>
          <w:sz w:val="32"/>
          <w:szCs w:val="32"/>
        </w:rPr>
        <w:t>（五）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费、办公用房物业管理费、公务用车运行维护以及其他费用。</w:t>
      </w:r>
      <w:r>
        <w:rPr>
          <w:rFonts w:eastAsia="仿宋_GB2312"/>
          <w:color w:val="333333"/>
          <w:sz w:val="32"/>
          <w:szCs w:val="32"/>
        </w:rPr>
        <w:br w:type="textWrapping"/>
      </w:r>
      <w:r>
        <w:rPr>
          <w:rFonts w:eastAsia="仿宋"/>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4A7B7D"/>
    <w:rsid w:val="077B20D1"/>
    <w:rsid w:val="0BDF5CC3"/>
    <w:rsid w:val="0D4A7B7D"/>
    <w:rsid w:val="17FB522F"/>
    <w:rsid w:val="1AA43102"/>
    <w:rsid w:val="1DDA2008"/>
    <w:rsid w:val="1DFA5202"/>
    <w:rsid w:val="1EF65093"/>
    <w:rsid w:val="1FDDF9A1"/>
    <w:rsid w:val="210B1CB2"/>
    <w:rsid w:val="21DA565B"/>
    <w:rsid w:val="2DFF6B13"/>
    <w:rsid w:val="2EFF3219"/>
    <w:rsid w:val="2FFEE23C"/>
    <w:rsid w:val="325FD72D"/>
    <w:rsid w:val="375E30CC"/>
    <w:rsid w:val="376C5405"/>
    <w:rsid w:val="3AFE3D81"/>
    <w:rsid w:val="3CDB8438"/>
    <w:rsid w:val="3DB9156B"/>
    <w:rsid w:val="3DEA6CDF"/>
    <w:rsid w:val="3FF46A00"/>
    <w:rsid w:val="3FFDE279"/>
    <w:rsid w:val="4171348E"/>
    <w:rsid w:val="43F71F1B"/>
    <w:rsid w:val="4512724E"/>
    <w:rsid w:val="4B9717D5"/>
    <w:rsid w:val="4BDFB2DC"/>
    <w:rsid w:val="4BF2AF90"/>
    <w:rsid w:val="4D671EB2"/>
    <w:rsid w:val="4DBF38C7"/>
    <w:rsid w:val="4FFCD4CB"/>
    <w:rsid w:val="4FFE679A"/>
    <w:rsid w:val="531371D9"/>
    <w:rsid w:val="5376C5A2"/>
    <w:rsid w:val="56C077B3"/>
    <w:rsid w:val="57DD9951"/>
    <w:rsid w:val="5AEDDC56"/>
    <w:rsid w:val="5BEEE64C"/>
    <w:rsid w:val="5C8E326D"/>
    <w:rsid w:val="5DF31DDC"/>
    <w:rsid w:val="5E153027"/>
    <w:rsid w:val="5E3AF178"/>
    <w:rsid w:val="5F7FE254"/>
    <w:rsid w:val="5FB70B2B"/>
    <w:rsid w:val="5FBD48F2"/>
    <w:rsid w:val="5FDE3E82"/>
    <w:rsid w:val="5FDFA4CF"/>
    <w:rsid w:val="625E5251"/>
    <w:rsid w:val="646B4FB7"/>
    <w:rsid w:val="660F796A"/>
    <w:rsid w:val="67E7960C"/>
    <w:rsid w:val="680D3B38"/>
    <w:rsid w:val="68E93F12"/>
    <w:rsid w:val="6BEFE0E4"/>
    <w:rsid w:val="6BF8A3D4"/>
    <w:rsid w:val="6C0A36F6"/>
    <w:rsid w:val="6DBE2948"/>
    <w:rsid w:val="6DDB0B4F"/>
    <w:rsid w:val="6E0014A7"/>
    <w:rsid w:val="6FFB12A9"/>
    <w:rsid w:val="6FFEC788"/>
    <w:rsid w:val="72BF5327"/>
    <w:rsid w:val="74B6242B"/>
    <w:rsid w:val="76E92DEE"/>
    <w:rsid w:val="77BBF1D4"/>
    <w:rsid w:val="77F6A498"/>
    <w:rsid w:val="77FFB648"/>
    <w:rsid w:val="7892260E"/>
    <w:rsid w:val="7A6EBFB2"/>
    <w:rsid w:val="7AF5CA0E"/>
    <w:rsid w:val="7B3FD206"/>
    <w:rsid w:val="7BAECBAD"/>
    <w:rsid w:val="7BBF3DB4"/>
    <w:rsid w:val="7BE99A00"/>
    <w:rsid w:val="7DB70B02"/>
    <w:rsid w:val="7EE904A7"/>
    <w:rsid w:val="7EEF5BF8"/>
    <w:rsid w:val="7F274F5D"/>
    <w:rsid w:val="7F5523F7"/>
    <w:rsid w:val="7F5B75FB"/>
    <w:rsid w:val="7F7D1F23"/>
    <w:rsid w:val="7F7F87EC"/>
    <w:rsid w:val="7F991514"/>
    <w:rsid w:val="7FCDDEDD"/>
    <w:rsid w:val="7FD130DA"/>
    <w:rsid w:val="7FE78C22"/>
    <w:rsid w:val="7FF134C1"/>
    <w:rsid w:val="7FFF8B48"/>
    <w:rsid w:val="7FFFBA3F"/>
    <w:rsid w:val="8D8FE911"/>
    <w:rsid w:val="9DFBCC73"/>
    <w:rsid w:val="A7EF399E"/>
    <w:rsid w:val="A7EFBFA9"/>
    <w:rsid w:val="ADCDFB85"/>
    <w:rsid w:val="B6A99296"/>
    <w:rsid w:val="B9EC5B7B"/>
    <w:rsid w:val="BB8F7A71"/>
    <w:rsid w:val="BBBE6162"/>
    <w:rsid w:val="BBDEC423"/>
    <w:rsid w:val="BD7FBAFE"/>
    <w:rsid w:val="BDA51505"/>
    <w:rsid w:val="BDDF3741"/>
    <w:rsid w:val="BDEF4561"/>
    <w:rsid w:val="BF4FC272"/>
    <w:rsid w:val="BFEF7A1B"/>
    <w:rsid w:val="BFFB17C7"/>
    <w:rsid w:val="BFFFB9A6"/>
    <w:rsid w:val="BFFFC558"/>
    <w:rsid w:val="CD73872C"/>
    <w:rsid w:val="CFB6635A"/>
    <w:rsid w:val="CFFF6AB5"/>
    <w:rsid w:val="D178C02F"/>
    <w:rsid w:val="D5FBFBE0"/>
    <w:rsid w:val="D7BEF081"/>
    <w:rsid w:val="DAE51EB3"/>
    <w:rsid w:val="DC392C8F"/>
    <w:rsid w:val="DCDDBB7F"/>
    <w:rsid w:val="DDDEC124"/>
    <w:rsid w:val="DEE40509"/>
    <w:rsid w:val="DFD71B1B"/>
    <w:rsid w:val="DFFFD859"/>
    <w:rsid w:val="DFFFF109"/>
    <w:rsid w:val="E16B548E"/>
    <w:rsid w:val="E4F7E71B"/>
    <w:rsid w:val="E6E68539"/>
    <w:rsid w:val="E77E8B32"/>
    <w:rsid w:val="E7FF0F17"/>
    <w:rsid w:val="EB7F9978"/>
    <w:rsid w:val="ED87507A"/>
    <w:rsid w:val="EEEF5392"/>
    <w:rsid w:val="EFB5B836"/>
    <w:rsid w:val="EFEF541E"/>
    <w:rsid w:val="EFF700B1"/>
    <w:rsid w:val="F38B9999"/>
    <w:rsid w:val="F3F6456B"/>
    <w:rsid w:val="F5FCEAAB"/>
    <w:rsid w:val="F65F83DB"/>
    <w:rsid w:val="F7BB6DD1"/>
    <w:rsid w:val="F7C6BF58"/>
    <w:rsid w:val="FAFABE51"/>
    <w:rsid w:val="FB3D0F12"/>
    <w:rsid w:val="FB7FE610"/>
    <w:rsid w:val="FBCB752A"/>
    <w:rsid w:val="FD5B6D16"/>
    <w:rsid w:val="FD7F9894"/>
    <w:rsid w:val="FDBFFB40"/>
    <w:rsid w:val="FEE422A5"/>
    <w:rsid w:val="FEF4E0CB"/>
    <w:rsid w:val="FEFEC077"/>
    <w:rsid w:val="FF6A7AEA"/>
    <w:rsid w:val="FF77A370"/>
    <w:rsid w:val="FF7C3AE7"/>
    <w:rsid w:val="FFACA9B3"/>
    <w:rsid w:val="FFCB3D1C"/>
    <w:rsid w:val="FFD014A9"/>
    <w:rsid w:val="FFDB137D"/>
    <w:rsid w:val="FFF0812D"/>
    <w:rsid w:val="FFF33A52"/>
    <w:rsid w:val="FFFD0EF7"/>
    <w:rsid w:val="FFFF7F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unhideWhenUsed/>
    <w:qFormat/>
    <w:uiPriority w:val="0"/>
    <w:pPr>
      <w:spacing w:beforeLines="30"/>
    </w:pPr>
    <w:rPr>
      <w:rFonts w:ascii="仿宋_GB2312" w:eastAsia="仿宋_GB2312"/>
      <w:sz w:val="30"/>
    </w:rPr>
  </w:style>
  <w:style w:type="paragraph" w:styleId="4">
    <w:name w:val="endnote text"/>
    <w:basedOn w:val="1"/>
    <w:qFormat/>
    <w:uiPriority w:val="0"/>
    <w:pPr>
      <w:snapToGrid w:val="0"/>
      <w:jc w:val="left"/>
    </w:pPr>
    <w:rPr>
      <w:rFonts w:ascii="Calibri" w:hAnsi="Calibri" w:eastAsia="宋体" w:cs="Times New Roman"/>
    </w:rPr>
  </w:style>
  <w:style w:type="paragraph" w:styleId="5">
    <w:name w:val="table of figures"/>
    <w:basedOn w:val="1"/>
    <w:next w:val="1"/>
    <w:qFormat/>
    <w:uiPriority w:val="99"/>
    <w:pPr>
      <w:ind w:left="200" w:leftChars="200" w:hanging="200" w:hangingChars="200"/>
    </w:pPr>
    <w:rPr>
      <w:rFonts w:eastAsia="仿宋_GB2312"/>
      <w:sz w:val="32"/>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endnote reference"/>
    <w:qFormat/>
    <w:uiPriority w:val="0"/>
    <w:rPr>
      <w:rFonts w:ascii="Times New Roman" w:hAnsi="Times New Roman" w:eastAsia="宋体" w:cs="Times New Roman"/>
      <w:vertAlign w:val="superscript"/>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3059</Words>
  <Characters>3343</Characters>
  <Lines>1</Lines>
  <Paragraphs>1</Paragraphs>
  <TotalTime>207</TotalTime>
  <ScaleCrop>false</ScaleCrop>
  <LinksUpToDate>false</LinksUpToDate>
  <CharactersWithSpaces>3353</CharactersWithSpaces>
  <Application>WPS Office_11.8.2.12330_F1E327BC-269C-435d-A152-05C5408002CA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2025-02-09T11:51:00Z</dcterms:created>
  <dc:creator>李鹏和张丽</dc:creator>
  <cp:lastModifiedBy>Administrator</cp:lastModifiedBy>
  <dcterms:modified xsi:type="dcterms:W3CDTF">2026-02-24T03:35:01Z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2052-11.8.2.12330</vt:lpwstr>
  </property>
  <property fmtid="{D5CDD505-2E9C-101B-9397-08002B2CF9AE}" pid="3" name="ICV">
    <vt:lpwstr>1AF85E04E50DEC2F16FA8B693FF7227D</vt:lpwstr>
  </property>
  <property fmtid="{D5CDD505-2E9C-101B-9397-08002B2CF9AE}" pid="4" name="KSOTemplateDocerSaveRecord">
    <vt:lpwstr>eyJoZGlkIjoiZjk0NWM0NzllNTIzM2IwYjM3M2IzNmE1M2Q3ZmNkZGEiLCJ1c2VySWQiOiI0NDY5MDQyMjgifQ==</vt:lpwstr>
  </property>
</Properties>
</file>