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C51ADE">
      <w:pPr>
        <w:jc w:val="center"/>
        <w:rPr>
          <w:rFonts w:hint="default" w:ascii="Times New Roman" w:hAnsi="Times New Roman" w:eastAsia="方正小标宋简体" w:cs="Times New Roman"/>
          <w:b w:val="0"/>
          <w:bCs/>
          <w:spacing w:val="-20"/>
          <w:w w:val="100"/>
          <w:sz w:val="44"/>
          <w:szCs w:val="44"/>
        </w:rPr>
      </w:pPr>
      <w:r>
        <w:rPr>
          <w:rFonts w:hint="default" w:ascii="Times New Roman" w:hAnsi="Times New Roman" w:eastAsia="方正小标宋简体" w:cs="Times New Roman"/>
          <w:b w:val="0"/>
          <w:bCs/>
          <w:spacing w:val="-20"/>
          <w:w w:val="100"/>
          <w:sz w:val="44"/>
          <w:szCs w:val="44"/>
        </w:rPr>
        <w:t>自贡市</w:t>
      </w:r>
      <w:r>
        <w:rPr>
          <w:rFonts w:hint="default" w:ascii="Times New Roman" w:hAnsi="Times New Roman" w:eastAsia="方正小标宋简体" w:cs="Times New Roman"/>
          <w:b w:val="0"/>
          <w:bCs/>
          <w:spacing w:val="-20"/>
          <w:w w:val="100"/>
          <w:sz w:val="44"/>
          <w:szCs w:val="44"/>
          <w:lang w:val="en-US" w:eastAsia="zh-CN"/>
        </w:rPr>
        <w:t>大安区委组织部</w:t>
      </w:r>
      <w:r>
        <w:rPr>
          <w:rFonts w:hint="default" w:ascii="Times New Roman" w:hAnsi="Times New Roman" w:eastAsia="方正小标宋简体" w:cs="Times New Roman"/>
          <w:b w:val="0"/>
          <w:bCs/>
          <w:spacing w:val="-20"/>
          <w:w w:val="100"/>
          <w:sz w:val="44"/>
          <w:szCs w:val="44"/>
          <w:lang w:eastAsia="zh-CN"/>
        </w:rPr>
        <w:t>2026年</w:t>
      </w:r>
      <w:r>
        <w:rPr>
          <w:rFonts w:hint="default" w:ascii="Times New Roman" w:hAnsi="Times New Roman" w:eastAsia="方正小标宋简体" w:cs="Times New Roman"/>
          <w:b w:val="0"/>
          <w:bCs/>
          <w:spacing w:val="-20"/>
          <w:w w:val="100"/>
          <w:sz w:val="44"/>
          <w:szCs w:val="44"/>
          <w:lang w:val="en-US" w:eastAsia="zh-CN"/>
        </w:rPr>
        <w:t>单位</w:t>
      </w:r>
      <w:r>
        <w:rPr>
          <w:rFonts w:hint="default" w:ascii="Times New Roman" w:hAnsi="Times New Roman" w:eastAsia="方正小标宋简体" w:cs="Times New Roman"/>
          <w:b w:val="0"/>
          <w:bCs/>
          <w:spacing w:val="-20"/>
          <w:w w:val="100"/>
          <w:sz w:val="44"/>
          <w:szCs w:val="44"/>
        </w:rPr>
        <w:t>预算编制</w:t>
      </w:r>
    </w:p>
    <w:p w14:paraId="3CAD82F9">
      <w:pPr>
        <w:jc w:val="center"/>
        <w:rPr>
          <w:rFonts w:hint="default" w:ascii="Times New Roman" w:hAnsi="Times New Roman" w:eastAsia="方正小标宋简体" w:cs="Times New Roman"/>
          <w:b w:val="0"/>
          <w:bCs/>
          <w:spacing w:val="-20"/>
          <w:w w:val="100"/>
          <w:sz w:val="44"/>
          <w:szCs w:val="44"/>
        </w:rPr>
      </w:pPr>
      <w:r>
        <w:rPr>
          <w:rFonts w:hint="default" w:ascii="Times New Roman" w:hAnsi="Times New Roman" w:eastAsia="方正小标宋简体" w:cs="Times New Roman"/>
          <w:b w:val="0"/>
          <w:bCs/>
          <w:spacing w:val="-20"/>
          <w:w w:val="100"/>
          <w:sz w:val="44"/>
          <w:szCs w:val="44"/>
        </w:rPr>
        <w:t>说明</w:t>
      </w:r>
    </w:p>
    <w:p w14:paraId="463F6F83">
      <w:pPr>
        <w:widowControl/>
        <w:jc w:val="center"/>
        <w:rPr>
          <w:rFonts w:hint="default" w:ascii="Times New Roman" w:hAnsi="Times New Roman" w:eastAsia="黑体" w:cs="Times New Roman"/>
          <w:color w:val="000000"/>
          <w:sz w:val="48"/>
          <w:szCs w:val="48"/>
        </w:rPr>
      </w:pPr>
    </w:p>
    <w:p w14:paraId="032267D2">
      <w:pPr>
        <w:widowControl/>
        <w:jc w:val="center"/>
        <w:rPr>
          <w:rFonts w:hint="default" w:ascii="Times New Roman" w:hAnsi="Times New Roman" w:eastAsia="黑体" w:cs="Times New Roman"/>
          <w:color w:val="000000"/>
          <w:sz w:val="48"/>
          <w:szCs w:val="48"/>
        </w:rPr>
      </w:pPr>
      <w:bookmarkStart w:id="0" w:name="_Hlk72430755"/>
      <w:r>
        <w:rPr>
          <w:rFonts w:hint="default" w:ascii="Times New Roman" w:hAnsi="Times New Roman" w:eastAsia="黑体" w:cs="Times New Roman"/>
          <w:color w:val="000000"/>
          <w:sz w:val="48"/>
          <w:szCs w:val="48"/>
        </w:rPr>
        <w:t>目录</w:t>
      </w:r>
    </w:p>
    <w:p w14:paraId="5A3C553B">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TOC \o "1-3" \h \z \u </w:instrText>
      </w:r>
      <w:r>
        <w:rPr>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"_Toc72430477"</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一、基本职能及主要工作</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_Toc72430477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1</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44F787AF">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"_Toc72430478"</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（一）</w:t>
      </w:r>
      <w:r>
        <w:rPr>
          <w:rStyle w:val="17"/>
          <w:rFonts w:hint="default" w:ascii="Times New Roman" w:hAnsi="Times New Roman" w:eastAsia="仿宋_GB2312" w:cs="Times New Roman"/>
          <w:b w:val="0"/>
          <w:bCs w:val="0"/>
          <w:sz w:val="28"/>
          <w:szCs w:val="28"/>
          <w:lang w:val="en-US" w:eastAsia="zh-CN"/>
        </w:rPr>
        <w:t>大安区委组织部</w:t>
      </w:r>
      <w:r>
        <w:rPr>
          <w:rStyle w:val="17"/>
          <w:rFonts w:hint="default" w:ascii="Times New Roman" w:hAnsi="Times New Roman" w:eastAsia="仿宋_GB2312" w:cs="Times New Roman"/>
          <w:b w:val="0"/>
          <w:bCs w:val="0"/>
          <w:sz w:val="28"/>
          <w:szCs w:val="28"/>
        </w:rPr>
        <w:t>职能简介</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_Toc72430478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74FB5038">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"_Toc72430479"</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（二）</w:t>
      </w:r>
      <w:r>
        <w:rPr>
          <w:rStyle w:val="17"/>
          <w:rFonts w:hint="default" w:ascii="Times New Roman" w:hAnsi="Times New Roman" w:eastAsia="仿宋_GB2312" w:cs="Times New Roman"/>
          <w:b w:val="0"/>
          <w:bCs w:val="0"/>
          <w:sz w:val="28"/>
          <w:szCs w:val="28"/>
          <w:lang w:val="en-US" w:eastAsia="zh-CN"/>
        </w:rPr>
        <w:t>大安区委组织部</w:t>
      </w:r>
      <w:r>
        <w:rPr>
          <w:rStyle w:val="17"/>
          <w:rFonts w:hint="default" w:ascii="Times New Roman" w:hAnsi="Times New Roman" w:eastAsia="仿宋_GB2312" w:cs="Times New Roman"/>
          <w:b w:val="0"/>
          <w:bCs w:val="0"/>
          <w:sz w:val="28"/>
          <w:szCs w:val="28"/>
          <w:lang w:eastAsia="zh-CN"/>
        </w:rPr>
        <w:t>2026年</w:t>
      </w:r>
      <w:r>
        <w:rPr>
          <w:rStyle w:val="17"/>
          <w:rFonts w:hint="default" w:ascii="Times New Roman" w:hAnsi="Times New Roman" w:eastAsia="仿宋_GB2312" w:cs="Times New Roman"/>
          <w:b w:val="0"/>
          <w:bCs w:val="0"/>
          <w:sz w:val="28"/>
          <w:szCs w:val="28"/>
        </w:rPr>
        <w:t>重点工作</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_Toc72430479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09551759">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"_Toc72430480"</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二、</w:t>
      </w:r>
      <w:r>
        <w:rPr>
          <w:rStyle w:val="17"/>
          <w:rFonts w:hint="default" w:ascii="Times New Roman" w:hAnsi="Times New Roman" w:eastAsia="仿宋_GB2312" w:cs="Times New Roman"/>
          <w:b w:val="0"/>
          <w:bCs w:val="0"/>
          <w:i w:val="0"/>
          <w:iCs w:val="0"/>
          <w:sz w:val="28"/>
          <w:szCs w:val="28"/>
          <w:lang w:val="en-US" w:eastAsia="zh-CN"/>
        </w:rPr>
        <w:t>单位</w:t>
      </w:r>
      <w:r>
        <w:rPr>
          <w:rStyle w:val="17"/>
          <w:rFonts w:hint="default" w:ascii="Times New Roman" w:hAnsi="Times New Roman" w:eastAsia="仿宋_GB2312" w:cs="Times New Roman"/>
          <w:b w:val="0"/>
          <w:bCs w:val="0"/>
          <w:i w:val="0"/>
          <w:iCs w:val="0"/>
          <w:sz w:val="28"/>
          <w:szCs w:val="28"/>
        </w:rPr>
        <w:t>概况</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_Toc72430480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2</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5061B377">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"_Toc72430481"</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三、收支预算情况说明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_Toc72430481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4</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5D87B934">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"_Toc72430482"</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（一）收入预算情况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_Toc72430482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4</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46ECC58A">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"_Toc72430483"</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（二）支出预算情况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_Toc72430483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5</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7CAD9AB4">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"_Toc72430484"</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四、财政拨款收支预算情况说明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_Toc72430484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5</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4834FD61">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"_Toc72430485"</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五、一般公共预算当年拨款情况说明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_Toc72430485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6</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56D5E0DC">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"_Toc72430486"</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（一）一般公共预算当年拨款规模变化情况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_Toc72430486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6</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635C21E5">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"_Toc72430487"</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（二）一般公共预算当年拨款结构情况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_Toc72430487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7</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51640241">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lang w:val="en-US" w:eastAsia="zh-CN"/>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"_Toc72430488"</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（三）一般公共预算当年拨款具体使用情况</w:t>
      </w:r>
      <w:r>
        <w:rPr>
          <w:rFonts w:hint="default" w:ascii="Times New Roman" w:hAnsi="Times New Roman" w:eastAsia="仿宋_GB2312" w:cs="Times New Roman"/>
          <w:b w:val="0"/>
          <w:bCs w:val="0"/>
          <w:sz w:val="28"/>
          <w:szCs w:val="28"/>
        </w:rPr>
        <w:tab/>
      </w:r>
      <w:r>
        <w:rPr>
          <w:rStyle w:val="17"/>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lang w:val="en-US" w:eastAsia="zh-CN"/>
        </w:rPr>
        <w:t>7</w:t>
      </w:r>
    </w:p>
    <w:p w14:paraId="41BBE38A">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"_Toc72430489"</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六、一般公共预算基本支出情况说明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_Toc72430489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9</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364C3687">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"_Toc72430490"</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七、“三公”经费财政拨款预算安排情况</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_Toc72430490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9</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062CE274">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"_Toc72430491"</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八、政府性基金预算支出情况说明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_Toc72430491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10</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0C9A556B">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"_Toc72430492"</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九、国有资本经营预算支出情况说明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_Toc72430492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10</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28AA4199">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"_Toc72430493"</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十、其他重要事项的情况说明</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_Toc72430493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10</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736838D9">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"_Toc72430494"</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（一）机关运行经费情况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_Toc72430494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10</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67C2F992">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"_Toc72430495"</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（二）政府采购情况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_Toc72430495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10</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6F11B438">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"_Toc72430496"</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（三）国有资产占有使用情况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_Toc72430496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11</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61900995">
      <w:pPr>
        <w:pStyle w:val="11"/>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sz w:val="28"/>
          <w:szCs w:val="28"/>
        </w:rPr>
      </w:pPr>
      <w:r>
        <w:rPr>
          <w:rStyle w:val="17"/>
          <w:rFonts w:hint="default" w:ascii="Times New Roman" w:hAnsi="Times New Roman" w:eastAsia="仿宋_GB2312" w:cs="Times New Roman"/>
          <w:b w:val="0"/>
          <w:bCs w:val="0"/>
          <w:sz w:val="28"/>
          <w:szCs w:val="28"/>
        </w:rPr>
        <w:fldChar w:fldCharType="begin"/>
      </w:r>
      <w:r>
        <w:rPr>
          <w:rStyle w:val="17"/>
          <w:rFonts w:hint="default" w:ascii="Times New Roman" w:hAnsi="Times New Roman" w:eastAsia="仿宋_GB2312" w:cs="Times New Roman"/>
          <w:b w:val="0"/>
          <w:bCs w:val="0"/>
          <w:sz w:val="28"/>
          <w:szCs w:val="28"/>
        </w:rPr>
        <w:instrText xml:space="preserve"> </w:instrText>
      </w:r>
      <w:r>
        <w:rPr>
          <w:rFonts w:hint="default" w:ascii="Times New Roman" w:hAnsi="Times New Roman" w:eastAsia="仿宋_GB2312" w:cs="Times New Roman"/>
          <w:b w:val="0"/>
          <w:bCs w:val="0"/>
          <w:sz w:val="28"/>
          <w:szCs w:val="28"/>
        </w:rPr>
        <w:instrText xml:space="preserve">HYPERLINK \l "_Toc72430497"</w:instrText>
      </w:r>
      <w:r>
        <w:rPr>
          <w:rStyle w:val="17"/>
          <w:rFonts w:hint="default" w:ascii="Times New Roman" w:hAnsi="Times New Roman" w:eastAsia="仿宋_GB2312" w:cs="Times New Roman"/>
          <w:b w:val="0"/>
          <w:bCs w:val="0"/>
          <w:sz w:val="28"/>
          <w:szCs w:val="28"/>
        </w:rPr>
        <w:instrText xml:space="preserve"> </w:instrText>
      </w:r>
      <w:r>
        <w:rPr>
          <w:rStyle w:val="17"/>
          <w:rFonts w:hint="default" w:ascii="Times New Roman" w:hAnsi="Times New Roman" w:eastAsia="仿宋_GB2312" w:cs="Times New Roman"/>
          <w:b w:val="0"/>
          <w:bCs w:val="0"/>
          <w:sz w:val="28"/>
          <w:szCs w:val="28"/>
        </w:rPr>
        <w:fldChar w:fldCharType="separate"/>
      </w:r>
      <w:r>
        <w:rPr>
          <w:rStyle w:val="17"/>
          <w:rFonts w:hint="default" w:ascii="Times New Roman" w:hAnsi="Times New Roman" w:eastAsia="仿宋_GB2312" w:cs="Times New Roman"/>
          <w:b w:val="0"/>
          <w:bCs w:val="0"/>
          <w:sz w:val="28"/>
          <w:szCs w:val="28"/>
        </w:rPr>
        <w:t>（四）绩效目标设置情况</w:t>
      </w:r>
      <w:r>
        <w:rPr>
          <w:rFonts w:hint="default" w:ascii="Times New Roman" w:hAnsi="Times New Roman" w:eastAsia="仿宋_GB2312" w:cs="Times New Roman"/>
          <w:b w:val="0"/>
          <w:bCs w:val="0"/>
          <w:sz w:val="28"/>
          <w:szCs w:val="28"/>
        </w:rPr>
        <w:tab/>
      </w:r>
      <w:r>
        <w:rPr>
          <w:rFonts w:hint="default" w:ascii="Times New Roman" w:hAnsi="Times New Roman" w:eastAsia="仿宋_GB2312" w:cs="Times New Roman"/>
          <w:b w:val="0"/>
          <w:bCs w:val="0"/>
          <w:sz w:val="28"/>
          <w:szCs w:val="28"/>
        </w:rPr>
        <w:fldChar w:fldCharType="begin"/>
      </w:r>
      <w:r>
        <w:rPr>
          <w:rFonts w:hint="default" w:ascii="Times New Roman" w:hAnsi="Times New Roman" w:eastAsia="仿宋_GB2312" w:cs="Times New Roman"/>
          <w:b w:val="0"/>
          <w:bCs w:val="0"/>
          <w:sz w:val="28"/>
          <w:szCs w:val="28"/>
        </w:rPr>
        <w:instrText xml:space="preserve"> PAGEREF _Toc72430497 \h </w:instrText>
      </w:r>
      <w:r>
        <w:rPr>
          <w:rFonts w:hint="default" w:ascii="Times New Roman" w:hAnsi="Times New Roman" w:eastAsia="仿宋_GB2312" w:cs="Times New Roman"/>
          <w:b w:val="0"/>
          <w:bCs w:val="0"/>
          <w:sz w:val="28"/>
          <w:szCs w:val="28"/>
        </w:rPr>
        <w:fldChar w:fldCharType="separate"/>
      </w:r>
      <w:r>
        <w:rPr>
          <w:rFonts w:hint="default" w:ascii="Times New Roman" w:hAnsi="Times New Roman" w:eastAsia="仿宋_GB2312" w:cs="Times New Roman"/>
          <w:b w:val="0"/>
          <w:bCs w:val="0"/>
          <w:sz w:val="28"/>
          <w:szCs w:val="28"/>
        </w:rPr>
        <w:t>11</w:t>
      </w:r>
      <w:r>
        <w:rPr>
          <w:rFonts w:hint="default" w:ascii="Times New Roman" w:hAnsi="Times New Roman" w:eastAsia="仿宋_GB2312" w:cs="Times New Roman"/>
          <w:b w:val="0"/>
          <w:bCs w:val="0"/>
          <w:sz w:val="28"/>
          <w:szCs w:val="28"/>
        </w:rPr>
        <w:fldChar w:fldCharType="end"/>
      </w:r>
      <w:r>
        <w:rPr>
          <w:rStyle w:val="17"/>
          <w:rFonts w:hint="default" w:ascii="Times New Roman" w:hAnsi="Times New Roman" w:eastAsia="仿宋_GB2312" w:cs="Times New Roman"/>
          <w:b w:val="0"/>
          <w:bCs w:val="0"/>
          <w:sz w:val="28"/>
          <w:szCs w:val="28"/>
        </w:rPr>
        <w:fldChar w:fldCharType="end"/>
      </w:r>
    </w:p>
    <w:p w14:paraId="7E428635">
      <w:pPr>
        <w:pStyle w:val="10"/>
        <w:pageBreakBefore w:val="0"/>
        <w:widowControl w:val="0"/>
        <w:tabs>
          <w:tab w:val="right" w:leader="dot" w:pos="8296"/>
        </w:tabs>
        <w:kinsoku/>
        <w:wordWrap/>
        <w:overflowPunct/>
        <w:topLinePunct w:val="0"/>
        <w:bidi w:val="0"/>
        <w:spacing w:line="580" w:lineRule="exact"/>
        <w:textAlignment w:val="auto"/>
        <w:rPr>
          <w:rFonts w:hint="default" w:ascii="Times New Roman" w:hAnsi="Times New Roman" w:eastAsia="仿宋_GB2312" w:cs="Times New Roman"/>
          <w:b w:val="0"/>
          <w:bCs w:val="0"/>
          <w:i w:val="0"/>
          <w:iCs w:val="0"/>
          <w:sz w:val="28"/>
          <w:szCs w:val="28"/>
        </w:rPr>
      </w:pPr>
      <w:r>
        <w:rPr>
          <w:rStyle w:val="17"/>
          <w:rFonts w:hint="default" w:ascii="Times New Roman" w:hAnsi="Times New Roman" w:eastAsia="仿宋_GB2312" w:cs="Times New Roman"/>
          <w:b w:val="0"/>
          <w:bCs w:val="0"/>
          <w:i w:val="0"/>
          <w:iCs w:val="0"/>
          <w:sz w:val="28"/>
          <w:szCs w:val="28"/>
        </w:rPr>
        <w:fldChar w:fldCharType="begin"/>
      </w:r>
      <w:r>
        <w:rPr>
          <w:rStyle w:val="17"/>
          <w:rFonts w:hint="default" w:ascii="Times New Roman" w:hAnsi="Times New Roman" w:eastAsia="仿宋_GB2312" w:cs="Times New Roman"/>
          <w:b w:val="0"/>
          <w:bCs w:val="0"/>
          <w:i w:val="0"/>
          <w:iCs w:val="0"/>
          <w:sz w:val="28"/>
          <w:szCs w:val="28"/>
        </w:rPr>
        <w:instrText xml:space="preserve"> </w:instrText>
      </w:r>
      <w:r>
        <w:rPr>
          <w:rFonts w:hint="default" w:ascii="Times New Roman" w:hAnsi="Times New Roman" w:eastAsia="仿宋_GB2312" w:cs="Times New Roman"/>
          <w:b w:val="0"/>
          <w:bCs w:val="0"/>
          <w:i w:val="0"/>
          <w:iCs w:val="0"/>
          <w:sz w:val="28"/>
          <w:szCs w:val="28"/>
        </w:rPr>
        <w:instrText xml:space="preserve">HYPERLINK \l "_Toc72430498"</w:instrText>
      </w:r>
      <w:r>
        <w:rPr>
          <w:rStyle w:val="17"/>
          <w:rFonts w:hint="default" w:ascii="Times New Roman" w:hAnsi="Times New Roman" w:eastAsia="仿宋_GB2312" w:cs="Times New Roman"/>
          <w:b w:val="0"/>
          <w:bCs w:val="0"/>
          <w:i w:val="0"/>
          <w:iCs w:val="0"/>
          <w:sz w:val="28"/>
          <w:szCs w:val="28"/>
        </w:rPr>
        <w:instrText xml:space="preserve"> </w:instrText>
      </w:r>
      <w:r>
        <w:rPr>
          <w:rStyle w:val="17"/>
          <w:rFonts w:hint="default" w:ascii="Times New Roman" w:hAnsi="Times New Roman" w:eastAsia="仿宋_GB2312" w:cs="Times New Roman"/>
          <w:b w:val="0"/>
          <w:bCs w:val="0"/>
          <w:i w:val="0"/>
          <w:iCs w:val="0"/>
          <w:sz w:val="28"/>
          <w:szCs w:val="28"/>
        </w:rPr>
        <w:fldChar w:fldCharType="separate"/>
      </w:r>
      <w:r>
        <w:rPr>
          <w:rStyle w:val="17"/>
          <w:rFonts w:hint="default" w:ascii="Times New Roman" w:hAnsi="Times New Roman" w:eastAsia="仿宋_GB2312" w:cs="Times New Roman"/>
          <w:b w:val="0"/>
          <w:bCs w:val="0"/>
          <w:i w:val="0"/>
          <w:iCs w:val="0"/>
          <w:sz w:val="28"/>
          <w:szCs w:val="28"/>
        </w:rPr>
        <w:t>十一、名词解释</w:t>
      </w:r>
      <w:r>
        <w:rPr>
          <w:rFonts w:hint="default" w:ascii="Times New Roman" w:hAnsi="Times New Roman" w:eastAsia="仿宋_GB2312" w:cs="Times New Roman"/>
          <w:b w:val="0"/>
          <w:bCs w:val="0"/>
          <w:i w:val="0"/>
          <w:iCs w:val="0"/>
          <w:sz w:val="28"/>
          <w:szCs w:val="28"/>
        </w:rPr>
        <w:tab/>
      </w:r>
      <w:r>
        <w:rPr>
          <w:rFonts w:hint="default" w:ascii="Times New Roman" w:hAnsi="Times New Roman" w:eastAsia="仿宋_GB2312" w:cs="Times New Roman"/>
          <w:b w:val="0"/>
          <w:bCs w:val="0"/>
          <w:i w:val="0"/>
          <w:iCs w:val="0"/>
          <w:sz w:val="28"/>
          <w:szCs w:val="28"/>
        </w:rPr>
        <w:fldChar w:fldCharType="begin"/>
      </w:r>
      <w:r>
        <w:rPr>
          <w:rFonts w:hint="default" w:ascii="Times New Roman" w:hAnsi="Times New Roman" w:eastAsia="仿宋_GB2312" w:cs="Times New Roman"/>
          <w:b w:val="0"/>
          <w:bCs w:val="0"/>
          <w:i w:val="0"/>
          <w:iCs w:val="0"/>
          <w:sz w:val="28"/>
          <w:szCs w:val="28"/>
        </w:rPr>
        <w:instrText xml:space="preserve"> PAGEREF _Toc72430498 \h </w:instrText>
      </w:r>
      <w:r>
        <w:rPr>
          <w:rFonts w:hint="default" w:ascii="Times New Roman" w:hAnsi="Times New Roman" w:eastAsia="仿宋_GB2312" w:cs="Times New Roman"/>
          <w:b w:val="0"/>
          <w:bCs w:val="0"/>
          <w:i w:val="0"/>
          <w:iCs w:val="0"/>
          <w:sz w:val="28"/>
          <w:szCs w:val="28"/>
        </w:rPr>
        <w:fldChar w:fldCharType="separate"/>
      </w:r>
      <w:r>
        <w:rPr>
          <w:rFonts w:hint="default" w:ascii="Times New Roman" w:hAnsi="Times New Roman" w:eastAsia="仿宋_GB2312" w:cs="Times New Roman"/>
          <w:b w:val="0"/>
          <w:bCs w:val="0"/>
          <w:i w:val="0"/>
          <w:iCs w:val="0"/>
          <w:sz w:val="28"/>
          <w:szCs w:val="28"/>
        </w:rPr>
        <w:t>12</w:t>
      </w:r>
      <w:r>
        <w:rPr>
          <w:rFonts w:hint="default" w:ascii="Times New Roman" w:hAnsi="Times New Roman" w:eastAsia="仿宋_GB2312" w:cs="Times New Roman"/>
          <w:b w:val="0"/>
          <w:bCs w:val="0"/>
          <w:i w:val="0"/>
          <w:iCs w:val="0"/>
          <w:sz w:val="28"/>
          <w:szCs w:val="28"/>
        </w:rPr>
        <w:fldChar w:fldCharType="end"/>
      </w:r>
      <w:r>
        <w:rPr>
          <w:rStyle w:val="17"/>
          <w:rFonts w:hint="default" w:ascii="Times New Roman" w:hAnsi="Times New Roman" w:eastAsia="仿宋_GB2312" w:cs="Times New Roman"/>
          <w:b w:val="0"/>
          <w:bCs w:val="0"/>
          <w:i w:val="0"/>
          <w:iCs w:val="0"/>
          <w:sz w:val="28"/>
          <w:szCs w:val="28"/>
        </w:rPr>
        <w:fldChar w:fldCharType="end"/>
      </w:r>
    </w:p>
    <w:p w14:paraId="1457C682">
      <w:pPr>
        <w:pStyle w:val="7"/>
        <w:rPr>
          <w:rFonts w:hint="default" w:ascii="Times New Roman" w:hAnsi="Times New Roman" w:eastAsia="仿宋_GB2312" w:cs="Times New Roman"/>
          <w:lang w:eastAsia="zh-CN"/>
        </w:rPr>
      </w:pPr>
      <w:r>
        <w:rPr>
          <w:rFonts w:hint="default" w:ascii="Times New Roman" w:hAnsi="Times New Roman" w:eastAsia="仿宋_GB2312" w:cs="Times New Roman"/>
          <w:sz w:val="28"/>
          <w:szCs w:val="28"/>
          <w:lang w:val="zh-CN"/>
        </w:rPr>
        <w:fldChar w:fldCharType="end"/>
      </w:r>
      <w:bookmarkEnd w:id="0"/>
      <w:bookmarkStart w:id="1" w:name="_Hlk72430788"/>
    </w:p>
    <w:p w14:paraId="1E4A413D">
      <w:pPr>
        <w:pageBreakBefore w:val="0"/>
        <w:widowControl w:val="0"/>
        <w:kinsoku/>
        <w:wordWrap/>
        <w:overflowPunct/>
        <w:topLinePunct w:val="0"/>
        <w:bidi w:val="0"/>
        <w:spacing w:line="580" w:lineRule="exact"/>
        <w:ind w:firstLine="1575" w:firstLineChars="750"/>
        <w:textAlignment w:val="auto"/>
        <w:rPr>
          <w:rFonts w:hint="default" w:ascii="Times New Roman" w:hAnsi="Times New Roman" w:cs="Times New Roman"/>
          <w:color w:val="FF0000"/>
          <w:szCs w:val="32"/>
        </w:rPr>
      </w:pPr>
    </w:p>
    <w:bookmarkEnd w:id="1"/>
    <w:p w14:paraId="45752061">
      <w:pPr>
        <w:pageBreakBefore w:val="0"/>
        <w:widowControl w:val="0"/>
        <w:kinsoku/>
        <w:wordWrap/>
        <w:overflowPunct/>
        <w:topLinePunct w:val="0"/>
        <w:bidi w:val="0"/>
        <w:spacing w:line="580" w:lineRule="exact"/>
        <w:textAlignment w:val="auto"/>
        <w:rPr>
          <w:rFonts w:hint="default" w:ascii="Times New Roman" w:hAnsi="Times New Roman" w:cs="Times New Roman"/>
          <w:sz w:val="30"/>
          <w:szCs w:val="30"/>
        </w:rPr>
      </w:pPr>
    </w:p>
    <w:p w14:paraId="35C8D5A6">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sz w:val="30"/>
          <w:szCs w:val="30"/>
        </w:rPr>
      </w:pPr>
    </w:p>
    <w:p w14:paraId="794A1924">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sz w:val="32"/>
          <w:szCs w:val="32"/>
        </w:rPr>
      </w:pPr>
    </w:p>
    <w:p w14:paraId="7AF447C7">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sz w:val="32"/>
          <w:szCs w:val="32"/>
        </w:rPr>
      </w:pPr>
    </w:p>
    <w:p w14:paraId="0A055EDB">
      <w:pPr>
        <w:pStyle w:val="4"/>
        <w:rPr>
          <w:rFonts w:hint="default" w:ascii="Times New Roman" w:hAnsi="Times New Roman" w:eastAsia="黑体" w:cs="Times New Roman"/>
          <w:sz w:val="32"/>
          <w:szCs w:val="32"/>
        </w:rPr>
      </w:pPr>
    </w:p>
    <w:p w14:paraId="3F8C9E6B">
      <w:pPr>
        <w:rPr>
          <w:rFonts w:hint="default" w:ascii="Times New Roman" w:hAnsi="Times New Roman" w:eastAsia="黑体" w:cs="Times New Roman"/>
          <w:sz w:val="32"/>
          <w:szCs w:val="32"/>
        </w:rPr>
      </w:pPr>
    </w:p>
    <w:p w14:paraId="1E35158E">
      <w:pPr>
        <w:pStyle w:val="4"/>
        <w:rPr>
          <w:rFonts w:hint="default" w:ascii="Times New Roman" w:hAnsi="Times New Roman" w:eastAsia="黑体" w:cs="Times New Roman"/>
          <w:sz w:val="32"/>
          <w:szCs w:val="32"/>
        </w:rPr>
      </w:pPr>
    </w:p>
    <w:p w14:paraId="1E26D441">
      <w:pPr>
        <w:rPr>
          <w:rFonts w:hint="default" w:ascii="Times New Roman" w:hAnsi="Times New Roman" w:eastAsia="黑体" w:cs="Times New Roman"/>
          <w:sz w:val="32"/>
          <w:szCs w:val="32"/>
        </w:rPr>
      </w:pPr>
    </w:p>
    <w:p w14:paraId="1286AAE8">
      <w:pPr>
        <w:pStyle w:val="4"/>
        <w:rPr>
          <w:rFonts w:hint="default" w:ascii="Times New Roman" w:hAnsi="Times New Roman" w:cs="Times New Roman"/>
        </w:rPr>
      </w:pPr>
    </w:p>
    <w:p w14:paraId="391DE86A">
      <w:pPr>
        <w:pageBreakBefore w:val="0"/>
        <w:widowControl w:val="0"/>
        <w:kinsoku/>
        <w:wordWrap/>
        <w:overflowPunct/>
        <w:topLinePunct w:val="0"/>
        <w:bidi w:val="0"/>
        <w:spacing w:line="580" w:lineRule="exact"/>
        <w:jc w:val="center"/>
        <w:textAlignment w:val="auto"/>
        <w:rPr>
          <w:rFonts w:hint="default" w:ascii="Times New Roman" w:hAnsi="Times New Roman" w:eastAsia="黑体" w:cs="Times New Roman"/>
          <w:sz w:val="32"/>
          <w:szCs w:val="32"/>
        </w:rPr>
      </w:pPr>
    </w:p>
    <w:p w14:paraId="308880E8">
      <w:pPr>
        <w:pStyle w:val="3"/>
        <w:keepNext/>
        <w:keepLines/>
        <w:pageBreakBefore w:val="0"/>
        <w:widowControl w:val="0"/>
        <w:kinsoku/>
        <w:wordWrap/>
        <w:overflowPunct/>
        <w:topLinePunct w:val="0"/>
        <w:autoSpaceDE/>
        <w:autoSpaceDN/>
        <w:bidi w:val="0"/>
        <w:adjustRightInd/>
        <w:snapToGrid/>
        <w:spacing w:before="0" w:after="0" w:line="590" w:lineRule="exact"/>
        <w:ind w:left="0" w:firstLine="640" w:firstLineChars="200"/>
        <w:textAlignment w:val="auto"/>
        <w:rPr>
          <w:rFonts w:hint="default" w:ascii="Times New Roman" w:hAnsi="Times New Roman" w:eastAsia="黑体" w:cs="Times New Roman"/>
          <w:b w:val="0"/>
          <w:bCs w:val="0"/>
          <w:sz w:val="32"/>
          <w:szCs w:val="32"/>
        </w:rPr>
        <w:sectPr>
          <w:pgSz w:w="11906" w:h="16838"/>
          <w:pgMar w:top="1871" w:right="1474" w:bottom="1871" w:left="1587" w:header="851" w:footer="992" w:gutter="0"/>
          <w:cols w:space="425" w:num="1"/>
          <w:docGrid w:type="lines" w:linePitch="312" w:charSpace="0"/>
        </w:sectPr>
      </w:pPr>
      <w:bookmarkStart w:id="2" w:name="_Toc72430477"/>
      <w:bookmarkStart w:id="3" w:name="_Hlk72429058"/>
    </w:p>
    <w:p w14:paraId="07EC8DE5">
      <w:pPr>
        <w:pStyle w:val="3"/>
        <w:keepNext/>
        <w:keepLines/>
        <w:pageBreakBefore w:val="0"/>
        <w:widowControl w:val="0"/>
        <w:kinsoku/>
        <w:wordWrap/>
        <w:overflowPunct/>
        <w:topLinePunct w:val="0"/>
        <w:autoSpaceDE/>
        <w:autoSpaceDN/>
        <w:bidi w:val="0"/>
        <w:adjustRightInd/>
        <w:snapToGrid/>
        <w:spacing w:before="0" w:after="0" w:line="590" w:lineRule="exact"/>
        <w:ind w:left="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一、基本职能及主要工作</w:t>
      </w:r>
      <w:bookmarkEnd w:id="2"/>
    </w:p>
    <w:bookmarkEnd w:id="3"/>
    <w:p w14:paraId="7D57EF7F">
      <w:pPr>
        <w:pStyle w:val="6"/>
        <w:pageBreakBefore w:val="0"/>
        <w:widowControl w:val="0"/>
        <w:kinsoku/>
        <w:wordWrap/>
        <w:overflowPunct/>
        <w:topLinePunct w:val="0"/>
        <w:autoSpaceDE/>
        <w:autoSpaceDN/>
        <w:bidi w:val="0"/>
        <w:adjustRightInd w:val="0"/>
        <w:snapToGrid w:val="0"/>
        <w:spacing w:before="0" w:beforeLines="0" w:line="590" w:lineRule="exact"/>
        <w:ind w:left="0" w:leftChars="0" w:firstLine="643" w:firstLineChars="200"/>
        <w:textAlignment w:val="auto"/>
        <w:outlineLvl w:val="1"/>
        <w:rPr>
          <w:rFonts w:hint="default" w:ascii="Times New Roman" w:hAnsi="Times New Roman" w:eastAsia="楷体_GB2312" w:cs="Times New Roman"/>
          <w:b/>
          <w:bCs/>
          <w:sz w:val="32"/>
          <w:szCs w:val="32"/>
          <w:lang w:eastAsia="zh-CN"/>
        </w:rPr>
      </w:pPr>
      <w:bookmarkStart w:id="4" w:name="_Toc72430478"/>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lang w:eastAsia="zh-CN"/>
        </w:rPr>
        <w:t>大安区委组织部</w:t>
      </w:r>
      <w:r>
        <w:rPr>
          <w:rFonts w:hint="default" w:ascii="Times New Roman" w:hAnsi="Times New Roman" w:eastAsia="楷体_GB2312" w:cs="Times New Roman"/>
          <w:b/>
          <w:bCs/>
          <w:sz w:val="32"/>
          <w:szCs w:val="32"/>
          <w:lang w:eastAsia="zh-CN"/>
        </w:rPr>
        <w:t>职能简介</w:t>
      </w:r>
      <w:bookmarkEnd w:id="4"/>
    </w:p>
    <w:p w14:paraId="0265D1F9">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5" w:name="_Toc72430479"/>
      <w:r>
        <w:rPr>
          <w:rFonts w:hint="default" w:ascii="Times New Roman" w:hAnsi="Times New Roman" w:eastAsia="仿宋_GB2312" w:cs="Times New Roman"/>
          <w:color w:val="000000" w:themeColor="text1"/>
          <w:sz w:val="32"/>
          <w:szCs w:val="32"/>
          <w14:textFill>
            <w14:solidFill>
              <w14:schemeClr w14:val="tx1"/>
            </w14:solidFill>
          </w14:textFill>
        </w:rPr>
        <w:t>一是负责全区党的组织体系、组织制度建设，负责基层党组织建设规划指导和党员队伍宏观管理，指导开展党员教育工作。</w:t>
      </w:r>
    </w:p>
    <w:p w14:paraId="22B1B9BA">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是负责全区领导班子和干部队伍建设的总体规划和宏观管理。负责区委管理领导班子和领导干部的考察考核、日常管理，提出调整配备建议，审核办理任免、工资、退休、兼职、待遇等有关事项。负责全区优秀年轻干部队伍建设工作。</w:t>
      </w:r>
    </w:p>
    <w:p w14:paraId="74DF01A3">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三是负责管理全区公务员工作。牵头拟定和组织实施公务员管理政策法规，承担公务员录用、调配、考核、奖励、培训、监督、工资福利等工作，指导公务员绩效管理工作。</w:t>
      </w:r>
    </w:p>
    <w:p w14:paraId="1CD4557C">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是负责全区人才工作的宏观指导、组织协调和督促检查，牵头推进人才发展体制机制改革和政策创新，牵头推进校院企战略合作、人才对外开放、党委联系服务专家工作，统筹实施重大人才工程和人才表彰奖励。</w:t>
      </w:r>
    </w:p>
    <w:p w14:paraId="6DFF1F48">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五是负责全区干部教育培训工作的宏观指导、政策规划、组织协调和督促检查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负责区重点培训项目的策划、实施和管理，指导全区干部教育培训基地建设管理、师资队伍建设等工作。</w:t>
      </w:r>
    </w:p>
    <w:p w14:paraId="778205C9">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是负责全区组织系统干部监督工作的宏观指导和综合协调，制定和落实干部监督工作制度，组织开展对选人用人工作情况的监督检查，受理和办理有关问题举报，组织实施领导干部报告个人有关事项及抽查核实工作。</w:t>
      </w:r>
    </w:p>
    <w:p w14:paraId="70A3DD69">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七是负责全区老干部工作的宏观管理，对退（离）休干部政策的落实情况进行督办检查，负责管理老干部局工作。</w:t>
      </w:r>
    </w:p>
    <w:p w14:paraId="39C3025F">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w:t>
      </w:r>
      <w:r>
        <w:rPr>
          <w:rFonts w:hint="default" w:ascii="Times New Roman" w:hAnsi="Times New Roman" w:eastAsia="仿宋_GB2312" w:cs="Times New Roman"/>
          <w:color w:val="000000" w:themeColor="text1"/>
          <w:sz w:val="32"/>
          <w:szCs w:val="32"/>
          <w14:textFill>
            <w14:solidFill>
              <w14:schemeClr w14:val="tx1"/>
            </w14:solidFill>
          </w14:textFill>
        </w:rPr>
        <w:t>各镇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街道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党委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党工委</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和区直各系统工委进行组工业务指导。</w:t>
      </w:r>
    </w:p>
    <w:p w14:paraId="45C0E3C2">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九是统一管理区委机构编制委员会办公室。</w:t>
      </w:r>
    </w:p>
    <w:p w14:paraId="50F9C9E7">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十是承担区人才工作领导小组的日常工作。</w:t>
      </w:r>
    </w:p>
    <w:p w14:paraId="70658B31">
      <w:pPr>
        <w:pStyle w:val="6"/>
        <w:pageBreakBefore w:val="0"/>
        <w:widowControl w:val="0"/>
        <w:kinsoku/>
        <w:wordWrap/>
        <w:overflowPunct/>
        <w:topLinePunct w:val="0"/>
        <w:autoSpaceDE/>
        <w:autoSpaceDN/>
        <w:bidi w:val="0"/>
        <w:adjustRightInd w:val="0"/>
        <w:snapToGrid w:val="0"/>
        <w:spacing w:before="0" w:beforeLines="0" w:line="590" w:lineRule="exact"/>
        <w:ind w:left="0" w:firstLine="627" w:firstLineChars="196"/>
        <w:textAlignment w:val="auto"/>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十一是完成区委和市委组织部交办的其他任务。</w:t>
      </w:r>
    </w:p>
    <w:p w14:paraId="27ADC604">
      <w:pPr>
        <w:pStyle w:val="6"/>
        <w:pageBreakBefore w:val="0"/>
        <w:widowControl w:val="0"/>
        <w:kinsoku/>
        <w:wordWrap/>
        <w:overflowPunct/>
        <w:topLinePunct w:val="0"/>
        <w:autoSpaceDE/>
        <w:autoSpaceDN/>
        <w:bidi w:val="0"/>
        <w:adjustRightInd w:val="0"/>
        <w:snapToGrid w:val="0"/>
        <w:spacing w:before="0" w:beforeLines="0" w:line="590" w:lineRule="exact"/>
        <w:ind w:left="0" w:leftChars="0" w:firstLine="643" w:firstLineChars="200"/>
        <w:textAlignment w:val="auto"/>
        <w:outlineLvl w:val="1"/>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lang w:eastAsia="zh-CN"/>
        </w:rPr>
        <w:t>大安区委组织部</w:t>
      </w:r>
      <w:r>
        <w:rPr>
          <w:rFonts w:hint="default" w:ascii="Times New Roman" w:hAnsi="Times New Roman" w:eastAsia="楷体_GB2312" w:cs="Times New Roman"/>
          <w:b/>
          <w:bCs/>
          <w:sz w:val="32"/>
          <w:szCs w:val="32"/>
          <w:lang w:eastAsia="zh-CN"/>
        </w:rPr>
        <w:t>2026年重点工作</w:t>
      </w:r>
      <w:bookmarkEnd w:id="5"/>
    </w:p>
    <w:p w14:paraId="5D122D98">
      <w:pPr>
        <w:keepNext w:val="0"/>
        <w:keepLines w:val="0"/>
        <w:pageBreakBefore w:val="0"/>
        <w:widowControl/>
        <w:suppressLineNumbers w:val="0"/>
        <w:kinsoku/>
        <w:wordWrap/>
        <w:overflowPunct/>
        <w:topLinePunct w:val="0"/>
        <w:autoSpaceDE/>
        <w:autoSpaceDN/>
        <w:bidi w:val="0"/>
        <w:adjustRightInd/>
        <w:snapToGrid/>
        <w:spacing w:line="590" w:lineRule="exact"/>
        <w:ind w:left="0" w:firstLine="643" w:firstLineChars="200"/>
        <w:jc w:val="both"/>
        <w:textAlignment w:val="auto"/>
        <w:rPr>
          <w:rFonts w:hint="default" w:ascii="Times New Roman" w:hAnsi="Times New Roman" w:eastAsia="仿宋_GB2312" w:cs="Times New Roman"/>
          <w:color w:val="auto"/>
          <w:kern w:val="2"/>
          <w:sz w:val="32"/>
          <w:szCs w:val="32"/>
          <w:highlight w:val="none"/>
          <w:u w:val="none" w:color="auto"/>
          <w:lang w:val="en-US" w:eastAsia="zh-CN" w:bidi="ar-SA"/>
        </w:rPr>
      </w:pPr>
      <w:bookmarkStart w:id="6" w:name="_Toc72430480"/>
      <w:r>
        <w:rPr>
          <w:rFonts w:hint="default" w:ascii="Times New Roman" w:hAnsi="Times New Roman" w:eastAsia="仿宋_GB2312" w:cs="Times New Roman"/>
          <w:b/>
          <w:bCs/>
          <w:color w:val="auto"/>
          <w:sz w:val="32"/>
          <w:szCs w:val="32"/>
          <w:highlight w:val="none"/>
          <w:u w:val="none" w:color="auto"/>
          <w:lang w:val="en-US" w:eastAsia="zh-CN"/>
        </w:rPr>
        <w:t>1.聚焦“凝心铸魂”抓实思想政治建设。</w:t>
      </w:r>
      <w:r>
        <w:rPr>
          <w:rFonts w:hint="default" w:ascii="Times New Roman" w:hAnsi="Times New Roman" w:eastAsia="仿宋_GB2312" w:cs="Times New Roman"/>
          <w:color w:val="auto"/>
          <w:sz w:val="32"/>
          <w:szCs w:val="32"/>
          <w:highlight w:val="none"/>
          <w:lang w:val="en-US" w:eastAsia="zh-CN"/>
        </w:rPr>
        <w:t>办好</w:t>
      </w:r>
      <w:r>
        <w:rPr>
          <w:rFonts w:hint="default" w:ascii="Times New Roman" w:hAnsi="Times New Roman" w:eastAsia="仿宋_GB2312" w:cs="Times New Roman"/>
          <w:color w:val="auto"/>
          <w:sz w:val="32"/>
          <w:szCs w:val="32"/>
          <w:highlight w:val="none"/>
          <w:u w:val="none" w:color="auto"/>
          <w:lang w:val="en-US" w:eastAsia="zh-CN"/>
        </w:rPr>
        <w:t>领导干部读书班、主体班、专题研讨班等重点班次，扎实推进基础知识巩固、业务能力提升等常规培训，深化</w:t>
      </w:r>
      <w:r>
        <w:rPr>
          <w:rFonts w:hint="default" w:ascii="Times New Roman" w:hAnsi="Times New Roman" w:eastAsia="仿宋_GB2312" w:cs="Times New Roman"/>
          <w:color w:val="auto"/>
          <w:sz w:val="32"/>
          <w:szCs w:val="32"/>
          <w:highlight w:val="none"/>
          <w:lang w:val="en-US" w:eastAsia="zh-CN"/>
        </w:rPr>
        <w:t>干部教育培训“借光计划”</w:t>
      </w:r>
      <w:r>
        <w:rPr>
          <w:rFonts w:hint="default" w:ascii="Times New Roman" w:hAnsi="Times New Roman" w:eastAsia="仿宋_GB2312" w:cs="Times New Roman"/>
          <w:color w:val="auto"/>
          <w:sz w:val="32"/>
          <w:szCs w:val="32"/>
          <w:highlight w:val="none"/>
          <w:u w:val="none" w:color="auto"/>
          <w:lang w:val="en-US" w:eastAsia="zh-CN"/>
        </w:rPr>
        <w:t>。实施“红色引领、思想铸魂”行动，优化党校“合并办班、合班听课、师资共享、场所共用”办学模式，持续探索“现场党课＋文旅体验”等“互动型”教学活动载体。</w:t>
      </w:r>
      <w:r>
        <w:rPr>
          <w:rFonts w:hint="default" w:ascii="Times New Roman" w:hAnsi="Times New Roman" w:eastAsia="仿宋_GB2312" w:cs="Times New Roman"/>
          <w:color w:val="auto"/>
          <w:kern w:val="2"/>
          <w:sz w:val="32"/>
          <w:szCs w:val="32"/>
          <w:highlight w:val="none"/>
          <w:u w:val="none" w:color="auto"/>
          <w:lang w:val="en-US" w:eastAsia="zh-CN" w:bidi="ar-SA"/>
        </w:rPr>
        <w:t>深化</w:t>
      </w:r>
      <w:r>
        <w:rPr>
          <w:rFonts w:hint="default" w:ascii="Times New Roman" w:hAnsi="Times New Roman" w:eastAsia="仿宋_GB2312" w:cs="Times New Roman"/>
          <w:color w:val="auto"/>
          <w:kern w:val="2"/>
          <w:sz w:val="32"/>
          <w:szCs w:val="32"/>
          <w:highlight w:val="none"/>
          <w:u w:val="none" w:color="auto"/>
          <w:lang w:val="en-US" w:eastAsia="zh-CN" w:bidi="ar-SA"/>
        </w:rPr>
        <w:t>党员教育协作机制</w:t>
      </w:r>
      <w:r>
        <w:rPr>
          <w:rFonts w:hint="default" w:ascii="Times New Roman" w:hAnsi="Times New Roman" w:eastAsia="仿宋_GB2312" w:cs="Times New Roman"/>
          <w:color w:val="auto"/>
          <w:kern w:val="2"/>
          <w:sz w:val="32"/>
          <w:szCs w:val="32"/>
          <w:highlight w:val="none"/>
          <w:u w:val="none" w:color="auto"/>
          <w:lang w:val="en-US" w:eastAsia="zh-CN" w:bidi="ar-SA"/>
        </w:rPr>
        <w:t>，</w:t>
      </w:r>
      <w:r>
        <w:rPr>
          <w:rFonts w:hint="default" w:ascii="Times New Roman" w:hAnsi="Times New Roman" w:eastAsia="仿宋_GB2312" w:cs="Times New Roman"/>
          <w:color w:val="auto"/>
          <w:kern w:val="2"/>
          <w:sz w:val="32"/>
          <w:szCs w:val="32"/>
          <w:highlight w:val="none"/>
          <w:u w:val="none" w:color="auto"/>
          <w:lang w:val="en-US" w:eastAsia="zh-CN" w:bidi="ar-SA"/>
        </w:rPr>
        <w:t>发挥川南渝西片区党员教育协同发展平台优势，</w:t>
      </w:r>
      <w:r>
        <w:rPr>
          <w:rFonts w:hint="default" w:ascii="Times New Roman" w:hAnsi="Times New Roman" w:eastAsia="仿宋_GB2312" w:cs="Times New Roman"/>
          <w:color w:val="auto"/>
          <w:kern w:val="2"/>
          <w:sz w:val="32"/>
          <w:szCs w:val="32"/>
          <w:highlight w:val="none"/>
          <w:u w:val="none" w:color="auto"/>
          <w:lang w:val="en-US" w:eastAsia="zh-CN" w:bidi="ar-SA"/>
        </w:rPr>
        <w:t>围绕“</w:t>
      </w:r>
      <w:r>
        <w:rPr>
          <w:rFonts w:hint="default" w:ascii="Times New Roman" w:hAnsi="Times New Roman" w:eastAsia="仿宋_GB2312" w:cs="Times New Roman"/>
          <w:color w:val="auto"/>
          <w:kern w:val="2"/>
          <w:sz w:val="32"/>
          <w:szCs w:val="32"/>
          <w:highlight w:val="none"/>
          <w:u w:val="none" w:color="auto"/>
          <w:lang w:val="en-US" w:eastAsia="zh-CN" w:bidi="ar-SA"/>
        </w:rPr>
        <w:t>红色矩阵</w:t>
      </w:r>
      <w:r>
        <w:rPr>
          <w:rFonts w:hint="default" w:ascii="Times New Roman" w:hAnsi="Times New Roman" w:eastAsia="仿宋_GB2312" w:cs="Times New Roman"/>
          <w:color w:val="auto"/>
          <w:kern w:val="2"/>
          <w:sz w:val="32"/>
          <w:szCs w:val="32"/>
          <w:highlight w:val="none"/>
          <w:u w:val="none" w:color="auto"/>
          <w:lang w:val="en-US" w:eastAsia="zh-CN" w:bidi="ar-SA"/>
        </w:rPr>
        <w:t>”开展</w:t>
      </w:r>
      <w:r>
        <w:rPr>
          <w:rFonts w:hint="default" w:ascii="Times New Roman" w:hAnsi="Times New Roman" w:eastAsia="仿宋_GB2312" w:cs="Times New Roman"/>
          <w:color w:val="auto"/>
          <w:kern w:val="2"/>
          <w:sz w:val="32"/>
          <w:szCs w:val="32"/>
          <w:highlight w:val="none"/>
          <w:u w:val="none" w:color="auto"/>
          <w:lang w:val="en-US" w:eastAsia="zh-CN" w:bidi="ar-SA"/>
        </w:rPr>
        <w:t>省际毗邻地区合作交流推介、师资互派、党员联训，</w:t>
      </w:r>
      <w:r>
        <w:rPr>
          <w:rFonts w:hint="default" w:ascii="Times New Roman" w:hAnsi="Times New Roman" w:eastAsia="仿宋_GB2312" w:cs="Times New Roman"/>
          <w:color w:val="auto"/>
          <w:sz w:val="32"/>
          <w:szCs w:val="32"/>
          <w:highlight w:val="none"/>
          <w:u w:val="none" w:color="auto"/>
          <w:lang w:val="en-US" w:eastAsia="zh-CN"/>
        </w:rPr>
        <w:t>精研一批兼具时代性和在地性的</w:t>
      </w:r>
      <w:r>
        <w:rPr>
          <w:rFonts w:hint="default" w:ascii="Times New Roman" w:hAnsi="Times New Roman" w:eastAsia="仿宋_GB2312" w:cs="Times New Roman"/>
          <w:color w:val="auto"/>
          <w:sz w:val="32"/>
          <w:szCs w:val="32"/>
          <w:highlight w:val="none"/>
          <w:u w:val="none" w:color="auto"/>
          <w:lang w:val="en-US" w:eastAsia="zh-CN"/>
        </w:rPr>
        <w:t>党员教育</w:t>
      </w:r>
      <w:r>
        <w:rPr>
          <w:rFonts w:hint="default" w:ascii="Times New Roman" w:hAnsi="Times New Roman" w:eastAsia="仿宋_GB2312" w:cs="Times New Roman"/>
          <w:color w:val="auto"/>
          <w:sz w:val="32"/>
          <w:szCs w:val="32"/>
          <w:highlight w:val="none"/>
          <w:u w:val="none" w:color="auto"/>
          <w:lang w:val="en-US" w:eastAsia="zh-CN"/>
        </w:rPr>
        <w:t>特色</w:t>
      </w:r>
      <w:r>
        <w:rPr>
          <w:rFonts w:hint="default" w:ascii="Times New Roman" w:hAnsi="Times New Roman" w:eastAsia="仿宋_GB2312" w:cs="Times New Roman"/>
          <w:color w:val="auto"/>
          <w:kern w:val="2"/>
          <w:sz w:val="32"/>
          <w:szCs w:val="32"/>
          <w:highlight w:val="none"/>
          <w:u w:val="none" w:color="auto"/>
          <w:lang w:val="en-US" w:eastAsia="zh-CN" w:bidi="ar-SA"/>
        </w:rPr>
        <w:t>品牌</w:t>
      </w:r>
      <w:r>
        <w:rPr>
          <w:rFonts w:hint="default" w:ascii="Times New Roman" w:hAnsi="Times New Roman" w:eastAsia="仿宋_GB2312" w:cs="Times New Roman"/>
          <w:color w:val="auto"/>
          <w:sz w:val="32"/>
          <w:szCs w:val="32"/>
          <w:highlight w:val="none"/>
          <w:u w:val="none" w:color="auto"/>
          <w:lang w:val="en-US" w:eastAsia="zh-CN"/>
        </w:rPr>
        <w:t>及优质内容</w:t>
      </w:r>
      <w:r>
        <w:rPr>
          <w:rFonts w:hint="default" w:ascii="Times New Roman" w:hAnsi="Times New Roman" w:eastAsia="仿宋_GB2312" w:cs="Times New Roman"/>
          <w:color w:val="auto"/>
          <w:kern w:val="2"/>
          <w:sz w:val="32"/>
          <w:szCs w:val="32"/>
          <w:highlight w:val="none"/>
          <w:u w:val="none" w:color="auto"/>
          <w:lang w:val="en-US" w:eastAsia="zh-CN" w:bidi="ar-SA"/>
        </w:rPr>
        <w:t xml:space="preserve">，推动党课宣讲出新出彩。  </w:t>
      </w:r>
    </w:p>
    <w:p w14:paraId="602280D2">
      <w:pPr>
        <w:keepNext w:val="0"/>
        <w:keepLines w:val="0"/>
        <w:pageBreakBefore w:val="0"/>
        <w:widowControl/>
        <w:suppressLineNumbers w:val="0"/>
        <w:kinsoku/>
        <w:wordWrap/>
        <w:overflowPunct/>
        <w:topLinePunct w:val="0"/>
        <w:autoSpaceDE/>
        <w:autoSpaceDN/>
        <w:bidi w:val="0"/>
        <w:adjustRightInd/>
        <w:snapToGrid/>
        <w:spacing w:line="590" w:lineRule="exact"/>
        <w:ind w:left="0" w:firstLine="643" w:firstLineChars="200"/>
        <w:jc w:val="both"/>
        <w:textAlignment w:val="auto"/>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sz w:val="32"/>
          <w:szCs w:val="32"/>
          <w:highlight w:val="none"/>
          <w:u w:val="none" w:color="auto"/>
          <w:lang w:val="en-US" w:eastAsia="zh-CN"/>
        </w:rPr>
        <w:t>2.聚焦“</w:t>
      </w:r>
      <w:r>
        <w:rPr>
          <w:rFonts w:hint="default" w:ascii="Times New Roman" w:hAnsi="Times New Roman" w:eastAsia="仿宋_GB2312" w:cs="Times New Roman"/>
          <w:b/>
          <w:bCs/>
          <w:color w:val="auto"/>
          <w:sz w:val="32"/>
          <w:szCs w:val="32"/>
          <w:highlight w:val="none"/>
          <w:u w:val="none" w:color="auto"/>
          <w:lang w:val="en-US" w:eastAsia="zh-CN"/>
        </w:rPr>
        <w:t>善作善为</w:t>
      </w:r>
      <w:r>
        <w:rPr>
          <w:rFonts w:hint="default" w:ascii="Times New Roman" w:hAnsi="Times New Roman" w:eastAsia="仿宋_GB2312" w:cs="Times New Roman"/>
          <w:b/>
          <w:bCs/>
          <w:color w:val="auto"/>
          <w:sz w:val="32"/>
          <w:szCs w:val="32"/>
          <w:highlight w:val="none"/>
          <w:u w:val="none" w:color="auto"/>
          <w:lang w:val="en-US" w:eastAsia="zh-CN"/>
        </w:rPr>
        <w:t>”抓实</w:t>
      </w:r>
      <w:r>
        <w:rPr>
          <w:rFonts w:hint="default" w:ascii="Times New Roman" w:hAnsi="Times New Roman" w:eastAsia="仿宋_GB2312" w:cs="Times New Roman"/>
          <w:b/>
          <w:bCs/>
          <w:color w:val="auto"/>
          <w:sz w:val="32"/>
          <w:szCs w:val="32"/>
          <w:highlight w:val="none"/>
          <w:u w:val="none" w:color="auto"/>
          <w:lang w:val="en-US" w:eastAsia="zh-CN"/>
        </w:rPr>
        <w:t>干部</w:t>
      </w:r>
      <w:r>
        <w:rPr>
          <w:rFonts w:hint="default" w:ascii="Times New Roman" w:hAnsi="Times New Roman" w:eastAsia="仿宋_GB2312" w:cs="Times New Roman"/>
          <w:b/>
          <w:bCs/>
          <w:color w:val="auto"/>
          <w:sz w:val="32"/>
          <w:szCs w:val="32"/>
          <w:highlight w:val="none"/>
          <w:u w:val="none" w:color="auto"/>
          <w:lang w:val="en-US" w:eastAsia="zh-CN"/>
        </w:rPr>
        <w:t>选育管用</w:t>
      </w:r>
      <w:r>
        <w:rPr>
          <w:rFonts w:hint="default" w:ascii="Times New Roman" w:hAnsi="Times New Roman" w:eastAsia="仿宋_GB2312" w:cs="Times New Roman"/>
          <w:b/>
          <w:bCs/>
          <w:color w:val="auto"/>
          <w:sz w:val="32"/>
          <w:szCs w:val="32"/>
          <w:highlight w:val="none"/>
          <w:u w:val="none" w:color="auto"/>
          <w:lang w:val="en-US" w:eastAsia="zh-CN"/>
        </w:rPr>
        <w:t>。</w:t>
      </w:r>
      <w:r>
        <w:rPr>
          <w:rFonts w:hint="default" w:ascii="Times New Roman" w:hAnsi="Times New Roman" w:eastAsia="仿宋_GB2312" w:cs="Times New Roman"/>
          <w:b w:val="0"/>
          <w:bCs w:val="0"/>
          <w:color w:val="auto"/>
          <w:sz w:val="32"/>
          <w:szCs w:val="32"/>
          <w:u w:val="none" w:color="auto"/>
          <w:lang w:val="en-US" w:eastAsia="zh-CN"/>
        </w:rPr>
        <w:t>持续深化年轻干</w:t>
      </w:r>
      <w:r>
        <w:rPr>
          <w:rFonts w:hint="default" w:ascii="Times New Roman" w:hAnsi="Times New Roman" w:eastAsia="仿宋_GB2312" w:cs="Times New Roman"/>
          <w:b w:val="0"/>
          <w:bCs w:val="0"/>
          <w:color w:val="auto"/>
          <w:sz w:val="32"/>
          <w:szCs w:val="32"/>
          <w:u w:val="none" w:color="auto"/>
          <w:lang w:val="en-US" w:eastAsia="zh-CN"/>
        </w:rPr>
        <w:t>部“红色薪火”工程，</w:t>
      </w:r>
      <w:r>
        <w:rPr>
          <w:rFonts w:hint="default" w:ascii="Times New Roman" w:hAnsi="Times New Roman" w:eastAsia="仿宋_GB2312" w:cs="Times New Roman"/>
          <w:b w:val="0"/>
          <w:bCs w:val="0"/>
          <w:color w:val="auto"/>
          <w:sz w:val="32"/>
          <w:szCs w:val="32"/>
          <w:u w:val="none" w:color="auto"/>
          <w:lang w:val="en-US" w:eastAsia="zh-CN"/>
        </w:rPr>
        <w:t>综合运用年轻干部座谈会、集中学习教育、常态化谈心谈话等方式强化理想信念教育，引导年轻干部增强宗旨意识。注重将急难险重一线岗位作为培养锻炼年轻干部的主阵地。</w:t>
      </w:r>
      <w:r>
        <w:rPr>
          <w:rFonts w:hint="default" w:ascii="Times New Roman" w:hAnsi="Times New Roman" w:eastAsia="仿宋_GB2312" w:cs="Times New Roman"/>
          <w:b w:val="0"/>
          <w:bCs w:val="0"/>
          <w:color w:val="auto"/>
          <w:kern w:val="2"/>
          <w:sz w:val="32"/>
          <w:szCs w:val="32"/>
          <w:u w:val="none" w:color="auto"/>
          <w:lang w:val="en-US" w:eastAsia="zh-CN" w:bidi="ar-SA"/>
        </w:rPr>
        <w:t>加强常态监督，探索开设干部暖心谈话室，用好分层分级谈心谈话机制。突出重点监督，强化对权力集中、资金密集、资源富集的重点领域干部特别是“一把手”和年轻干部的监督，密切关注“八小时外”监督薄弱环节。严格落实“三个区分开来”，健全容错纠错机制，完善干部激励措施，确保干部“干事有支撑，成事有底气”。</w:t>
      </w:r>
    </w:p>
    <w:p w14:paraId="7FFE539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3.</w:t>
      </w:r>
      <w:r>
        <w:rPr>
          <w:rFonts w:hint="default" w:ascii="Times New Roman" w:hAnsi="Times New Roman" w:eastAsia="仿宋_GB2312" w:cs="Times New Roman"/>
          <w:b/>
          <w:bCs/>
          <w:color w:val="auto"/>
          <w:sz w:val="32"/>
          <w:szCs w:val="32"/>
          <w:highlight w:val="none"/>
          <w:u w:val="none" w:color="auto"/>
          <w:lang w:val="en-US" w:eastAsia="zh-CN"/>
        </w:rPr>
        <w:t>聚焦</w:t>
      </w:r>
      <w:r>
        <w:rPr>
          <w:rFonts w:hint="default" w:ascii="Times New Roman" w:hAnsi="Times New Roman" w:eastAsia="仿宋_GB2312" w:cs="Times New Roman"/>
          <w:b/>
          <w:bCs/>
          <w:color w:val="auto"/>
          <w:sz w:val="32"/>
          <w:szCs w:val="32"/>
          <w:highlight w:val="none"/>
          <w:u w:val="none" w:color="auto"/>
          <w:lang w:val="en-US" w:eastAsia="zh-CN"/>
        </w:rPr>
        <w:t>“固本培元”抓实组织效能提升</w:t>
      </w:r>
      <w:r>
        <w:rPr>
          <w:rFonts w:hint="default" w:ascii="Times New Roman" w:hAnsi="Times New Roman" w:eastAsia="仿宋_GB2312" w:cs="Times New Roman"/>
          <w:b/>
          <w:bCs/>
          <w:color w:val="auto"/>
          <w:sz w:val="32"/>
          <w:szCs w:val="32"/>
          <w:highlight w:val="none"/>
          <w:u w:val="none" w:color="auto"/>
          <w:lang w:val="en-US" w:eastAsia="zh-CN"/>
        </w:rPr>
        <w:t>。</w:t>
      </w:r>
      <w:r>
        <w:rPr>
          <w:rFonts w:hint="default" w:ascii="Times New Roman" w:hAnsi="Times New Roman" w:eastAsia="仿宋_GB2312" w:cs="Times New Roman"/>
          <w:b w:val="0"/>
          <w:bCs w:val="0"/>
          <w:color w:val="auto"/>
          <w:kern w:val="2"/>
          <w:sz w:val="32"/>
          <w:szCs w:val="32"/>
          <w:lang w:val="en-US" w:eastAsia="zh-CN" w:bidi="ar-SA"/>
        </w:rPr>
        <w:t>做好村（社区）“两委”换届重点工作</w:t>
      </w:r>
      <w:r>
        <w:rPr>
          <w:rFonts w:hint="default" w:ascii="Times New Roman" w:hAnsi="Times New Roman" w:eastAsia="仿宋_GB2312" w:cs="Times New Roman"/>
          <w:color w:val="auto"/>
          <w:kern w:val="2"/>
          <w:sz w:val="32"/>
          <w:szCs w:val="32"/>
          <w:highlight w:val="none"/>
          <w:u w:val="none" w:color="auto"/>
          <w:lang w:val="en-US" w:eastAsia="zh-CN" w:bidi="ar-SA"/>
        </w:rPr>
        <w:t>。持续争取2026年中省扶持项目，用好乡村干部实训基地，多元化助推村集体经济发展，做好驻村第一书记和工作队员期满轮换、管理服务等工作，力促党建引领新型农村集体经济提质增效。巩固提升新兴领域“两个覆盖”集中攻坚和党员教育试点成果，探索骑手“友好街区”“友好社区”建设。深入推进“聚力赋能·善治共享”三年行动，持续加强小区党组织建设，选优配强小区带头人队伍，提升小区业委会组建率，做优做精社区名师工作室、安置小区治理等试点工作，构建共建共治共享善治格局。</w:t>
      </w:r>
    </w:p>
    <w:p w14:paraId="2190428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3" w:firstLineChars="200"/>
        <w:textAlignment w:val="auto"/>
        <w:rPr>
          <w:rFonts w:hint="default" w:ascii="Times New Roman" w:hAnsi="Times New Roman" w:eastAsia="仿宋_GB2312" w:cs="Times New Roman"/>
          <w:b w:val="0"/>
          <w:bCs w:val="0"/>
          <w:color w:val="auto"/>
          <w:spacing w:val="0"/>
          <w:kern w:val="2"/>
          <w:sz w:val="32"/>
          <w:szCs w:val="32"/>
          <w:highlight w:val="none"/>
          <w:lang w:val="en-US" w:eastAsia="zh-CN" w:bidi="ar"/>
        </w:rPr>
      </w:pPr>
      <w:r>
        <w:rPr>
          <w:rFonts w:hint="default" w:ascii="Times New Roman" w:hAnsi="Times New Roman" w:eastAsia="仿宋_GB2312" w:cs="Times New Roman"/>
          <w:b/>
          <w:bCs/>
          <w:color w:val="auto"/>
          <w:sz w:val="32"/>
          <w:szCs w:val="32"/>
          <w:highlight w:val="none"/>
          <w:u w:val="none" w:color="auto"/>
          <w:lang w:val="en-US" w:eastAsia="zh-CN"/>
        </w:rPr>
        <w:t>4.</w:t>
      </w:r>
      <w:r>
        <w:rPr>
          <w:rFonts w:hint="default" w:ascii="Times New Roman" w:hAnsi="Times New Roman" w:eastAsia="仿宋_GB2312" w:cs="Times New Roman"/>
          <w:b/>
          <w:bCs/>
          <w:color w:val="auto"/>
          <w:sz w:val="32"/>
          <w:szCs w:val="32"/>
          <w:highlight w:val="none"/>
          <w:u w:val="none" w:color="auto"/>
          <w:lang w:val="en-US" w:eastAsia="zh-CN"/>
        </w:rPr>
        <w:t>聚焦</w:t>
      </w:r>
      <w:r>
        <w:rPr>
          <w:rFonts w:hint="default" w:ascii="Times New Roman" w:hAnsi="Times New Roman" w:eastAsia="仿宋_GB2312" w:cs="Times New Roman"/>
          <w:b/>
          <w:bCs/>
          <w:color w:val="auto"/>
          <w:sz w:val="32"/>
          <w:szCs w:val="32"/>
          <w:highlight w:val="none"/>
          <w:u w:val="none" w:color="auto"/>
          <w:lang w:val="en-US" w:eastAsia="zh-CN"/>
        </w:rPr>
        <w:t>“互融共促”抓实</w:t>
      </w:r>
      <w:r>
        <w:rPr>
          <w:rFonts w:hint="default" w:ascii="Times New Roman" w:hAnsi="Times New Roman" w:eastAsia="仿宋_GB2312" w:cs="Times New Roman"/>
          <w:b/>
          <w:bCs/>
          <w:color w:val="auto"/>
          <w:sz w:val="32"/>
          <w:szCs w:val="32"/>
          <w:highlight w:val="none"/>
          <w:u w:val="none" w:color="auto"/>
          <w:lang w:val="en-US" w:eastAsia="zh-CN"/>
        </w:rPr>
        <w:t>人才</w:t>
      </w:r>
      <w:r>
        <w:rPr>
          <w:rFonts w:hint="default" w:ascii="Times New Roman" w:hAnsi="Times New Roman" w:eastAsia="仿宋_GB2312" w:cs="Times New Roman"/>
          <w:b/>
          <w:bCs/>
          <w:color w:val="auto"/>
          <w:sz w:val="32"/>
          <w:szCs w:val="32"/>
          <w:highlight w:val="none"/>
          <w:u w:val="none" w:color="auto"/>
          <w:lang w:val="en-US" w:eastAsia="zh-CN"/>
        </w:rPr>
        <w:t>生态优化</w:t>
      </w:r>
      <w:r>
        <w:rPr>
          <w:rFonts w:hint="default" w:ascii="Times New Roman" w:hAnsi="Times New Roman" w:eastAsia="仿宋_GB2312" w:cs="Times New Roman"/>
          <w:b/>
          <w:bCs/>
          <w:color w:val="auto"/>
          <w:sz w:val="32"/>
          <w:szCs w:val="32"/>
          <w:highlight w:val="none"/>
          <w:u w:val="none" w:color="auto"/>
          <w:lang w:val="en-US" w:eastAsia="zh-CN"/>
        </w:rPr>
        <w:t>。</w:t>
      </w:r>
      <w:r>
        <w:rPr>
          <w:rFonts w:hint="default" w:ascii="Times New Roman" w:hAnsi="Times New Roman" w:eastAsia="仿宋_GB2312" w:cs="Times New Roman"/>
          <w:color w:val="auto"/>
          <w:sz w:val="32"/>
          <w:szCs w:val="40"/>
          <w:highlight w:val="none"/>
          <w:u w:val="none"/>
          <w:lang w:val="en-US" w:eastAsia="zh-CN"/>
        </w:rPr>
        <w:t>创新实施“智汇大安”聚才行动，紧盯数据标注、文旅融合等重点产业需求，办好“盐都人才月”“自贡知名高校行”等专场活动，联合重点企事业单位赴省内外高校“组团引才”。</w:t>
      </w:r>
      <w:r>
        <w:rPr>
          <w:rFonts w:hint="default" w:ascii="Times New Roman" w:hAnsi="Times New Roman" w:eastAsia="仿宋_GB2312" w:cs="Times New Roman"/>
          <w:b w:val="0"/>
          <w:bCs w:val="0"/>
          <w:color w:val="auto"/>
          <w:spacing w:val="0"/>
          <w:kern w:val="2"/>
          <w:sz w:val="32"/>
          <w:szCs w:val="32"/>
          <w:highlight w:val="none"/>
          <w:lang w:val="en-US" w:eastAsia="zh-CN" w:bidi="ar"/>
        </w:rPr>
        <w:t>联合云南大学等高校共建文旅、乡村人才培育平台，</w:t>
      </w:r>
      <w:r>
        <w:rPr>
          <w:rFonts w:hint="default" w:ascii="Times New Roman" w:hAnsi="Times New Roman" w:eastAsia="仿宋_GB2312" w:cs="Times New Roman"/>
          <w:color w:val="auto"/>
          <w:sz w:val="32"/>
          <w:lang w:val="en-US" w:eastAsia="zh-CN"/>
        </w:rPr>
        <w:t>提速推进自贡（大安）中试产业园二期项目等创新平台建设，</w:t>
      </w:r>
      <w:r>
        <w:rPr>
          <w:rFonts w:hint="default" w:ascii="Times New Roman" w:hAnsi="Times New Roman" w:eastAsia="仿宋_GB2312" w:cs="Times New Roman"/>
          <w:b w:val="0"/>
          <w:color w:val="auto"/>
          <w:sz w:val="32"/>
          <w:lang w:val="en-US" w:eastAsia="zh"/>
        </w:rPr>
        <w:t>支持</w:t>
      </w:r>
      <w:r>
        <w:rPr>
          <w:rFonts w:hint="default" w:ascii="Times New Roman" w:hAnsi="Times New Roman" w:eastAsia="仿宋_GB2312" w:cs="Times New Roman"/>
          <w:b w:val="0"/>
          <w:color w:val="auto"/>
          <w:sz w:val="32"/>
          <w:lang w:val="en-US" w:eastAsia="zh-CN"/>
        </w:rPr>
        <w:t>自硬公司等重点企业</w:t>
      </w:r>
      <w:r>
        <w:rPr>
          <w:rFonts w:hint="default" w:ascii="Times New Roman" w:hAnsi="Times New Roman" w:eastAsia="仿宋_GB2312" w:cs="Times New Roman"/>
          <w:b w:val="0"/>
          <w:color w:val="auto"/>
          <w:sz w:val="32"/>
          <w:lang w:val="en-US" w:eastAsia="zh"/>
        </w:rPr>
        <w:t>与</w:t>
      </w:r>
      <w:r>
        <w:rPr>
          <w:rFonts w:hint="default" w:ascii="Times New Roman" w:hAnsi="Times New Roman" w:eastAsia="仿宋_GB2312" w:cs="Times New Roman"/>
          <w:b w:val="0"/>
          <w:color w:val="auto"/>
          <w:sz w:val="32"/>
          <w:lang w:val="en-US" w:eastAsia="zh-CN"/>
        </w:rPr>
        <w:t>知名</w:t>
      </w:r>
      <w:r>
        <w:rPr>
          <w:rFonts w:hint="default" w:ascii="Times New Roman" w:hAnsi="Times New Roman" w:eastAsia="仿宋_GB2312" w:cs="Times New Roman"/>
          <w:b w:val="0"/>
          <w:color w:val="auto"/>
          <w:sz w:val="32"/>
          <w:lang w:val="en-US" w:eastAsia="zh"/>
        </w:rPr>
        <w:t>高校联合开展重大任务攻关、科研项目申报</w:t>
      </w:r>
      <w:r>
        <w:rPr>
          <w:rFonts w:hint="default" w:ascii="Times New Roman" w:hAnsi="Times New Roman" w:eastAsia="仿宋_GB2312" w:cs="Times New Roman"/>
          <w:b w:val="0"/>
          <w:color w:val="auto"/>
          <w:sz w:val="32"/>
          <w:lang w:val="en-US" w:eastAsia="zh-CN"/>
        </w:rPr>
        <w:t>，</w:t>
      </w:r>
      <w:r>
        <w:rPr>
          <w:rFonts w:hint="default" w:ascii="Times New Roman" w:hAnsi="Times New Roman" w:eastAsia="仿宋_GB2312" w:cs="Times New Roman"/>
          <w:color w:val="auto"/>
          <w:sz w:val="32"/>
          <w:szCs w:val="40"/>
          <w:highlight w:val="none"/>
          <w:u w:val="none"/>
          <w:lang w:val="en-US" w:eastAsia="zh-CN"/>
        </w:rPr>
        <w:t>加强跟进企业重大人才计划申报指导。探索实施“产业青苗计划”，联动高职院校开展技能人才“定制服务”，定向培养产业急需技能型人才，充分</w:t>
      </w:r>
      <w:r>
        <w:rPr>
          <w:rFonts w:hint="default" w:ascii="Times New Roman" w:hAnsi="Times New Roman" w:eastAsia="仿宋_GB2312" w:cs="Times New Roman"/>
          <w:color w:val="auto"/>
          <w:kern w:val="2"/>
          <w:sz w:val="32"/>
          <w:szCs w:val="40"/>
          <w:highlight w:val="none"/>
          <w:u w:val="none"/>
          <w:lang w:val="en-US" w:eastAsia="zh-CN" w:bidi="ar-SA"/>
        </w:rPr>
        <w:t>释放外联校企资源、内育产业人才新势能</w:t>
      </w:r>
      <w:r>
        <w:rPr>
          <w:rFonts w:hint="default" w:ascii="Times New Roman" w:hAnsi="Times New Roman" w:eastAsia="仿宋_GB2312" w:cs="Times New Roman"/>
          <w:color w:val="auto"/>
          <w:sz w:val="32"/>
          <w:szCs w:val="40"/>
          <w:highlight w:val="none"/>
          <w:u w:val="none"/>
          <w:lang w:val="en-US" w:eastAsia="zh-CN"/>
        </w:rPr>
        <w:t>。</w:t>
      </w:r>
    </w:p>
    <w:p w14:paraId="2627BCAC">
      <w:pPr>
        <w:pStyle w:val="3"/>
        <w:keepNext/>
        <w:keepLines/>
        <w:pageBreakBefore w:val="0"/>
        <w:widowControl w:val="0"/>
        <w:kinsoku/>
        <w:wordWrap/>
        <w:overflowPunct/>
        <w:topLinePunct w:val="0"/>
        <w:autoSpaceDE/>
        <w:autoSpaceDN/>
        <w:bidi w:val="0"/>
        <w:adjustRightInd/>
        <w:snapToGrid/>
        <w:spacing w:before="0" w:after="0" w:line="590" w:lineRule="exact"/>
        <w:ind w:left="0"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w:t>
      </w:r>
      <w:r>
        <w:rPr>
          <w:rFonts w:hint="default" w:ascii="Times New Roman" w:hAnsi="Times New Roman" w:eastAsia="黑体" w:cs="Times New Roman"/>
          <w:b w:val="0"/>
          <w:bCs w:val="0"/>
          <w:sz w:val="32"/>
          <w:szCs w:val="32"/>
          <w:lang w:val="en-US" w:eastAsia="zh-CN"/>
        </w:rPr>
        <w:t>单位</w:t>
      </w:r>
      <w:r>
        <w:rPr>
          <w:rFonts w:hint="default" w:ascii="Times New Roman" w:hAnsi="Times New Roman" w:eastAsia="黑体" w:cs="Times New Roman"/>
          <w:b w:val="0"/>
          <w:bCs w:val="0"/>
          <w:sz w:val="32"/>
          <w:szCs w:val="32"/>
        </w:rPr>
        <w:t>概况</w:t>
      </w:r>
      <w:bookmarkEnd w:id="6"/>
    </w:p>
    <w:p w14:paraId="006FB3C5">
      <w:pPr>
        <w:pStyle w:val="4"/>
        <w:keepNext w:val="0"/>
        <w:keepLines w:val="0"/>
        <w:pageBreakBefore w:val="0"/>
        <w:widowControl w:val="0"/>
        <w:kinsoku/>
        <w:wordWrap/>
        <w:overflowPunct/>
        <w:topLinePunct w:val="0"/>
        <w:autoSpaceDE/>
        <w:autoSpaceDN/>
        <w:bidi w:val="0"/>
        <w:spacing w:line="590" w:lineRule="exact"/>
        <w:ind w:left="0" w:leftChars="0" w:firstLine="640" w:firstLineChars="200"/>
        <w:textAlignment w:val="auto"/>
        <w:rPr>
          <w:rFonts w:hint="default" w:ascii="Times New Roman" w:hAnsi="Times New Roman" w:eastAsia="仿宋_GB2312" w:cs="Times New Roman"/>
          <w:b/>
          <w:bCs w:val="0"/>
          <w:color w:val="FF0000"/>
          <w:sz w:val="32"/>
          <w:szCs w:val="32"/>
          <w:lang w:val="en-US" w:eastAsia="zh-CN"/>
        </w:rPr>
      </w:pPr>
      <w:r>
        <w:rPr>
          <w:rFonts w:hint="default" w:ascii="Times New Roman" w:hAnsi="Times New Roman" w:eastAsia="仿宋_GB2312" w:cs="Times New Roman"/>
          <w:color w:val="auto"/>
          <w:kern w:val="2"/>
          <w:sz w:val="32"/>
          <w:szCs w:val="32"/>
          <w:highlight w:val="none"/>
          <w:u w:val="none" w:color="auto"/>
          <w:lang w:val="en-US" w:eastAsia="zh-CN" w:bidi="ar-SA"/>
        </w:rPr>
        <w:t>大安区委组织部属于大安区委组织部下属二级预算单位，为行政单位。内设办公室、信息室、组织室、干部室、公务员室、人才室、干监室、老干部室8个股室。二级单位3个，分别为大安区委组织部机关、大安区委组织部党员教育中心、大安区</w:t>
      </w:r>
      <w:r>
        <w:rPr>
          <w:rFonts w:hint="default" w:ascii="Times New Roman" w:hAnsi="Times New Roman" w:eastAsia="仿宋_GB2312" w:cs="Times New Roman"/>
          <w:color w:val="auto"/>
          <w:kern w:val="2"/>
          <w:sz w:val="32"/>
          <w:szCs w:val="32"/>
          <w:highlight w:val="none"/>
          <w:u w:val="none" w:color="auto"/>
          <w:lang w:val="en-US" w:eastAsia="zh-CN" w:bidi="ar-SA"/>
        </w:rPr>
        <w:t>人才发展促进</w:t>
      </w:r>
      <w:r>
        <w:rPr>
          <w:rFonts w:hint="default" w:ascii="Times New Roman" w:hAnsi="Times New Roman" w:eastAsia="仿宋_GB2312" w:cs="Times New Roman"/>
          <w:color w:val="auto"/>
          <w:kern w:val="2"/>
          <w:sz w:val="32"/>
          <w:szCs w:val="32"/>
          <w:highlight w:val="none"/>
          <w:u w:val="none" w:color="auto"/>
          <w:lang w:val="en-US" w:eastAsia="zh-CN" w:bidi="ar-SA"/>
        </w:rPr>
        <w:t>中心，其中大安区委组织部党员教育中心、大安区</w:t>
      </w:r>
      <w:r>
        <w:rPr>
          <w:rFonts w:hint="default" w:ascii="Times New Roman" w:hAnsi="Times New Roman" w:eastAsia="仿宋_GB2312" w:cs="Times New Roman"/>
          <w:color w:val="auto"/>
          <w:kern w:val="2"/>
          <w:sz w:val="32"/>
          <w:szCs w:val="32"/>
          <w:highlight w:val="none"/>
          <w:u w:val="none" w:color="auto"/>
          <w:lang w:val="en-US" w:eastAsia="zh-CN" w:bidi="ar-SA"/>
        </w:rPr>
        <w:t>人才发展促进</w:t>
      </w:r>
      <w:r>
        <w:rPr>
          <w:rFonts w:hint="default" w:ascii="Times New Roman" w:hAnsi="Times New Roman" w:eastAsia="仿宋_GB2312" w:cs="Times New Roman"/>
          <w:color w:val="auto"/>
          <w:kern w:val="2"/>
          <w:sz w:val="32"/>
          <w:szCs w:val="32"/>
          <w:highlight w:val="none"/>
          <w:u w:val="none" w:color="auto"/>
          <w:lang w:val="en-US" w:eastAsia="zh-CN" w:bidi="ar-SA"/>
        </w:rPr>
        <w:t>中心均未独立核算。</w:t>
      </w:r>
    </w:p>
    <w:p w14:paraId="55EA820E">
      <w:pPr>
        <w:pStyle w:val="3"/>
        <w:pageBreakBefore w:val="0"/>
        <w:widowControl w:val="0"/>
        <w:kinsoku/>
        <w:wordWrap/>
        <w:overflowPunct/>
        <w:topLinePunct w:val="0"/>
        <w:autoSpaceDE/>
        <w:autoSpaceDN/>
        <w:bidi w:val="0"/>
        <w:spacing w:before="0" w:after="0" w:line="590" w:lineRule="exact"/>
        <w:ind w:left="0" w:firstLine="640" w:firstLineChars="200"/>
        <w:textAlignment w:val="auto"/>
        <w:rPr>
          <w:rFonts w:hint="default" w:ascii="Times New Roman" w:hAnsi="Times New Roman" w:eastAsia="黑体" w:cs="Times New Roman"/>
          <w:b w:val="0"/>
          <w:bCs w:val="0"/>
          <w:sz w:val="32"/>
          <w:szCs w:val="32"/>
        </w:rPr>
      </w:pPr>
      <w:bookmarkStart w:id="7" w:name="_Toc72430481"/>
      <w:r>
        <w:rPr>
          <w:rFonts w:hint="default" w:ascii="Times New Roman" w:hAnsi="Times New Roman" w:eastAsia="黑体" w:cs="Times New Roman"/>
          <w:b w:val="0"/>
          <w:bCs w:val="0"/>
          <w:sz w:val="32"/>
          <w:szCs w:val="32"/>
        </w:rPr>
        <w:t>三、收支预算情况说明</w:t>
      </w:r>
      <w:bookmarkEnd w:id="7"/>
    </w:p>
    <w:p w14:paraId="013D8820">
      <w:pPr>
        <w:pageBreakBefore w:val="0"/>
        <w:widowControl w:val="0"/>
        <w:kinsoku/>
        <w:wordWrap/>
        <w:overflowPunct/>
        <w:topLinePunct w:val="0"/>
        <w:autoSpaceDE/>
        <w:autoSpaceDN/>
        <w:bidi w:val="0"/>
        <w:spacing w:line="590" w:lineRule="exact"/>
        <w:ind w:left="0" w:firstLine="64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color w:val="000000" w:themeColor="text1"/>
          <w:sz w:val="32"/>
          <w:szCs w:val="32"/>
          <w14:textFill>
            <w14:solidFill>
              <w14:schemeClr w14:val="tx1"/>
            </w14:solidFill>
          </w14:textFill>
        </w:rPr>
        <w:t>按照综合预算的原则，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所有收入和支出均纳入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预算管理。收入包括：一般公共预算拨款收入；支出包括：一般公共服务支出、社会保障和就业支出、卫生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健康</w:t>
      </w:r>
      <w:r>
        <w:rPr>
          <w:rFonts w:hint="default" w:ascii="Times New Roman" w:hAnsi="Times New Roman" w:eastAsia="仿宋_GB2312" w:cs="Times New Roman"/>
          <w:color w:val="000000" w:themeColor="text1"/>
          <w:sz w:val="32"/>
          <w:szCs w:val="32"/>
          <w14:textFill>
            <w14:solidFill>
              <w14:schemeClr w14:val="tx1"/>
            </w14:solidFill>
          </w14:textFill>
        </w:rPr>
        <w:t>支出、住房保障支出。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年收支总预算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万元，比20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14:textFill>
            <w14:solidFill>
              <w14:schemeClr w14:val="tx1"/>
            </w14:solidFill>
          </w14:textFill>
        </w:rPr>
        <w:t>年收支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预算总数减少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16.91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r>
        <w:rPr>
          <w:rFonts w:hint="default" w:ascii="Times New Roman" w:hAnsi="Times New Roman" w:eastAsia="仿宋_GB2312" w:cs="Times New Roman"/>
          <w:color w:val="000000" w:themeColor="text1"/>
          <w:sz w:val="32"/>
          <w:szCs w:val="32"/>
          <w14:textFill>
            <w14:solidFill>
              <w14:schemeClr w14:val="tx1"/>
            </w14:solidFill>
          </w14:textFill>
        </w:rPr>
        <w:t>，主要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人员减少，人员经费减少。</w:t>
      </w:r>
    </w:p>
    <w:p w14:paraId="6E4780BE">
      <w:pPr>
        <w:pStyle w:val="6"/>
        <w:pageBreakBefore w:val="0"/>
        <w:widowControl w:val="0"/>
        <w:kinsoku/>
        <w:wordWrap/>
        <w:overflowPunct/>
        <w:topLinePunct w:val="0"/>
        <w:autoSpaceDE/>
        <w:autoSpaceDN/>
        <w:bidi w:val="0"/>
        <w:adjustRightInd w:val="0"/>
        <w:snapToGrid w:val="0"/>
        <w:spacing w:before="0" w:beforeLines="0" w:line="590" w:lineRule="exact"/>
        <w:ind w:left="0" w:firstLine="630" w:firstLineChars="196"/>
        <w:textAlignment w:val="auto"/>
        <w:outlineLvl w:val="1"/>
        <w:rPr>
          <w:rFonts w:hint="default" w:ascii="Times New Roman" w:hAnsi="Times New Roman" w:eastAsia="楷体_GB2312" w:cs="Times New Roman"/>
          <w:b w:val="0"/>
          <w:bCs w:val="0"/>
          <w:sz w:val="32"/>
          <w:szCs w:val="32"/>
        </w:rPr>
      </w:pPr>
      <w:bookmarkStart w:id="8" w:name="_Toc72430482"/>
      <w:r>
        <w:rPr>
          <w:rFonts w:hint="default" w:ascii="Times New Roman" w:hAnsi="Times New Roman" w:eastAsia="楷体_GB2312" w:cs="Times New Roman"/>
          <w:b/>
          <w:bCs/>
          <w:sz w:val="32"/>
          <w:szCs w:val="32"/>
          <w:lang w:eastAsia="zh-CN"/>
        </w:rPr>
        <w:t>（一）收入预算情况</w:t>
      </w:r>
      <w:bookmarkEnd w:id="8"/>
    </w:p>
    <w:p w14:paraId="5B910158">
      <w:pPr>
        <w:pageBreakBefore w:val="0"/>
        <w:widowControl w:val="0"/>
        <w:kinsoku/>
        <w:wordWrap/>
        <w:overflowPunct/>
        <w:topLinePunct w:val="0"/>
        <w:autoSpaceDE/>
        <w:autoSpaceDN/>
        <w:bidi w:val="0"/>
        <w:spacing w:line="590" w:lineRule="exact"/>
        <w:ind w:left="0"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年收入预算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万元，其中：一般公共预算拨款收入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100</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58C824B8">
      <w:pPr>
        <w:rPr>
          <w:rFonts w:hint="default" w:ascii="Times New Roman" w:hAnsi="Times New Roman" w:cs="Times New Roman"/>
        </w:rPr>
      </w:pPr>
      <w:r>
        <w:rPr>
          <w:rFonts w:hint="default" w:ascii="Times New Roman" w:hAnsi="Times New Roman" w:eastAsia="仿宋_GB2312" w:cs="Times New Roman"/>
          <w:b w:val="0"/>
          <w:sz w:val="32"/>
          <w:szCs w:val="32"/>
          <w:lang w:eastAsia="zh-CN"/>
        </w:rPr>
        <w:drawing>
          <wp:anchor distT="0" distB="0" distL="114300" distR="114300" simplePos="0" relativeHeight="251660288" behindDoc="0" locked="0" layoutInCell="1" allowOverlap="1">
            <wp:simplePos x="0" y="0"/>
            <wp:positionH relativeFrom="column">
              <wp:posOffset>906780</wp:posOffset>
            </wp:positionH>
            <wp:positionV relativeFrom="paragraph">
              <wp:posOffset>45720</wp:posOffset>
            </wp:positionV>
            <wp:extent cx="3900805" cy="2297430"/>
            <wp:effectExtent l="4445" t="4445" r="19050" b="2222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585056DF">
      <w:pPr>
        <w:pStyle w:val="2"/>
        <w:rPr>
          <w:rFonts w:hint="default" w:ascii="Times New Roman" w:hAnsi="Times New Roman" w:cs="Times New Roman"/>
        </w:rPr>
      </w:pPr>
    </w:p>
    <w:p w14:paraId="227F6751">
      <w:pPr>
        <w:rPr>
          <w:rFonts w:hint="default" w:ascii="Times New Roman" w:hAnsi="Times New Roman" w:cs="Times New Roman"/>
        </w:rPr>
      </w:pPr>
    </w:p>
    <w:p w14:paraId="555DCAAD">
      <w:pPr>
        <w:keepNext w:val="0"/>
        <w:keepLines w:val="0"/>
        <w:pageBreakBefore w:val="0"/>
        <w:widowControl w:val="0"/>
        <w:kinsoku/>
        <w:wordWrap/>
        <w:overflowPunct/>
        <w:topLinePunct w:val="0"/>
        <w:autoSpaceDE/>
        <w:autoSpaceDN/>
        <w:bidi w:val="0"/>
        <w:spacing w:line="590" w:lineRule="exact"/>
        <w:ind w:firstLine="640" w:firstLineChars="200"/>
        <w:jc w:val="center"/>
        <w:textAlignment w:val="auto"/>
        <w:rPr>
          <w:rFonts w:hint="default" w:ascii="Times New Roman" w:hAnsi="Times New Roman" w:cs="Times New Roman"/>
        </w:rPr>
      </w:pPr>
      <w:r>
        <w:rPr>
          <w:rFonts w:hint="default" w:ascii="Times New Roman" w:hAnsi="Times New Roman" w:eastAsia="仿宋_GB2312" w:cs="Times New Roman"/>
          <w:b w:val="0"/>
          <w:sz w:val="32"/>
          <w:szCs w:val="32"/>
        </w:rPr>
        <w:t>图1：收入预算结构图</w:t>
      </w:r>
    </w:p>
    <w:p w14:paraId="4F0971F4">
      <w:pPr>
        <w:pStyle w:val="6"/>
        <w:keepNext w:val="0"/>
        <w:keepLines w:val="0"/>
        <w:pageBreakBefore w:val="0"/>
        <w:widowControl w:val="0"/>
        <w:kinsoku/>
        <w:wordWrap/>
        <w:overflowPunct/>
        <w:topLinePunct w:val="0"/>
        <w:autoSpaceDE/>
        <w:autoSpaceDN/>
        <w:bidi w:val="0"/>
        <w:adjustRightInd w:val="0"/>
        <w:snapToGrid w:val="0"/>
        <w:spacing w:before="0" w:beforeLines="0" w:line="590" w:lineRule="exact"/>
        <w:ind w:firstLine="630" w:firstLineChars="196"/>
        <w:textAlignment w:val="auto"/>
        <w:outlineLvl w:val="1"/>
        <w:rPr>
          <w:rFonts w:hint="default" w:ascii="Times New Roman" w:hAnsi="Times New Roman" w:eastAsia="楷体_GB2312" w:cs="Times New Roman"/>
          <w:b w:val="0"/>
          <w:bCs w:val="0"/>
          <w:sz w:val="32"/>
          <w:szCs w:val="32"/>
        </w:rPr>
      </w:pPr>
      <w:bookmarkStart w:id="9" w:name="_Toc72430483"/>
      <w:r>
        <w:rPr>
          <w:rFonts w:hint="default" w:ascii="Times New Roman" w:hAnsi="Times New Roman" w:eastAsia="楷体_GB2312" w:cs="Times New Roman"/>
          <w:b/>
          <w:bCs/>
          <w:sz w:val="32"/>
          <w:szCs w:val="32"/>
          <w:lang w:eastAsia="zh-CN"/>
        </w:rPr>
        <w:t>（二）支出预算情况</w:t>
      </w:r>
      <w:bookmarkEnd w:id="9"/>
    </w:p>
    <w:p w14:paraId="7B96D8EF">
      <w:pPr>
        <w:keepNext w:val="0"/>
        <w:keepLines w:val="0"/>
        <w:pageBreakBefore w:val="0"/>
        <w:widowControl w:val="0"/>
        <w:kinsoku/>
        <w:wordWrap/>
        <w:overflowPunct/>
        <w:topLinePunct w:val="0"/>
        <w:autoSpaceDE/>
        <w:autoSpaceDN/>
        <w:bidi w:val="0"/>
        <w:spacing w:line="590" w:lineRule="exact"/>
        <w:ind w:firstLine="645"/>
        <w:textAlignment w:val="auto"/>
        <w:rPr>
          <w:rFonts w:hint="default" w:ascii="Times New Roman" w:hAnsi="Times New Roman" w:eastAsia="仿宋_GB2312" w:cs="Times New Roman"/>
          <w:b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年支出预算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万元，其中：基本支出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438.91</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48.32</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469.34</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51.68</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5081E593">
      <w:pPr>
        <w:pStyle w:val="2"/>
        <w:rPr>
          <w:rFonts w:hint="default" w:ascii="Times New Roman" w:hAnsi="Times New Roman" w:cs="Times New Roman"/>
        </w:rPr>
      </w:pPr>
      <w:r>
        <w:rPr>
          <w:rFonts w:hint="default" w:ascii="Times New Roman" w:hAnsi="Times New Roman" w:eastAsia="仿宋_GB2312" w:cs="Times New Roman"/>
          <w:lang w:eastAsia="zh-CN"/>
        </w:rPr>
        <w:drawing>
          <wp:anchor distT="0" distB="0" distL="114300" distR="114300" simplePos="0" relativeHeight="251661312" behindDoc="0" locked="0" layoutInCell="1" allowOverlap="1">
            <wp:simplePos x="0" y="0"/>
            <wp:positionH relativeFrom="column">
              <wp:posOffset>1028700</wp:posOffset>
            </wp:positionH>
            <wp:positionV relativeFrom="paragraph">
              <wp:posOffset>52070</wp:posOffset>
            </wp:positionV>
            <wp:extent cx="3889375" cy="2437765"/>
            <wp:effectExtent l="4445" t="4445" r="11430" b="1524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0650D99">
      <w:pPr>
        <w:rPr>
          <w:rFonts w:hint="default" w:ascii="Times New Roman" w:hAnsi="Times New Roman" w:cs="Times New Roman"/>
        </w:rPr>
      </w:pPr>
    </w:p>
    <w:p w14:paraId="100478C8">
      <w:pPr>
        <w:pStyle w:val="2"/>
        <w:rPr>
          <w:rFonts w:hint="default" w:ascii="Times New Roman" w:hAnsi="Times New Roman" w:cs="Times New Roman"/>
        </w:rPr>
      </w:pPr>
    </w:p>
    <w:p w14:paraId="5AEB44E5">
      <w:pPr>
        <w:rPr>
          <w:rFonts w:hint="default" w:ascii="Times New Roman" w:hAnsi="Times New Roman" w:cs="Times New Roman"/>
        </w:rPr>
      </w:pPr>
    </w:p>
    <w:p w14:paraId="083B2C1C">
      <w:pPr>
        <w:pStyle w:val="2"/>
        <w:rPr>
          <w:rFonts w:hint="default" w:ascii="Times New Roman" w:hAnsi="Times New Roman" w:cs="Times New Roman"/>
        </w:rPr>
      </w:pPr>
    </w:p>
    <w:p w14:paraId="078D53AC">
      <w:pPr>
        <w:rPr>
          <w:rFonts w:hint="default" w:ascii="Times New Roman" w:hAnsi="Times New Roman" w:cs="Times New Roman"/>
        </w:rPr>
      </w:pPr>
    </w:p>
    <w:p w14:paraId="3D9E0F45">
      <w:pPr>
        <w:keepNext w:val="0"/>
        <w:keepLines w:val="0"/>
        <w:pageBreakBefore w:val="0"/>
        <w:kinsoku/>
        <w:wordWrap/>
        <w:overflowPunct/>
        <w:topLinePunct w:val="0"/>
        <w:bidi w:val="0"/>
        <w:spacing w:line="592" w:lineRule="exact"/>
        <w:jc w:val="both"/>
        <w:textAlignment w:val="auto"/>
        <w:rPr>
          <w:rFonts w:hint="default" w:ascii="Times New Roman" w:hAnsi="Times New Roman" w:eastAsia="仿宋_GB2312" w:cs="Times New Roman"/>
          <w:b w:val="0"/>
          <w:sz w:val="32"/>
          <w:szCs w:val="32"/>
        </w:rPr>
      </w:pPr>
    </w:p>
    <w:p w14:paraId="4ED5EEC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仿宋_GB2312" w:cs="Times New Roman"/>
          <w:b w:val="0"/>
          <w:sz w:val="32"/>
          <w:szCs w:val="32"/>
        </w:rPr>
      </w:pPr>
    </w:p>
    <w:p w14:paraId="7328655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cs="Times New Roman"/>
        </w:rPr>
      </w:pPr>
      <w:r>
        <w:rPr>
          <w:rFonts w:hint="default" w:ascii="Times New Roman" w:hAnsi="Times New Roman" w:eastAsia="仿宋_GB2312" w:cs="Times New Roman"/>
          <w:b w:val="0"/>
          <w:sz w:val="32"/>
          <w:szCs w:val="32"/>
        </w:rPr>
        <w:t>图2：支出预算结构图</w:t>
      </w:r>
    </w:p>
    <w:p w14:paraId="401C9BBC">
      <w:pPr>
        <w:pStyle w:val="3"/>
        <w:pageBreakBefore w:val="0"/>
        <w:widowControl w:val="0"/>
        <w:kinsoku/>
        <w:wordWrap/>
        <w:overflowPunct/>
        <w:topLinePunct w:val="0"/>
        <w:autoSpaceDE/>
        <w:autoSpaceDN/>
        <w:bidi w:val="0"/>
        <w:adjustRightInd/>
        <w:snapToGrid/>
        <w:spacing w:before="0" w:after="0" w:line="590" w:lineRule="exact"/>
        <w:ind w:firstLine="640" w:firstLineChars="200"/>
        <w:textAlignment w:val="auto"/>
        <w:rPr>
          <w:rFonts w:hint="default" w:ascii="Times New Roman" w:hAnsi="Times New Roman" w:eastAsia="仿宋_GB2312" w:cs="Times New Roman"/>
          <w:b w:val="0"/>
          <w:bCs w:val="0"/>
          <w:color w:val="333333"/>
          <w:sz w:val="32"/>
          <w:szCs w:val="32"/>
        </w:rPr>
      </w:pPr>
      <w:bookmarkStart w:id="10" w:name="_Toc72430484"/>
      <w:r>
        <w:rPr>
          <w:rFonts w:hint="default" w:ascii="Times New Roman" w:hAnsi="Times New Roman" w:eastAsia="黑体" w:cs="Times New Roman"/>
          <w:b w:val="0"/>
          <w:bCs w:val="0"/>
          <w:sz w:val="32"/>
          <w:szCs w:val="32"/>
        </w:rPr>
        <w:t>四、财政拨款收支预算情况说明</w:t>
      </w:r>
      <w:bookmarkEnd w:id="10"/>
    </w:p>
    <w:p w14:paraId="3DAA87C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年财政拨款收支总预算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比20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年财政拨款收支总预算减少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16.91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万元，主要原因是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人员减少，人员经费减少。</w:t>
      </w:r>
    </w:p>
    <w:p w14:paraId="04876A44">
      <w:pPr>
        <w:pStyle w:val="2"/>
        <w:ind w:left="0" w:leftChars="0" w:firstLine="0" w:firstLineChars="0"/>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eastAsia="zh-CN"/>
        </w:rPr>
        <w:drawing>
          <wp:anchor distT="0" distB="0" distL="114300" distR="114300" simplePos="0" relativeHeight="251662336" behindDoc="0" locked="0" layoutInCell="1" allowOverlap="1">
            <wp:simplePos x="0" y="0"/>
            <wp:positionH relativeFrom="column">
              <wp:posOffset>855345</wp:posOffset>
            </wp:positionH>
            <wp:positionV relativeFrom="paragraph">
              <wp:posOffset>72390</wp:posOffset>
            </wp:positionV>
            <wp:extent cx="3700145" cy="2219325"/>
            <wp:effectExtent l="4445" t="4445" r="10160" b="508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3482696">
      <w:pPr>
        <w:rPr>
          <w:rFonts w:hint="default" w:ascii="Times New Roman" w:hAnsi="Times New Roman" w:eastAsia="仿宋_GB2312" w:cs="Times New Roman"/>
          <w:b w:val="0"/>
          <w:sz w:val="32"/>
          <w:szCs w:val="32"/>
        </w:rPr>
      </w:pPr>
    </w:p>
    <w:p w14:paraId="4F58B92C">
      <w:pPr>
        <w:pStyle w:val="2"/>
        <w:rPr>
          <w:rFonts w:hint="default" w:ascii="Times New Roman" w:hAnsi="Times New Roman" w:cs="Times New Roman"/>
        </w:rPr>
      </w:pPr>
    </w:p>
    <w:p w14:paraId="45D1072D">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p>
    <w:p w14:paraId="30C7D006">
      <w:pPr>
        <w:keepNext w:val="0"/>
        <w:keepLines w:val="0"/>
        <w:pageBreakBefore w:val="0"/>
        <w:kinsoku/>
        <w:wordWrap/>
        <w:overflowPunct/>
        <w:topLinePunct w:val="0"/>
        <w:bidi w:val="0"/>
        <w:spacing w:line="592" w:lineRule="exact"/>
        <w:jc w:val="both"/>
        <w:textAlignment w:val="auto"/>
        <w:rPr>
          <w:rFonts w:hint="default" w:ascii="Times New Roman" w:hAnsi="Times New Roman" w:eastAsia="仿宋_GB2312" w:cs="Times New Roman"/>
          <w:b w:val="0"/>
          <w:sz w:val="32"/>
          <w:szCs w:val="32"/>
        </w:rPr>
      </w:pPr>
    </w:p>
    <w:p w14:paraId="42774AF0">
      <w:pPr>
        <w:keepNext w:val="0"/>
        <w:keepLines w:val="0"/>
        <w:pageBreakBefore w:val="0"/>
        <w:widowControl w:val="0"/>
        <w:kinsoku/>
        <w:wordWrap/>
        <w:overflowPunct/>
        <w:topLinePunct w:val="0"/>
        <w:autoSpaceDE/>
        <w:autoSpaceDN/>
        <w:bidi w:val="0"/>
        <w:spacing w:line="590" w:lineRule="exact"/>
        <w:jc w:val="both"/>
        <w:textAlignment w:val="auto"/>
        <w:rPr>
          <w:rFonts w:hint="default" w:ascii="Times New Roman" w:hAnsi="Times New Roman" w:eastAsia="仿宋_GB2312" w:cs="Times New Roman"/>
          <w:b w:val="0"/>
          <w:sz w:val="32"/>
          <w:szCs w:val="32"/>
        </w:rPr>
      </w:pPr>
    </w:p>
    <w:p w14:paraId="5183AA74">
      <w:pPr>
        <w:keepNext w:val="0"/>
        <w:keepLines w:val="0"/>
        <w:pageBreakBefore w:val="0"/>
        <w:widowControl w:val="0"/>
        <w:kinsoku/>
        <w:wordWrap/>
        <w:overflowPunct/>
        <w:topLinePunct w:val="0"/>
        <w:autoSpaceDE/>
        <w:autoSpaceDN/>
        <w:bidi w:val="0"/>
        <w:spacing w:line="590" w:lineRule="exact"/>
        <w:ind w:firstLine="640" w:firstLineChars="200"/>
        <w:jc w:val="center"/>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b w:val="0"/>
          <w:sz w:val="32"/>
          <w:szCs w:val="32"/>
        </w:rPr>
        <w:t>图3：财政拨款收支总预算变动情况</w:t>
      </w:r>
    </w:p>
    <w:p w14:paraId="2276C3B0">
      <w:pPr>
        <w:pStyle w:val="2"/>
        <w:pageBreakBefore w:val="0"/>
        <w:widowControl w:val="0"/>
        <w:kinsoku/>
        <w:wordWrap/>
        <w:overflowPunct/>
        <w:topLinePunct w:val="0"/>
        <w:autoSpaceDE/>
        <w:autoSpaceDN/>
        <w:bidi w:val="0"/>
        <w:spacing w:line="590" w:lineRule="exact"/>
        <w:ind w:left="0" w:leftChars="0"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000000" w:themeColor="text1"/>
          <w:sz w:val="32"/>
          <w:szCs w:val="32"/>
          <w14:textFill>
            <w14:solidFill>
              <w14:schemeClr w14:val="tx1"/>
            </w14:solidFill>
          </w14:textFill>
        </w:rPr>
        <w:t>收入包括：本年一般公共预算拨款收入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万元；支出包括：一般公共服务支出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808.36</w:t>
      </w:r>
      <w:r>
        <w:rPr>
          <w:rFonts w:hint="default" w:ascii="Times New Roman" w:hAnsi="Times New Roman" w:eastAsia="仿宋_GB2312" w:cs="Times New Roman"/>
          <w:color w:val="000000" w:themeColor="text1"/>
          <w:sz w:val="32"/>
          <w:szCs w:val="32"/>
          <w14:textFill>
            <w14:solidFill>
              <w14:schemeClr w14:val="tx1"/>
            </w14:solidFill>
          </w14:textFill>
        </w:rPr>
        <w:t>万元、社会保障和就业支出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42.36</w:t>
      </w:r>
      <w:r>
        <w:rPr>
          <w:rFonts w:hint="default" w:ascii="Times New Roman" w:hAnsi="Times New Roman" w:eastAsia="仿宋_GB2312" w:cs="Times New Roman"/>
          <w:color w:val="000000" w:themeColor="text1"/>
          <w:sz w:val="32"/>
          <w:szCs w:val="32"/>
          <w14:textFill>
            <w14:solidFill>
              <w14:schemeClr w14:val="tx1"/>
            </w14:solidFill>
          </w14:textFill>
        </w:rPr>
        <w:t>万元、卫生健康支出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26.06</w:t>
      </w:r>
      <w:r>
        <w:rPr>
          <w:rFonts w:hint="default" w:ascii="Times New Roman" w:hAnsi="Times New Roman" w:eastAsia="仿宋_GB2312" w:cs="Times New Roman"/>
          <w:color w:val="000000" w:themeColor="text1"/>
          <w:sz w:val="32"/>
          <w:szCs w:val="32"/>
          <w14:textFill>
            <w14:solidFill>
              <w14:schemeClr w14:val="tx1"/>
            </w14:solidFill>
          </w14:textFill>
        </w:rPr>
        <w:t>万元、住房保障支出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31.47</w:t>
      </w:r>
      <w:r>
        <w:rPr>
          <w:rFonts w:hint="default" w:ascii="Times New Roman" w:hAnsi="Times New Roman" w:eastAsia="仿宋_GB2312" w:cs="Times New Roman"/>
          <w:color w:val="000000" w:themeColor="text1"/>
          <w:sz w:val="32"/>
          <w:szCs w:val="32"/>
          <w14:textFill>
            <w14:solidFill>
              <w14:schemeClr w14:val="tx1"/>
            </w14:solidFill>
          </w14:textFill>
        </w:rPr>
        <w:t>万元。</w:t>
      </w:r>
    </w:p>
    <w:p w14:paraId="0FC495E3">
      <w:pPr>
        <w:pStyle w:val="3"/>
        <w:pageBreakBefore w:val="0"/>
        <w:widowControl w:val="0"/>
        <w:kinsoku/>
        <w:wordWrap/>
        <w:overflowPunct/>
        <w:topLinePunct w:val="0"/>
        <w:autoSpaceDE/>
        <w:autoSpaceDN/>
        <w:bidi w:val="0"/>
        <w:spacing w:before="0" w:after="0" w:line="590" w:lineRule="exact"/>
        <w:ind w:firstLine="640" w:firstLineChars="200"/>
        <w:textAlignment w:val="auto"/>
        <w:rPr>
          <w:rFonts w:hint="default" w:ascii="Times New Roman" w:hAnsi="Times New Roman" w:eastAsia="仿宋_GB2312" w:cs="Times New Roman"/>
          <w:b w:val="0"/>
          <w:bCs w:val="0"/>
          <w:color w:val="333333"/>
          <w:sz w:val="32"/>
          <w:szCs w:val="32"/>
        </w:rPr>
      </w:pPr>
      <w:bookmarkStart w:id="11" w:name="_Toc72430485"/>
      <w:r>
        <w:rPr>
          <w:rFonts w:hint="default" w:ascii="Times New Roman" w:hAnsi="Times New Roman" w:eastAsia="黑体" w:cs="Times New Roman"/>
          <w:b w:val="0"/>
          <w:bCs w:val="0"/>
          <w:sz w:val="32"/>
          <w:szCs w:val="32"/>
        </w:rPr>
        <w:t>五、一般公共预算当年拨款情况说明</w:t>
      </w:r>
      <w:bookmarkEnd w:id="11"/>
      <w:r>
        <w:rPr>
          <w:rFonts w:hint="default" w:ascii="Times New Roman" w:hAnsi="Times New Roman" w:eastAsia="黑体" w:cs="Times New Roman"/>
          <w:b w:val="0"/>
          <w:bCs w:val="0"/>
          <w:sz w:val="32"/>
          <w:szCs w:val="32"/>
        </w:rPr>
        <w:t>　</w:t>
      </w:r>
      <w:r>
        <w:rPr>
          <w:rFonts w:hint="default" w:ascii="Times New Roman" w:hAnsi="Times New Roman" w:eastAsia="仿宋_GB2312" w:cs="Times New Roman"/>
          <w:b w:val="0"/>
          <w:bCs w:val="0"/>
          <w:color w:val="333333"/>
          <w:sz w:val="32"/>
          <w:szCs w:val="32"/>
        </w:rPr>
        <w:t>　</w:t>
      </w:r>
    </w:p>
    <w:p w14:paraId="618B92D7">
      <w:pPr>
        <w:pStyle w:val="6"/>
        <w:pageBreakBefore w:val="0"/>
        <w:widowControl w:val="0"/>
        <w:kinsoku/>
        <w:wordWrap/>
        <w:overflowPunct/>
        <w:topLinePunct w:val="0"/>
        <w:autoSpaceDE/>
        <w:autoSpaceDN/>
        <w:bidi w:val="0"/>
        <w:adjustRightInd w:val="0"/>
        <w:snapToGrid w:val="0"/>
        <w:spacing w:before="0" w:beforeLines="0" w:line="590" w:lineRule="exact"/>
        <w:ind w:firstLine="630" w:firstLineChars="196"/>
        <w:textAlignment w:val="auto"/>
        <w:outlineLvl w:val="1"/>
        <w:rPr>
          <w:rFonts w:hint="default" w:ascii="Times New Roman" w:hAnsi="Times New Roman" w:eastAsia="黑体" w:cs="Times New Roman"/>
          <w:b w:val="0"/>
          <w:bCs/>
          <w:color w:val="FF0000"/>
          <w:sz w:val="32"/>
          <w:szCs w:val="32"/>
          <w:shd w:val="clear" w:color="auto" w:fill="FFFFFF"/>
        </w:rPr>
      </w:pPr>
      <w:bookmarkStart w:id="12" w:name="_Toc72430486"/>
      <w:r>
        <w:rPr>
          <w:rFonts w:hint="default" w:ascii="Times New Roman" w:hAnsi="Times New Roman" w:eastAsia="楷体_GB2312" w:cs="Times New Roman"/>
          <w:b/>
          <w:bCs/>
          <w:sz w:val="32"/>
          <w:szCs w:val="32"/>
          <w:lang w:eastAsia="zh-CN"/>
        </w:rPr>
        <w:t>（一）一般公共预算当年拨款规模变化情况</w:t>
      </w:r>
      <w:bookmarkEnd w:id="12"/>
    </w:p>
    <w:p w14:paraId="6437645A">
      <w:pPr>
        <w:pStyle w:val="6"/>
        <w:keepNext w:val="0"/>
        <w:keepLines w:val="0"/>
        <w:pageBreakBefore w:val="0"/>
        <w:widowControl w:val="0"/>
        <w:kinsoku/>
        <w:wordWrap/>
        <w:overflowPunct/>
        <w:topLinePunct w:val="0"/>
        <w:autoSpaceDE/>
        <w:autoSpaceDN/>
        <w:bidi w:val="0"/>
        <w:adjustRightInd w:val="0"/>
        <w:snapToGrid w:val="0"/>
        <w:spacing w:before="0" w:beforeLines="0" w:line="590" w:lineRule="exact"/>
        <w:ind w:firstLine="627" w:firstLineChars="196"/>
        <w:textAlignment w:val="auto"/>
        <w:outlineLvl w:val="1"/>
        <w:rPr>
          <w:rFonts w:hint="default" w:ascii="Times New Roman" w:hAnsi="Times New Roman" w:eastAsia="仿宋_GB2312" w:cs="Times New Roman"/>
          <w:b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年一般公共预算当年拨款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908.25</w:t>
      </w:r>
      <w:r>
        <w:rPr>
          <w:rFonts w:hint="default" w:ascii="Times New Roman" w:hAnsi="Times New Roman" w:eastAsia="仿宋_GB2312" w:cs="Times New Roman"/>
          <w:color w:val="000000" w:themeColor="text1"/>
          <w:sz w:val="32"/>
          <w:szCs w:val="32"/>
          <w14:textFill>
            <w14:solidFill>
              <w14:schemeClr w14:val="tx1"/>
            </w14:solidFill>
          </w14:textFill>
        </w:rPr>
        <w:t>万元，比20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14:textFill>
            <w14:solidFill>
              <w14:schemeClr w14:val="tx1"/>
            </w14:solidFill>
          </w14:textFill>
        </w:rPr>
        <w:t>年预算数减少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16.91</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主要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人员减少，人员经费减少。</w:t>
      </w:r>
    </w:p>
    <w:p w14:paraId="29D87300">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eastAsia="zh-CN"/>
        </w:rPr>
        <w:drawing>
          <wp:anchor distT="0" distB="0" distL="114300" distR="114300" simplePos="0" relativeHeight="251663360" behindDoc="0" locked="0" layoutInCell="1" allowOverlap="1">
            <wp:simplePos x="0" y="0"/>
            <wp:positionH relativeFrom="column">
              <wp:posOffset>733425</wp:posOffset>
            </wp:positionH>
            <wp:positionV relativeFrom="paragraph">
              <wp:posOffset>60960</wp:posOffset>
            </wp:positionV>
            <wp:extent cx="4079875" cy="2304415"/>
            <wp:effectExtent l="5080" t="4445" r="10795" b="1524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A10C643">
      <w:pPr>
        <w:pStyle w:val="2"/>
        <w:rPr>
          <w:rFonts w:hint="default" w:ascii="Times New Roman" w:hAnsi="Times New Roman" w:eastAsia="仿宋_GB2312" w:cs="Times New Roman"/>
          <w:b w:val="0"/>
          <w:sz w:val="32"/>
          <w:szCs w:val="32"/>
        </w:rPr>
      </w:pPr>
    </w:p>
    <w:p w14:paraId="7905BA7D">
      <w:pPr>
        <w:rPr>
          <w:rFonts w:hint="default" w:ascii="Times New Roman" w:hAnsi="Times New Roman" w:eastAsia="仿宋_GB2312" w:cs="Times New Roman"/>
          <w:b w:val="0"/>
          <w:sz w:val="32"/>
          <w:szCs w:val="32"/>
        </w:rPr>
      </w:pPr>
    </w:p>
    <w:p w14:paraId="5E0C63B6">
      <w:pPr>
        <w:pStyle w:val="2"/>
        <w:rPr>
          <w:rFonts w:hint="default" w:ascii="Times New Roman" w:hAnsi="Times New Roman" w:eastAsia="仿宋_GB2312" w:cs="Times New Roman"/>
          <w:b w:val="0"/>
          <w:sz w:val="32"/>
          <w:szCs w:val="32"/>
        </w:rPr>
      </w:pPr>
    </w:p>
    <w:p w14:paraId="0F4019D1">
      <w:pPr>
        <w:rPr>
          <w:rFonts w:hint="default" w:ascii="Times New Roman" w:hAnsi="Times New Roman" w:eastAsia="仿宋_GB2312" w:cs="Times New Roman"/>
          <w:b w:val="0"/>
          <w:sz w:val="32"/>
          <w:szCs w:val="32"/>
        </w:rPr>
      </w:pPr>
    </w:p>
    <w:p w14:paraId="6CC3AD92">
      <w:pPr>
        <w:pStyle w:val="2"/>
        <w:ind w:left="0" w:leftChars="0" w:firstLine="0" w:firstLineChars="0"/>
        <w:rPr>
          <w:rFonts w:hint="default" w:ascii="Times New Roman" w:hAnsi="Times New Roman" w:cs="Times New Roman"/>
        </w:rPr>
      </w:pPr>
    </w:p>
    <w:p w14:paraId="1BED6BF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b w:val="0"/>
          <w:sz w:val="32"/>
          <w:szCs w:val="32"/>
        </w:rPr>
        <w:t>图4：一般公共预算财政拨款支出预算变动情况</w:t>
      </w:r>
    </w:p>
    <w:p w14:paraId="45BAFE69">
      <w:pPr>
        <w:keepNext w:val="0"/>
        <w:keepLines w:val="0"/>
        <w:pageBreakBefore w:val="0"/>
        <w:widowControl w:val="0"/>
        <w:kinsoku/>
        <w:wordWrap/>
        <w:overflowPunct/>
        <w:topLinePunct w:val="0"/>
        <w:autoSpaceDE/>
        <w:autoSpaceDN/>
        <w:bidi w:val="0"/>
        <w:adjustRightInd/>
        <w:snapToGrid/>
        <w:spacing w:line="590" w:lineRule="exact"/>
        <w:ind w:firstLine="640"/>
        <w:jc w:val="both"/>
        <w:textAlignment w:val="auto"/>
        <w:outlineLvl w:val="1"/>
        <w:rPr>
          <w:rFonts w:hint="default" w:ascii="Times New Roman" w:hAnsi="Times New Roman" w:eastAsia="楷体_GB2312" w:cs="Times New Roman"/>
          <w:b w:val="0"/>
          <w:bCs w:val="0"/>
          <w:color w:val="FF0000"/>
          <w:sz w:val="32"/>
          <w:szCs w:val="32"/>
        </w:rPr>
      </w:pPr>
      <w:bookmarkStart w:id="13" w:name="_Toc72430487"/>
      <w:r>
        <w:rPr>
          <w:rFonts w:hint="default" w:ascii="Times New Roman" w:hAnsi="Times New Roman" w:eastAsia="楷体_GB2312" w:cs="Times New Roman"/>
          <w:b/>
          <w:bCs/>
          <w:kern w:val="2"/>
          <w:sz w:val="32"/>
          <w:szCs w:val="32"/>
          <w:lang w:val="en-US" w:eastAsia="zh-CN" w:bidi="ar-SA"/>
        </w:rPr>
        <w:t>（二）一般公共预算当年拨款结构情况</w:t>
      </w:r>
      <w:bookmarkEnd w:id="13"/>
    </w:p>
    <w:p w14:paraId="7BF302A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一般公共服务支出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808.36</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89</w:t>
      </w:r>
      <w:r>
        <w:rPr>
          <w:rFonts w:hint="default" w:ascii="Times New Roman" w:hAnsi="Times New Roman" w:eastAsia="仿宋_GB2312" w:cs="Times New Roman"/>
          <w:color w:val="000000" w:themeColor="text1"/>
          <w:sz w:val="32"/>
          <w:szCs w:val="32"/>
          <w14:textFill>
            <w14:solidFill>
              <w14:schemeClr w14:val="tx1"/>
            </w14:solidFill>
          </w14:textFill>
        </w:rPr>
        <w:t>%；社会保障和就业支出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42.36</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4.66</w:t>
      </w:r>
      <w:r>
        <w:rPr>
          <w:rFonts w:hint="default" w:ascii="Times New Roman" w:hAnsi="Times New Roman" w:eastAsia="仿宋_GB2312" w:cs="Times New Roman"/>
          <w:color w:val="000000" w:themeColor="text1"/>
          <w:sz w:val="32"/>
          <w:szCs w:val="32"/>
          <w14:textFill>
            <w14:solidFill>
              <w14:schemeClr w14:val="tx1"/>
            </w14:solidFill>
          </w14:textFill>
        </w:rPr>
        <w:t>%；卫生健康支出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26.06</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2.87</w:t>
      </w:r>
      <w:r>
        <w:rPr>
          <w:rFonts w:hint="default" w:ascii="Times New Roman" w:hAnsi="Times New Roman" w:eastAsia="仿宋_GB2312" w:cs="Times New Roman"/>
          <w:color w:val="000000" w:themeColor="text1"/>
          <w:sz w:val="32"/>
          <w:szCs w:val="32"/>
          <w14:textFill>
            <w14:solidFill>
              <w14:schemeClr w14:val="tx1"/>
            </w14:solidFill>
          </w14:textFill>
        </w:rPr>
        <w:t>%；住房保障支出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31.47</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3.46</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718034CE">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eastAsia="zh-CN"/>
        </w:rPr>
        <w:drawing>
          <wp:anchor distT="0" distB="0" distL="114300" distR="114300" simplePos="0" relativeHeight="251664384" behindDoc="0" locked="0" layoutInCell="1" allowOverlap="1">
            <wp:simplePos x="0" y="0"/>
            <wp:positionH relativeFrom="column">
              <wp:posOffset>600075</wp:posOffset>
            </wp:positionH>
            <wp:positionV relativeFrom="paragraph">
              <wp:posOffset>71120</wp:posOffset>
            </wp:positionV>
            <wp:extent cx="4205605" cy="2315845"/>
            <wp:effectExtent l="4445" t="4445" r="19050" b="2286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9CD881B">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p>
    <w:p w14:paraId="6D29E770">
      <w:pPr>
        <w:pStyle w:val="2"/>
        <w:rPr>
          <w:rFonts w:hint="default" w:ascii="Times New Roman" w:hAnsi="Times New Roman" w:eastAsia="仿宋_GB2312" w:cs="Times New Roman"/>
          <w:b w:val="0"/>
          <w:sz w:val="32"/>
          <w:szCs w:val="32"/>
        </w:rPr>
      </w:pPr>
    </w:p>
    <w:p w14:paraId="169B8151">
      <w:pPr>
        <w:rPr>
          <w:rFonts w:hint="default" w:ascii="Times New Roman" w:hAnsi="Times New Roman" w:cs="Times New Roman"/>
        </w:rPr>
      </w:pPr>
    </w:p>
    <w:p w14:paraId="1B739A0D">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p>
    <w:p w14:paraId="7D8C5EE9">
      <w:pPr>
        <w:keepNext w:val="0"/>
        <w:keepLines w:val="0"/>
        <w:pageBreakBefore w:val="0"/>
        <w:kinsoku/>
        <w:wordWrap/>
        <w:overflowPunct/>
        <w:topLinePunct w:val="0"/>
        <w:bidi w:val="0"/>
        <w:spacing w:line="592" w:lineRule="exact"/>
        <w:jc w:val="both"/>
        <w:textAlignment w:val="auto"/>
        <w:rPr>
          <w:rFonts w:hint="default" w:ascii="Times New Roman" w:hAnsi="Times New Roman" w:eastAsia="仿宋_GB2312" w:cs="Times New Roman"/>
          <w:b w:val="0"/>
          <w:sz w:val="32"/>
          <w:szCs w:val="32"/>
        </w:rPr>
      </w:pPr>
    </w:p>
    <w:p w14:paraId="000B7821">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p>
    <w:p w14:paraId="15F90673">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cs="Times New Roman"/>
          <w:sz w:val="32"/>
          <w:szCs w:val="32"/>
        </w:rPr>
      </w:pPr>
      <w:r>
        <w:rPr>
          <w:rFonts w:hint="default" w:ascii="Times New Roman" w:hAnsi="Times New Roman" w:eastAsia="仿宋_GB2312" w:cs="Times New Roman"/>
          <w:b w:val="0"/>
          <w:sz w:val="32"/>
          <w:szCs w:val="32"/>
        </w:rPr>
        <w:t>图5：一般公共预算财政拨款支出预算结构</w:t>
      </w:r>
    </w:p>
    <w:p w14:paraId="1D99DF2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both"/>
        <w:textAlignment w:val="auto"/>
        <w:outlineLvl w:val="1"/>
        <w:rPr>
          <w:rFonts w:hint="default" w:ascii="Times New Roman" w:hAnsi="Times New Roman" w:eastAsia="楷体_GB2312" w:cs="Times New Roman"/>
          <w:b w:val="0"/>
          <w:bCs w:val="0"/>
          <w:color w:val="FF0000"/>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（三）一般公共预算当年拨款具体使用情况</w:t>
      </w:r>
    </w:p>
    <w:p w14:paraId="6449205C">
      <w:pPr>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组织事务</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行政运行</w:t>
      </w:r>
      <w:r>
        <w:rPr>
          <w:rFonts w:hint="default" w:ascii="Times New Roman" w:hAnsi="Times New Roman" w:eastAsia="仿宋_GB2312" w:cs="Times New Roman"/>
          <w:color w:val="000000" w:themeColor="text1"/>
          <w:sz w:val="32"/>
          <w:szCs w:val="32"/>
          <w14:textFill>
            <w14:solidFill>
              <w14:schemeClr w14:val="tx1"/>
            </w14:solidFill>
          </w14:textFill>
        </w:rPr>
        <w:t>（项）:20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249.42</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保障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正常运转的支出，包括基本工资、津贴补贴、奖金、办公经费、印刷费、劳务费、差旅费、维修（护）费、委托业务费、工会经费、其他交通费用、其他商品和服务费用等。</w:t>
      </w:r>
    </w:p>
    <w:p w14:paraId="1F6DC20B">
      <w:pPr>
        <w:pStyle w:val="4"/>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组织事务</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事业运行</w:t>
      </w:r>
      <w:r>
        <w:rPr>
          <w:rFonts w:hint="default" w:ascii="Times New Roman" w:hAnsi="Times New Roman" w:eastAsia="仿宋_GB2312" w:cs="Times New Roman"/>
          <w:color w:val="000000" w:themeColor="text1"/>
          <w:sz w:val="32"/>
          <w:szCs w:val="32"/>
          <w14:textFill>
            <w14:solidFill>
              <w14:schemeClr w14:val="tx1"/>
            </w14:solidFill>
          </w14:textFill>
        </w:rPr>
        <w:t>（项）:20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89.60</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代管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事业单位在职在编人员工资、社保及单位基本运转开支等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14:paraId="7C41514D">
      <w:pPr>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组织事务</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其他组织事务支出</w:t>
      </w:r>
      <w:r>
        <w:rPr>
          <w:rFonts w:hint="default" w:ascii="Times New Roman" w:hAnsi="Times New Roman" w:eastAsia="仿宋_GB2312" w:cs="Times New Roman"/>
          <w:color w:val="000000" w:themeColor="text1"/>
          <w:sz w:val="32"/>
          <w:szCs w:val="32"/>
          <w14:textFill>
            <w14:solidFill>
              <w14:schemeClr w14:val="tx1"/>
            </w14:solidFill>
          </w14:textFill>
        </w:rPr>
        <w:t>（项）:20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469.34</w:t>
      </w:r>
      <w:r>
        <w:rPr>
          <w:rFonts w:hint="default" w:ascii="Times New Roman" w:hAnsi="Times New Roman" w:eastAsia="仿宋_GB2312" w:cs="Times New Roman"/>
          <w:color w:val="000000" w:themeColor="text1"/>
          <w:sz w:val="32"/>
          <w:szCs w:val="32"/>
          <w14:textFill>
            <w14:solidFill>
              <w14:schemeClr w14:val="tx1"/>
            </w14:solidFill>
          </w14:textFill>
        </w:rPr>
        <w:t>万元，主要用于：项目支出的办公经费、印刷费、劳务费、差旅费、其他商品和服务费用等。</w:t>
      </w:r>
    </w:p>
    <w:p w14:paraId="422655C4">
      <w:pPr>
        <w:pageBreakBefore w:val="0"/>
        <w:widowControl w:val="0"/>
        <w:kinsoku/>
        <w:wordWrap/>
        <w:overflowPunct/>
        <w:topLinePunct w:val="0"/>
        <w:autoSpaceDE/>
        <w:autoSpaceDN/>
        <w:bidi w:val="0"/>
        <w:adjustRightInd/>
        <w:snapToGrid/>
        <w:spacing w:line="590" w:lineRule="exact"/>
        <w:ind w:firstLine="57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.社会保障和就业（类）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行政事业单位养老支出</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行政单位离退休</w:t>
      </w:r>
      <w:r>
        <w:rPr>
          <w:rFonts w:hint="default" w:ascii="Times New Roman" w:hAnsi="Times New Roman" w:eastAsia="仿宋_GB2312" w:cs="Times New Roman"/>
          <w:color w:val="000000" w:themeColor="text1"/>
          <w:sz w:val="32"/>
          <w:szCs w:val="32"/>
          <w14:textFill>
            <w14:solidFill>
              <w14:schemeClr w14:val="tx1"/>
            </w14:solidFill>
          </w14:textFill>
        </w:rPr>
        <w:t>（项）:20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0.40</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w:t>
      </w:r>
      <w:r>
        <w:rPr>
          <w:rFonts w:hint="default" w:ascii="Times New Roman" w:hAnsi="Times New Roman" w:eastAsia="仿宋_GB2312" w:cs="Times New Roman"/>
          <w:color w:val="000000" w:themeColor="text1"/>
          <w:sz w:val="32"/>
          <w:szCs w:val="32"/>
          <w14:textFill>
            <w14:solidFill>
              <w14:schemeClr w14:val="tx1"/>
            </w14:solidFill>
          </w14:textFill>
        </w:rPr>
        <w:t>机关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退休人员公用经费支出</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361A9ADC">
      <w:pPr>
        <w:pageBreakBefore w:val="0"/>
        <w:widowControl w:val="0"/>
        <w:kinsoku/>
        <w:wordWrap/>
        <w:overflowPunct/>
        <w:topLinePunct w:val="0"/>
        <w:autoSpaceDE/>
        <w:autoSpaceDN/>
        <w:bidi w:val="0"/>
        <w:adjustRightInd/>
        <w:snapToGrid/>
        <w:spacing w:line="590" w:lineRule="exact"/>
        <w:ind w:firstLine="57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.社会保障和就业（类）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行政事业单位养老支出</w:t>
      </w:r>
      <w:r>
        <w:rPr>
          <w:rFonts w:hint="default" w:ascii="Times New Roman" w:hAnsi="Times New Roman" w:eastAsia="仿宋_GB2312" w:cs="Times New Roman"/>
          <w:color w:val="000000" w:themeColor="text1"/>
          <w:sz w:val="32"/>
          <w:szCs w:val="32"/>
          <w14:textFill>
            <w14:solidFill>
              <w14:schemeClr w14:val="tx1"/>
            </w14:solidFill>
          </w14:textFill>
        </w:rPr>
        <w:t>（款）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机关事业单位基本养老保险缴费支出</w:t>
      </w:r>
      <w:r>
        <w:rPr>
          <w:rFonts w:hint="default" w:ascii="Times New Roman" w:hAnsi="Times New Roman" w:eastAsia="仿宋_GB2312" w:cs="Times New Roman"/>
          <w:color w:val="000000" w:themeColor="text1"/>
          <w:sz w:val="32"/>
          <w:szCs w:val="32"/>
          <w14:textFill>
            <w14:solidFill>
              <w14:schemeClr w14:val="tx1"/>
            </w14:solidFill>
          </w14:textFill>
        </w:rPr>
        <w:t>（项）:20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41.96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r>
        <w:rPr>
          <w:rFonts w:hint="default" w:ascii="Times New Roman" w:hAnsi="Times New Roman" w:eastAsia="仿宋_GB2312" w:cs="Times New Roman"/>
          <w:color w:val="000000" w:themeColor="text1"/>
          <w:sz w:val="32"/>
          <w:szCs w:val="32"/>
          <w14:textFill>
            <w14:solidFill>
              <w14:schemeClr w14:val="tx1"/>
            </w14:solidFill>
          </w14:textFill>
        </w:rPr>
        <w:t>，主要用于：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w:t>
      </w:r>
      <w:r>
        <w:rPr>
          <w:rFonts w:hint="default" w:ascii="Times New Roman" w:hAnsi="Times New Roman" w:eastAsia="仿宋_GB2312" w:cs="Times New Roman"/>
          <w:color w:val="000000" w:themeColor="text1"/>
          <w:sz w:val="32"/>
          <w:szCs w:val="32"/>
          <w14:textFill>
            <w14:solidFill>
              <w14:schemeClr w14:val="tx1"/>
            </w14:solidFill>
          </w14:textFill>
        </w:rPr>
        <w:t>机关单位基本养老保险缴费支出。</w:t>
      </w:r>
    </w:p>
    <w:p w14:paraId="45D5D5A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卫生健康（类）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行政事业单位医疗</w:t>
      </w:r>
      <w:r>
        <w:rPr>
          <w:rFonts w:hint="default" w:ascii="Times New Roman" w:hAnsi="Times New Roman" w:eastAsia="仿宋_GB2312" w:cs="Times New Roman"/>
          <w:color w:val="000000" w:themeColor="text1"/>
          <w:sz w:val="32"/>
          <w:szCs w:val="32"/>
          <w14:textFill>
            <w14:solidFill>
              <w14:schemeClr w14:val="tx1"/>
            </w14:solidFill>
          </w14:textFill>
        </w:rPr>
        <w:t>（款） 行政单位医疗（项）:20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15.64</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部机关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在职在编人员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行政人员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基本医疗保险缴费支出</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1081C3F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14:textFill>
            <w14:solidFill>
              <w14:schemeClr w14:val="tx1"/>
            </w14:solidFill>
          </w14:textFill>
        </w:rPr>
        <w:t>卫生健康（类）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行政事业单位医疗</w:t>
      </w:r>
      <w:r>
        <w:rPr>
          <w:rFonts w:hint="default" w:ascii="Times New Roman" w:hAnsi="Times New Roman" w:eastAsia="仿宋_GB2312" w:cs="Times New Roman"/>
          <w:color w:val="000000" w:themeColor="text1"/>
          <w:sz w:val="32"/>
          <w:szCs w:val="32"/>
          <w14:textFill>
            <w14:solidFill>
              <w14:schemeClr w14:val="tx1"/>
            </w14:solidFill>
          </w14:textFill>
        </w:rPr>
        <w:t>（款）  事业单位医疗（项）:20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6.67</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部机关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在职在编人员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事业人员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基本医疗保险缴费支出</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7051F3C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卫生健康（类）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行政事业单位医疗</w:t>
      </w:r>
      <w:r>
        <w:rPr>
          <w:rFonts w:hint="default" w:ascii="Times New Roman" w:hAnsi="Times New Roman" w:eastAsia="仿宋_GB2312" w:cs="Times New Roman"/>
          <w:color w:val="000000" w:themeColor="text1"/>
          <w:sz w:val="32"/>
          <w:szCs w:val="32"/>
          <w14:textFill>
            <w14:solidFill>
              <w14:schemeClr w14:val="tx1"/>
            </w14:solidFill>
          </w14:textFill>
        </w:rPr>
        <w:t>（款） 公务员医疗补助（项）:20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3.75</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公务员医疗补助支出</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6719BCEC">
      <w:pPr>
        <w:pStyle w:val="2"/>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14:textFill>
            <w14:solidFill>
              <w14:schemeClr w14:val="tx1"/>
            </w14:solidFill>
          </w14:textFill>
        </w:rPr>
        <w:t>.住房保障（类）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住房改革支出</w:t>
      </w:r>
      <w:r>
        <w:rPr>
          <w:rFonts w:hint="default" w:ascii="Times New Roman" w:hAnsi="Times New Roman" w:eastAsia="仿宋_GB2312" w:cs="Times New Roman"/>
          <w:color w:val="000000" w:themeColor="text1"/>
          <w:sz w:val="32"/>
          <w:szCs w:val="32"/>
          <w14:textFill>
            <w14:solidFill>
              <w14:schemeClr w14:val="tx1"/>
            </w14:solidFill>
          </w14:textFill>
        </w:rPr>
        <w:t>（款）住房公积金（项）:20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31.47</w:t>
      </w:r>
      <w:r>
        <w:rPr>
          <w:rFonts w:hint="default" w:ascii="Times New Roman" w:hAnsi="Times New Roman" w:eastAsia="仿宋_GB2312" w:cs="Times New Roman"/>
          <w:color w:val="000000" w:themeColor="text1"/>
          <w:sz w:val="32"/>
          <w:szCs w:val="32"/>
          <w14:textFill>
            <w14:solidFill>
              <w14:schemeClr w14:val="tx1"/>
            </w14:solidFill>
          </w14:textFill>
        </w:rPr>
        <w:t>万元，主要用于：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部机关</w:t>
      </w:r>
      <w:r>
        <w:rPr>
          <w:rFonts w:hint="default" w:ascii="Times New Roman" w:hAnsi="Times New Roman" w:eastAsia="仿宋_GB2312" w:cs="Times New Roman"/>
          <w:color w:val="000000" w:themeColor="text1"/>
          <w:sz w:val="32"/>
          <w:szCs w:val="32"/>
          <w14:textFill>
            <w14:solidFill>
              <w14:schemeClr w14:val="tx1"/>
            </w14:solidFill>
          </w14:textFill>
        </w:rPr>
        <w:t>职工住房公积金支出。</w:t>
      </w:r>
    </w:p>
    <w:p w14:paraId="7F221435">
      <w:pPr>
        <w:pStyle w:val="3"/>
        <w:pageBreakBefore w:val="0"/>
        <w:widowControl w:val="0"/>
        <w:kinsoku/>
        <w:wordWrap/>
        <w:overflowPunct/>
        <w:topLinePunct w:val="0"/>
        <w:autoSpaceDE/>
        <w:autoSpaceDN/>
        <w:bidi w:val="0"/>
        <w:adjustRightInd/>
        <w:snapToGrid/>
        <w:spacing w:before="0" w:after="0" w:line="590" w:lineRule="exact"/>
        <w:ind w:firstLine="640" w:firstLineChars="200"/>
        <w:textAlignment w:val="auto"/>
        <w:rPr>
          <w:rFonts w:hint="default" w:ascii="Times New Roman" w:hAnsi="Times New Roman" w:eastAsia="黑体" w:cs="Times New Roman"/>
          <w:b w:val="0"/>
          <w:bCs w:val="0"/>
          <w:color w:val="FF0000"/>
          <w:sz w:val="32"/>
          <w:szCs w:val="32"/>
        </w:rPr>
      </w:pPr>
      <w:bookmarkStart w:id="14" w:name="_Toc72430489"/>
      <w:r>
        <w:rPr>
          <w:rFonts w:hint="default" w:ascii="Times New Roman" w:hAnsi="Times New Roman" w:eastAsia="黑体" w:cs="Times New Roman"/>
          <w:b w:val="0"/>
          <w:bCs w:val="0"/>
          <w:sz w:val="32"/>
          <w:szCs w:val="32"/>
        </w:rPr>
        <w:t>六、一般公共预算基本支出情况说明</w:t>
      </w:r>
      <w:bookmarkEnd w:id="14"/>
    </w:p>
    <w:p w14:paraId="526D3618">
      <w:pPr>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15" w:name="_Toc72430490"/>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_GB2312" w:cs="Times New Roman"/>
          <w:color w:val="000000" w:themeColor="text1"/>
          <w:sz w:val="32"/>
          <w:szCs w:val="32"/>
          <w14:textFill>
            <w14:solidFill>
              <w14:schemeClr w14:val="tx1"/>
            </w14:solidFill>
          </w14:textFill>
        </w:rPr>
        <w:t>年一般公共预算基本支出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438.91</w:t>
      </w:r>
      <w:r>
        <w:rPr>
          <w:rFonts w:hint="default" w:ascii="Times New Roman" w:hAnsi="Times New Roman" w:eastAsia="仿宋_GB2312" w:cs="Times New Roman"/>
          <w:color w:val="000000" w:themeColor="text1"/>
          <w:sz w:val="32"/>
          <w:szCs w:val="32"/>
          <w14:textFill>
            <w14:solidFill>
              <w14:schemeClr w14:val="tx1"/>
            </w14:solidFill>
          </w14:textFill>
        </w:rPr>
        <w:t>万元，其中：</w:t>
      </w:r>
    </w:p>
    <w:p w14:paraId="669F40DB">
      <w:pPr>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人员经费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375.89</w:t>
      </w:r>
      <w:r>
        <w:rPr>
          <w:rFonts w:hint="default" w:ascii="Times New Roman" w:hAnsi="Times New Roman" w:eastAsia="仿宋_GB2312" w:cs="Times New Roman"/>
          <w:color w:val="000000" w:themeColor="text1"/>
          <w:sz w:val="32"/>
          <w:szCs w:val="32"/>
          <w14:textFill>
            <w14:solidFill>
              <w14:schemeClr w14:val="tx1"/>
            </w14:solidFill>
          </w14:textFill>
        </w:rPr>
        <w:t>万元，主要包括：基本工资、津贴补贴、奖金、绩效工资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社会保险缴费等支出。</w:t>
      </w:r>
    </w:p>
    <w:p w14:paraId="47D9F360">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outlineLvl w:val="0"/>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color w:val="000000" w:themeColor="text1"/>
          <w:sz w:val="32"/>
          <w:szCs w:val="32"/>
          <w14:textFill>
            <w14:solidFill>
              <w14:schemeClr w14:val="tx1"/>
            </w14:solidFill>
          </w14:textFill>
        </w:rPr>
        <w:t>公用经费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63.02</w:t>
      </w:r>
      <w:r>
        <w:rPr>
          <w:rFonts w:hint="default" w:ascii="Times New Roman" w:hAnsi="Times New Roman" w:eastAsia="仿宋_GB2312" w:cs="Times New Roman"/>
          <w:color w:val="000000" w:themeColor="text1"/>
          <w:sz w:val="32"/>
          <w:szCs w:val="32"/>
          <w14:textFill>
            <w14:solidFill>
              <w14:schemeClr w14:val="tx1"/>
            </w14:solidFill>
          </w14:textFill>
        </w:rPr>
        <w:t>万元，主要包括：办公费、印刷费、邮电费、差旅费、维修（护）费、劳务费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委托业务费</w:t>
      </w:r>
      <w:r>
        <w:rPr>
          <w:rFonts w:hint="default" w:ascii="Times New Roman" w:hAnsi="Times New Roman" w:eastAsia="仿宋_GB2312" w:cs="Times New Roman"/>
          <w:color w:val="000000" w:themeColor="text1"/>
          <w:sz w:val="32"/>
          <w:szCs w:val="32"/>
          <w14:textFill>
            <w14:solidFill>
              <w14:schemeClr w14:val="tx1"/>
            </w14:solidFill>
          </w14:textFill>
        </w:rPr>
        <w:t>等支出。</w:t>
      </w:r>
    </w:p>
    <w:p w14:paraId="0D37DDB1">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outlineLvl w:val="0"/>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b w:val="0"/>
          <w:bCs w:val="0"/>
          <w:kern w:val="44"/>
          <w:sz w:val="32"/>
          <w:szCs w:val="32"/>
          <w:lang w:val="en-US" w:eastAsia="zh-CN" w:bidi="ar-SA"/>
        </w:rPr>
        <w:t>七、“三公”经费财政拨款预算安排情况</w:t>
      </w:r>
      <w:bookmarkEnd w:id="15"/>
    </w:p>
    <w:p w14:paraId="63916D8D">
      <w:pPr>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年“三公”经费财政拨款预算数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万元，较20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年预算持平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其中：因公出国（境）经费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万元，公务接待费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万元，公务用车购置及运行维护费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万元（公务用车购置费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万元，公务用车运行费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p>
    <w:p w14:paraId="28DBB80C">
      <w:pPr>
        <w:keepNext w:val="0"/>
        <w:keepLines w:val="0"/>
        <w:pageBreakBefore w:val="0"/>
        <w:kinsoku/>
        <w:wordWrap/>
        <w:overflowPunct/>
        <w:topLinePunct w:val="0"/>
        <w:bidi w:val="0"/>
        <w:spacing w:line="592" w:lineRule="exact"/>
        <w:ind w:firstLine="640" w:firstLineChars="200"/>
        <w:jc w:val="both"/>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bCs w:val="0"/>
          <w:color w:val="000000"/>
          <w:sz w:val="32"/>
          <w:szCs w:val="32"/>
          <w:lang w:eastAsia="zh-CN"/>
        </w:rPr>
        <w:pict>
          <v:shape id="Object 7" o:spid="_x0000_s1026" o:spt="75" type="#_x0000_t75" style="position:absolute;left:0pt;margin-left:94.25pt;margin-top:9.7pt;height:166.4pt;width:273.85pt;z-index:251665408;mso-width-relative:page;mso-height-relative:page;" o:ole="t" filled="f" o:preferrelative="t" stroked="f" coordsize="21600,21600">
            <v:path/>
            <v:fill on="f" focussize="0,0"/>
            <v:stroke on="f"/>
            <v:imagedata r:id="rId11" o:title=""/>
            <o:lock v:ext="edit" aspectratio="t"/>
          </v:shape>
          <o:OLEObject Type="Embed" ProgID="Excel.Chart.8" ShapeID="Object 7" DrawAspect="Content" ObjectID="_1468075725" r:id="rId10">
            <o:LockedField>false</o:LockedField>
          </o:OLEObject>
        </w:pict>
      </w:r>
    </w:p>
    <w:p w14:paraId="7DD59E65">
      <w:pPr>
        <w:pStyle w:val="2"/>
        <w:rPr>
          <w:rFonts w:hint="default" w:ascii="Times New Roman" w:hAnsi="Times New Roman" w:eastAsia="仿宋_GB2312" w:cs="Times New Roman"/>
          <w:b w:val="0"/>
          <w:sz w:val="32"/>
          <w:szCs w:val="32"/>
        </w:rPr>
      </w:pPr>
    </w:p>
    <w:p w14:paraId="7374134C">
      <w:pPr>
        <w:rPr>
          <w:rFonts w:hint="default" w:ascii="Times New Roman" w:hAnsi="Times New Roman" w:eastAsia="仿宋_GB2312" w:cs="Times New Roman"/>
          <w:b w:val="0"/>
          <w:sz w:val="32"/>
          <w:szCs w:val="32"/>
        </w:rPr>
      </w:pPr>
    </w:p>
    <w:p w14:paraId="0F418B08">
      <w:pPr>
        <w:pStyle w:val="2"/>
        <w:rPr>
          <w:rFonts w:hint="default" w:ascii="Times New Roman" w:hAnsi="Times New Roman" w:eastAsia="仿宋_GB2312" w:cs="Times New Roman"/>
          <w:b w:val="0"/>
          <w:sz w:val="32"/>
          <w:szCs w:val="32"/>
        </w:rPr>
      </w:pPr>
    </w:p>
    <w:p w14:paraId="3FB697F7">
      <w:pPr>
        <w:rPr>
          <w:rFonts w:hint="default" w:ascii="Times New Roman" w:hAnsi="Times New Roman" w:eastAsia="仿宋_GB2312" w:cs="Times New Roman"/>
          <w:b w:val="0"/>
          <w:sz w:val="32"/>
          <w:szCs w:val="32"/>
        </w:rPr>
      </w:pPr>
    </w:p>
    <w:p w14:paraId="38BB4624">
      <w:pPr>
        <w:rPr>
          <w:rFonts w:hint="default" w:ascii="Times New Roman" w:hAnsi="Times New Roman" w:cs="Times New Roman"/>
        </w:rPr>
      </w:pPr>
    </w:p>
    <w:p w14:paraId="2611371D">
      <w:pPr>
        <w:keepNext w:val="0"/>
        <w:keepLines w:val="0"/>
        <w:pageBreakBefore w:val="0"/>
        <w:kinsoku/>
        <w:wordWrap/>
        <w:overflowPunct/>
        <w:topLinePunct w:val="0"/>
        <w:bidi w:val="0"/>
        <w:spacing w:line="590" w:lineRule="exact"/>
        <w:ind w:firstLine="640" w:firstLineChars="200"/>
        <w:jc w:val="center"/>
        <w:textAlignment w:val="auto"/>
        <w:rPr>
          <w:rFonts w:hint="default" w:ascii="Times New Roman" w:hAnsi="Times New Roman" w:cs="Times New Roman"/>
        </w:rPr>
      </w:pPr>
      <w:r>
        <w:rPr>
          <w:rFonts w:hint="default" w:ascii="Times New Roman" w:hAnsi="Times New Roman" w:eastAsia="仿宋_GB2312" w:cs="Times New Roman"/>
          <w:b w:val="0"/>
          <w:sz w:val="32"/>
          <w:szCs w:val="32"/>
        </w:rPr>
        <w:t>图6：“三公”经费财政拨款支出结构</w:t>
      </w:r>
    </w:p>
    <w:p w14:paraId="5CAF54BA">
      <w:pPr>
        <w:keepNext w:val="0"/>
        <w:keepLines w:val="0"/>
        <w:pageBreakBefore w:val="0"/>
        <w:kinsoku/>
        <w:wordWrap/>
        <w:overflowPunct/>
        <w:topLinePunct w:val="0"/>
        <w:bidi w:val="0"/>
        <w:spacing w:line="590" w:lineRule="exact"/>
        <w:ind w:firstLine="643" w:firstLineChars="200"/>
        <w:jc w:val="both"/>
        <w:textAlignment w:val="auto"/>
        <w:outlineLvl w:val="1"/>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（一）因公出国（境）经费0万元，较2025年预算持平。</w:t>
      </w:r>
    </w:p>
    <w:p w14:paraId="7395F8F8">
      <w:pPr>
        <w:pageBreakBefore w:val="0"/>
        <w:widowControl w:val="0"/>
        <w:kinsoku/>
        <w:wordWrap/>
        <w:overflowPunct/>
        <w:topLinePunct w:val="0"/>
        <w:bidi w:val="0"/>
        <w:spacing w:line="590" w:lineRule="exact"/>
        <w:ind w:firstLine="640"/>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highlight w:val="none"/>
          <w:lang w:val="en-US" w:eastAsia="zh-CN"/>
        </w:rPr>
        <w:t>2026年拟安排出国（境）团组0个，0人次。</w:t>
      </w:r>
    </w:p>
    <w:p w14:paraId="7B9A345B">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bCs/>
          <w:kern w:val="2"/>
          <w:sz w:val="32"/>
          <w:szCs w:val="32"/>
          <w:lang w:val="en-US" w:eastAsia="zh-CN" w:bidi="ar-SA"/>
        </w:rPr>
        <w:t>（二）公务接待费1万元，较2025年预算持平。</w:t>
      </w:r>
    </w:p>
    <w:p w14:paraId="4DBEDE0F">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val="en-US" w:eastAsia="zh-CN"/>
        </w:rPr>
        <w:t>2026年公务接待费计划用于执行公务、考察调研、检查指导等公务活动开支，预计接待6批次，110人次</w:t>
      </w:r>
      <w:r>
        <w:rPr>
          <w:rFonts w:hint="default" w:ascii="Times New Roman" w:hAnsi="Times New Roman" w:eastAsia="仿宋_GB2312" w:cs="Times New Roman"/>
          <w:sz w:val="32"/>
          <w:szCs w:val="32"/>
          <w:highlight w:val="none"/>
        </w:rPr>
        <w:t>。</w:t>
      </w:r>
    </w:p>
    <w:p w14:paraId="6EFE6829">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b/>
          <w:sz w:val="32"/>
          <w:szCs w:val="32"/>
          <w:highlight w:val="none"/>
        </w:rPr>
      </w:pPr>
      <w:r>
        <w:rPr>
          <w:rFonts w:hint="default" w:ascii="Times New Roman" w:hAnsi="Times New Roman" w:eastAsia="楷体_GB2312" w:cs="Times New Roman"/>
          <w:b/>
          <w:bCs/>
          <w:kern w:val="2"/>
          <w:sz w:val="32"/>
          <w:szCs w:val="32"/>
          <w:lang w:val="en-US" w:eastAsia="zh-CN" w:bidi="ar-SA"/>
        </w:rPr>
        <w:t>（三）公务用车购置及运行维护费0万元，较2025年预算持平。</w:t>
      </w:r>
    </w:p>
    <w:p w14:paraId="7A1F5D7A">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单位现有公务用车</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辆，其中：轿车</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辆，越野车</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辆，多功能乘用车</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辆。</w:t>
      </w:r>
    </w:p>
    <w:p w14:paraId="12D6892D">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安排公务用车购置费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r>
        <w:rPr>
          <w:rFonts w:hint="default" w:ascii="Times New Roman" w:hAnsi="Times New Roman" w:eastAsia="仿宋_GB2312" w:cs="Times New Roman"/>
          <w:color w:val="auto"/>
          <w:sz w:val="32"/>
          <w:szCs w:val="32"/>
          <w:highlight w:val="none"/>
          <w:lang w:val="en-US" w:eastAsia="zh-CN"/>
        </w:rPr>
        <w:t>拟购置</w:t>
      </w:r>
      <w:r>
        <w:rPr>
          <w:rFonts w:hint="default" w:ascii="Times New Roman" w:hAnsi="Times New Roman" w:eastAsia="仿宋_GB2312" w:cs="Times New Roman"/>
          <w:color w:val="auto"/>
          <w:sz w:val="32"/>
          <w:szCs w:val="32"/>
          <w:highlight w:val="none"/>
        </w:rPr>
        <w:t>公务用车</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w:t>
      </w:r>
    </w:p>
    <w:p w14:paraId="620C4989">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auto"/>
          <w:sz w:val="32"/>
          <w:szCs w:val="32"/>
          <w:highlight w:val="none"/>
          <w:lang w:eastAsia="zh-CN"/>
        </w:rPr>
        <w:t>2026年</w:t>
      </w:r>
      <w:r>
        <w:rPr>
          <w:rFonts w:hint="default" w:ascii="Times New Roman" w:hAnsi="Times New Roman" w:eastAsia="仿宋_GB2312" w:cs="Times New Roman"/>
          <w:color w:val="auto"/>
          <w:sz w:val="32"/>
          <w:szCs w:val="32"/>
          <w:highlight w:val="none"/>
        </w:rPr>
        <w:t>安排公务用车运行维护费</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万元，较</w:t>
      </w:r>
      <w:r>
        <w:rPr>
          <w:rFonts w:hint="default" w:ascii="Times New Roman" w:hAnsi="Times New Roman" w:eastAsia="仿宋_GB2312" w:cs="Times New Roman"/>
          <w:color w:val="auto"/>
          <w:sz w:val="32"/>
          <w:szCs w:val="32"/>
          <w:highlight w:val="none"/>
          <w:lang w:eastAsia="zh-CN"/>
        </w:rPr>
        <w:t>2025年</w:t>
      </w:r>
      <w:r>
        <w:rPr>
          <w:rFonts w:hint="default" w:ascii="Times New Roman" w:hAnsi="Times New Roman" w:eastAsia="仿宋_GB2312" w:cs="Times New Roman"/>
          <w:color w:val="auto"/>
          <w:sz w:val="32"/>
          <w:szCs w:val="32"/>
          <w:highlight w:val="none"/>
        </w:rPr>
        <w:t>预算持平</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4328C165">
      <w:pPr>
        <w:pStyle w:val="3"/>
        <w:pageBreakBefore w:val="0"/>
        <w:widowControl w:val="0"/>
        <w:kinsoku/>
        <w:wordWrap/>
        <w:overflowPunct/>
        <w:topLinePunct w:val="0"/>
        <w:bidi w:val="0"/>
        <w:spacing w:before="0" w:after="0" w:line="590" w:lineRule="exact"/>
        <w:ind w:firstLine="640" w:firstLineChars="200"/>
        <w:textAlignment w:val="auto"/>
        <w:rPr>
          <w:rFonts w:hint="default" w:ascii="Times New Roman" w:hAnsi="Times New Roman" w:eastAsia="黑体" w:cs="Times New Roman"/>
          <w:b w:val="0"/>
          <w:bCs w:val="0"/>
          <w:kern w:val="44"/>
          <w:sz w:val="32"/>
          <w:szCs w:val="32"/>
          <w:lang w:val="en-US" w:eastAsia="zh-CN" w:bidi="ar-SA"/>
        </w:rPr>
      </w:pPr>
      <w:bookmarkStart w:id="16" w:name="_Toc72430491"/>
      <w:r>
        <w:rPr>
          <w:rFonts w:hint="default" w:ascii="Times New Roman" w:hAnsi="Times New Roman" w:eastAsia="黑体" w:cs="Times New Roman"/>
          <w:b w:val="0"/>
          <w:bCs w:val="0"/>
          <w:kern w:val="44"/>
          <w:sz w:val="32"/>
          <w:szCs w:val="32"/>
          <w:lang w:val="en-US" w:eastAsia="zh-CN" w:bidi="ar-SA"/>
        </w:rPr>
        <w:t>八、政府性基金预算支出情况说明</w:t>
      </w:r>
      <w:bookmarkEnd w:id="16"/>
      <w:r>
        <w:rPr>
          <w:rFonts w:hint="default" w:ascii="Times New Roman" w:hAnsi="Times New Roman" w:eastAsia="黑体" w:cs="Times New Roman"/>
          <w:b w:val="0"/>
          <w:bCs w:val="0"/>
          <w:kern w:val="44"/>
          <w:sz w:val="32"/>
          <w:szCs w:val="32"/>
          <w:lang w:val="en-US" w:eastAsia="zh-CN" w:bidi="ar-SA"/>
        </w:rPr>
        <w:t>　</w:t>
      </w:r>
    </w:p>
    <w:p w14:paraId="19D0D053">
      <w:pPr>
        <w:pageBreakBefore w:val="0"/>
        <w:widowControl w:val="0"/>
        <w:kinsoku/>
        <w:wordWrap/>
        <w:overflowPunct/>
        <w:topLinePunct w:val="0"/>
        <w:bidi w:val="0"/>
        <w:spacing w:line="590" w:lineRule="exact"/>
        <w:ind w:firstLine="64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333333"/>
          <w:sz w:val="32"/>
          <w:szCs w:val="32"/>
          <w:highlight w:val="none"/>
          <w:lang w:eastAsia="zh-CN"/>
        </w:rPr>
        <w:t>2026年</w:t>
      </w:r>
      <w:r>
        <w:rPr>
          <w:rFonts w:hint="default" w:ascii="Times New Roman" w:hAnsi="Times New Roman" w:eastAsia="仿宋_GB2312" w:cs="Times New Roman"/>
          <w:color w:val="333333"/>
          <w:sz w:val="32"/>
          <w:szCs w:val="32"/>
          <w:highlight w:val="none"/>
        </w:rPr>
        <w:t>使用政府性基金预算拨款安排</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333333"/>
          <w:sz w:val="32"/>
          <w:szCs w:val="32"/>
          <w:highlight w:val="none"/>
        </w:rPr>
        <w:t>。</w:t>
      </w:r>
    </w:p>
    <w:p w14:paraId="367566AE">
      <w:pPr>
        <w:pStyle w:val="3"/>
        <w:pageBreakBefore w:val="0"/>
        <w:widowControl w:val="0"/>
        <w:kinsoku/>
        <w:wordWrap/>
        <w:overflowPunct/>
        <w:topLinePunct w:val="0"/>
        <w:bidi w:val="0"/>
        <w:spacing w:before="0" w:after="0" w:line="590" w:lineRule="exact"/>
        <w:ind w:firstLine="640" w:firstLineChars="200"/>
        <w:textAlignment w:val="auto"/>
        <w:rPr>
          <w:rFonts w:hint="default" w:ascii="Times New Roman" w:hAnsi="Times New Roman" w:eastAsia="黑体" w:cs="Times New Roman"/>
          <w:b w:val="0"/>
          <w:bCs w:val="0"/>
          <w:kern w:val="44"/>
          <w:sz w:val="32"/>
          <w:szCs w:val="32"/>
          <w:lang w:val="en-US" w:eastAsia="zh-CN" w:bidi="ar-SA"/>
        </w:rPr>
      </w:pPr>
      <w:bookmarkStart w:id="17" w:name="_Toc72430492"/>
      <w:r>
        <w:rPr>
          <w:rFonts w:hint="default" w:ascii="Times New Roman" w:hAnsi="Times New Roman" w:eastAsia="黑体" w:cs="Times New Roman"/>
          <w:b w:val="0"/>
          <w:bCs w:val="0"/>
          <w:kern w:val="44"/>
          <w:sz w:val="32"/>
          <w:szCs w:val="32"/>
          <w:lang w:val="en-US" w:eastAsia="zh-CN" w:bidi="ar-SA"/>
        </w:rPr>
        <w:t>九、国有资本经营预算支出情况说明</w:t>
      </w:r>
      <w:bookmarkEnd w:id="17"/>
    </w:p>
    <w:p w14:paraId="2CD76517">
      <w:pPr>
        <w:pageBreakBefore w:val="0"/>
        <w:widowControl w:val="0"/>
        <w:kinsoku/>
        <w:wordWrap/>
        <w:overflowPunct/>
        <w:topLinePunct w:val="0"/>
        <w:bidi w:val="0"/>
        <w:spacing w:line="590" w:lineRule="exact"/>
        <w:ind w:firstLine="320" w:firstLineChars="100"/>
        <w:textAlignment w:val="auto"/>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color w:val="333333"/>
          <w:sz w:val="32"/>
          <w:szCs w:val="32"/>
        </w:rPr>
        <w:t>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333333"/>
          <w:sz w:val="32"/>
          <w:szCs w:val="32"/>
          <w:lang w:eastAsia="zh-CN"/>
        </w:rPr>
        <w:t>2026年</w:t>
      </w:r>
      <w:r>
        <w:rPr>
          <w:rFonts w:hint="default" w:ascii="Times New Roman" w:hAnsi="Times New Roman" w:eastAsia="仿宋_GB2312" w:cs="Times New Roman"/>
          <w:color w:val="333333"/>
          <w:sz w:val="32"/>
          <w:szCs w:val="32"/>
        </w:rPr>
        <w:t>使用国有资本经营预算拨款安排</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333333"/>
          <w:sz w:val="32"/>
          <w:szCs w:val="32"/>
          <w:highlight w:val="none"/>
        </w:rPr>
        <w:t>。</w:t>
      </w:r>
    </w:p>
    <w:p w14:paraId="06AEFE5C">
      <w:pPr>
        <w:pStyle w:val="3"/>
        <w:pageBreakBefore w:val="0"/>
        <w:widowControl w:val="0"/>
        <w:kinsoku/>
        <w:wordWrap/>
        <w:overflowPunct/>
        <w:topLinePunct w:val="0"/>
        <w:bidi w:val="0"/>
        <w:spacing w:before="0" w:after="0" w:line="590" w:lineRule="exact"/>
        <w:ind w:firstLine="640" w:firstLineChars="200"/>
        <w:textAlignment w:val="auto"/>
        <w:rPr>
          <w:rFonts w:hint="default" w:ascii="Times New Roman" w:hAnsi="Times New Roman" w:eastAsia="黑体" w:cs="Times New Roman"/>
          <w:b w:val="0"/>
          <w:bCs w:val="0"/>
          <w:kern w:val="44"/>
          <w:sz w:val="32"/>
          <w:szCs w:val="32"/>
          <w:lang w:val="en-US" w:eastAsia="zh-CN" w:bidi="ar-SA"/>
        </w:rPr>
      </w:pPr>
      <w:bookmarkStart w:id="18" w:name="_Toc72430493"/>
      <w:r>
        <w:rPr>
          <w:rFonts w:hint="default" w:ascii="Times New Roman" w:hAnsi="Times New Roman" w:eastAsia="黑体" w:cs="Times New Roman"/>
          <w:b w:val="0"/>
          <w:bCs w:val="0"/>
          <w:kern w:val="44"/>
          <w:sz w:val="32"/>
          <w:szCs w:val="32"/>
          <w:lang w:val="en-US" w:eastAsia="zh-CN" w:bidi="ar-SA"/>
        </w:rPr>
        <w:t>十、其他重要事项的情况说明</w:t>
      </w:r>
      <w:bookmarkEnd w:id="18"/>
    </w:p>
    <w:p w14:paraId="0478B16D">
      <w:pPr>
        <w:pStyle w:val="6"/>
        <w:pageBreakBefore w:val="0"/>
        <w:widowControl w:val="0"/>
        <w:kinsoku/>
        <w:wordWrap/>
        <w:overflowPunct/>
        <w:topLinePunct w:val="0"/>
        <w:bidi w:val="0"/>
        <w:adjustRightInd w:val="0"/>
        <w:snapToGrid w:val="0"/>
        <w:spacing w:before="0" w:beforeLines="0" w:line="590" w:lineRule="exact"/>
        <w:ind w:firstLine="630" w:firstLineChars="196"/>
        <w:textAlignment w:val="auto"/>
        <w:outlineLvl w:val="1"/>
        <w:rPr>
          <w:rFonts w:hint="default" w:ascii="Times New Roman" w:hAnsi="Times New Roman" w:eastAsia="楷体_GB2312" w:cs="Times New Roman"/>
          <w:b/>
          <w:bCs/>
          <w:kern w:val="2"/>
          <w:sz w:val="32"/>
          <w:szCs w:val="32"/>
          <w:lang w:val="en-US" w:eastAsia="zh-CN" w:bidi="ar-SA"/>
        </w:rPr>
      </w:pPr>
      <w:bookmarkStart w:id="19" w:name="_Toc72430494"/>
      <w:r>
        <w:rPr>
          <w:rFonts w:hint="default" w:ascii="Times New Roman" w:hAnsi="Times New Roman" w:eastAsia="楷体_GB2312" w:cs="Times New Roman"/>
          <w:b/>
          <w:bCs/>
          <w:kern w:val="2"/>
          <w:sz w:val="32"/>
          <w:szCs w:val="32"/>
          <w:lang w:val="en-US" w:eastAsia="zh-CN" w:bidi="ar-SA"/>
        </w:rPr>
        <w:t>（一）机关运行经费情况</w:t>
      </w:r>
      <w:bookmarkEnd w:id="19"/>
    </w:p>
    <w:p w14:paraId="4CDBE582">
      <w:pPr>
        <w:pStyle w:val="2"/>
        <w:pageBreakBefore w:val="0"/>
        <w:kinsoku/>
        <w:wordWrap/>
        <w:overflowPunct/>
        <w:topLinePunct w:val="0"/>
        <w:bidi w:val="0"/>
        <w:spacing w:line="590" w:lineRule="exact"/>
        <w:ind w:left="0" w:leftChars="0" w:firstLine="640" w:firstLineChars="20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履行一般行政管理职能、维持机关日常运转而开支的机关运行经费财政拨款预算为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63.02</w:t>
      </w:r>
      <w:r>
        <w:rPr>
          <w:rFonts w:hint="default" w:ascii="Times New Roman" w:hAnsi="Times New Roman" w:eastAsia="仿宋_GB2312" w:cs="Times New Roman"/>
          <w:color w:val="000000" w:themeColor="text1"/>
          <w:sz w:val="32"/>
          <w:szCs w:val="32"/>
          <w14:textFill>
            <w14:solidFill>
              <w14:schemeClr w14:val="tx1"/>
            </w14:solidFill>
          </w14:textFill>
        </w:rPr>
        <w:t>万元，比20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25</w:t>
      </w:r>
      <w:r>
        <w:rPr>
          <w:rFonts w:hint="default" w:ascii="Times New Roman" w:hAnsi="Times New Roman" w:eastAsia="仿宋_GB2312" w:cs="Times New Roman"/>
          <w:color w:val="000000" w:themeColor="text1"/>
          <w:sz w:val="32"/>
          <w:szCs w:val="32"/>
          <w14:textFill>
            <w14:solidFill>
              <w14:schemeClr w14:val="tx1"/>
            </w14:solidFill>
          </w14:textFill>
        </w:rPr>
        <w:t>年预算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增加5.42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sz w:val="32"/>
          <w:szCs w:val="32"/>
        </w:rPr>
        <w:t>增长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9.41</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主要原因是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本年新增福利费。</w:t>
      </w:r>
    </w:p>
    <w:p w14:paraId="6DA9E53E">
      <w:pPr>
        <w:pStyle w:val="6"/>
        <w:pageBreakBefore w:val="0"/>
        <w:widowControl w:val="0"/>
        <w:kinsoku/>
        <w:wordWrap/>
        <w:overflowPunct/>
        <w:topLinePunct w:val="0"/>
        <w:bidi w:val="0"/>
        <w:adjustRightInd w:val="0"/>
        <w:snapToGrid w:val="0"/>
        <w:spacing w:before="0" w:beforeLines="0" w:line="590" w:lineRule="exact"/>
        <w:ind w:firstLine="630" w:firstLineChars="196"/>
        <w:textAlignment w:val="auto"/>
        <w:outlineLvl w:val="1"/>
        <w:rPr>
          <w:rFonts w:hint="default" w:ascii="Times New Roman" w:hAnsi="Times New Roman" w:eastAsia="楷体_GB2312" w:cs="Times New Roman"/>
          <w:b/>
          <w:bCs/>
          <w:kern w:val="2"/>
          <w:sz w:val="32"/>
          <w:szCs w:val="32"/>
          <w:lang w:val="en-US" w:eastAsia="zh-CN" w:bidi="ar-SA"/>
        </w:rPr>
      </w:pPr>
      <w:bookmarkStart w:id="20" w:name="_Toc72430495"/>
      <w:r>
        <w:rPr>
          <w:rFonts w:hint="default" w:ascii="Times New Roman" w:hAnsi="Times New Roman" w:eastAsia="楷体_GB2312" w:cs="Times New Roman"/>
          <w:b/>
          <w:bCs/>
          <w:kern w:val="2"/>
          <w:sz w:val="32"/>
          <w:szCs w:val="32"/>
          <w:lang w:val="en-US" w:eastAsia="zh-CN" w:bidi="ar-SA"/>
        </w:rPr>
        <w:t>（二）政府采购情况</w:t>
      </w:r>
      <w:bookmarkEnd w:id="20"/>
    </w:p>
    <w:p w14:paraId="181CDE04">
      <w:pPr>
        <w:pageBreakBefore w:val="0"/>
        <w:widowControl w:val="0"/>
        <w:kinsoku/>
        <w:wordWrap/>
        <w:overflowPunct/>
        <w:topLinePunct w:val="0"/>
        <w:bidi w:val="0"/>
        <w:spacing w:line="590" w:lineRule="exact"/>
        <w:ind w:firstLine="57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color w:val="000000" w:themeColor="text1"/>
          <w:sz w:val="32"/>
          <w:szCs w:val="32"/>
          <w14:textFill>
            <w14:solidFill>
              <w14:schemeClr w14:val="tx1"/>
            </w14:solidFill>
          </w14:textFill>
        </w:rPr>
        <w:t>安排政府采购预算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较2025年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下降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100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6D9ED40A">
      <w:pPr>
        <w:pStyle w:val="6"/>
        <w:pageBreakBefore w:val="0"/>
        <w:widowControl w:val="0"/>
        <w:kinsoku/>
        <w:wordWrap/>
        <w:overflowPunct/>
        <w:topLinePunct w:val="0"/>
        <w:bidi w:val="0"/>
        <w:adjustRightInd w:val="0"/>
        <w:snapToGrid w:val="0"/>
        <w:spacing w:before="0" w:beforeLines="0" w:line="590" w:lineRule="exact"/>
        <w:ind w:firstLine="630" w:firstLineChars="196"/>
        <w:textAlignment w:val="auto"/>
        <w:outlineLvl w:val="1"/>
        <w:rPr>
          <w:rFonts w:hint="default" w:ascii="Times New Roman" w:hAnsi="Times New Roman" w:eastAsia="楷体_GB2312" w:cs="Times New Roman"/>
          <w:b/>
          <w:bCs/>
          <w:kern w:val="2"/>
          <w:sz w:val="32"/>
          <w:szCs w:val="32"/>
          <w:lang w:val="en-US" w:eastAsia="zh-CN" w:bidi="ar-SA"/>
        </w:rPr>
      </w:pPr>
      <w:bookmarkStart w:id="21" w:name="_Toc72430496"/>
      <w:r>
        <w:rPr>
          <w:rFonts w:hint="default" w:ascii="Times New Roman" w:hAnsi="Times New Roman" w:eastAsia="楷体_GB2312" w:cs="Times New Roman"/>
          <w:b/>
          <w:bCs/>
          <w:kern w:val="2"/>
          <w:sz w:val="32"/>
          <w:szCs w:val="32"/>
          <w:lang w:val="en-US" w:eastAsia="zh-CN" w:bidi="ar-SA"/>
        </w:rPr>
        <w:t>（三）国有资产占有使用情况</w:t>
      </w:r>
      <w:bookmarkEnd w:id="21"/>
    </w:p>
    <w:p w14:paraId="29B820EC">
      <w:pPr>
        <w:pageBreakBefore w:val="0"/>
        <w:widowControl w:val="0"/>
        <w:kinsoku/>
        <w:wordWrap/>
        <w:overflowPunct/>
        <w:topLinePunct w:val="0"/>
        <w:autoSpaceDE w:val="0"/>
        <w:autoSpaceDN w:val="0"/>
        <w:bidi w:val="0"/>
        <w:adjustRightInd w:val="0"/>
        <w:spacing w:line="59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　　</w:t>
      </w: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rPr>
        <w:t>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大安区委组织部</w:t>
      </w:r>
      <w:r>
        <w:rPr>
          <w:rFonts w:hint="default" w:ascii="Times New Roman" w:hAnsi="Times New Roman" w:eastAsia="仿宋_GB2312" w:cs="Times New Roman"/>
          <w:sz w:val="32"/>
          <w:szCs w:val="32"/>
          <w:highlight w:val="none"/>
        </w:rPr>
        <w:t>所属各预算单位共</w:t>
      </w:r>
      <w:r>
        <w:rPr>
          <w:rFonts w:hint="default" w:ascii="Times New Roman" w:hAnsi="Times New Roman" w:eastAsia="仿宋_GB2312" w:cs="Times New Roman"/>
          <w:sz w:val="32"/>
          <w:szCs w:val="32"/>
        </w:rPr>
        <w:t>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辆，其中，一般公务用车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价值100万元以上大型设备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1461E4BA">
      <w:pPr>
        <w:pageBreakBefore w:val="0"/>
        <w:widowControl w:val="0"/>
        <w:kinsoku/>
        <w:wordWrap/>
        <w:overflowPunct/>
        <w:topLinePunct w:val="0"/>
        <w:autoSpaceDE w:val="0"/>
        <w:autoSpaceDN w:val="0"/>
        <w:bidi w:val="0"/>
        <w:adjustRightInd w:val="0"/>
        <w:spacing w:line="59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2026年</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预算安排购置一般公务用车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辆，单位价值100万元以上大型设备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14:paraId="0DD19AAB">
      <w:pPr>
        <w:pStyle w:val="6"/>
        <w:pageBreakBefore w:val="0"/>
        <w:widowControl w:val="0"/>
        <w:kinsoku/>
        <w:wordWrap/>
        <w:overflowPunct/>
        <w:topLinePunct w:val="0"/>
        <w:bidi w:val="0"/>
        <w:adjustRightInd w:val="0"/>
        <w:snapToGrid w:val="0"/>
        <w:spacing w:before="0" w:beforeLines="0" w:line="590" w:lineRule="exact"/>
        <w:ind w:firstLine="630" w:firstLineChars="196"/>
        <w:textAlignment w:val="auto"/>
        <w:outlineLvl w:val="1"/>
        <w:rPr>
          <w:rFonts w:hint="default" w:ascii="Times New Roman" w:hAnsi="Times New Roman" w:eastAsia="楷体_GB2312" w:cs="Times New Roman"/>
          <w:b/>
          <w:bCs/>
          <w:kern w:val="2"/>
          <w:sz w:val="32"/>
          <w:szCs w:val="32"/>
          <w:lang w:val="en-US" w:eastAsia="zh-CN" w:bidi="ar-SA"/>
        </w:rPr>
      </w:pPr>
      <w:bookmarkStart w:id="22" w:name="_Toc72430497"/>
      <w:r>
        <w:rPr>
          <w:rFonts w:hint="default" w:ascii="Times New Roman" w:hAnsi="Times New Roman" w:eastAsia="楷体_GB2312" w:cs="Times New Roman"/>
          <w:b/>
          <w:bCs/>
          <w:kern w:val="2"/>
          <w:sz w:val="32"/>
          <w:szCs w:val="32"/>
          <w:lang w:val="en-US" w:eastAsia="zh-CN" w:bidi="ar-SA"/>
        </w:rPr>
        <w:t>（四）绩效目标设置情况</w:t>
      </w:r>
      <w:bookmarkEnd w:id="22"/>
    </w:p>
    <w:p w14:paraId="06577841">
      <w:pPr>
        <w:pageBreakBefore w:val="0"/>
        <w:widowControl w:val="0"/>
        <w:kinsoku/>
        <w:wordWrap/>
        <w:overflowPunct/>
        <w:topLinePunct w:val="0"/>
        <w:bidi w:val="0"/>
        <w:spacing w:line="590" w:lineRule="exact"/>
        <w:ind w:firstLine="57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绩效目标是预算编制的前提和基础，按照“费随事定”的原则，</w:t>
      </w:r>
      <w:r>
        <w:rPr>
          <w:rFonts w:hint="default" w:ascii="Times New Roman" w:hAnsi="Times New Roman" w:eastAsia="仿宋_GB2312" w:cs="Times New Roman"/>
          <w:sz w:val="32"/>
          <w:szCs w:val="32"/>
          <w:lang w:eastAsia="zh-CN"/>
        </w:rPr>
        <w:t>2026年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大安区委组织部</w:t>
      </w:r>
      <w:r>
        <w:rPr>
          <w:rFonts w:hint="default" w:ascii="Times New Roman" w:hAnsi="Times New Roman" w:eastAsia="仿宋_GB2312" w:cs="Times New Roman"/>
          <w:sz w:val="32"/>
          <w:szCs w:val="32"/>
        </w:rPr>
        <w:t>所有专项项目均按要求编制了绩效目标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从项目完成、项目效益、满意度等方面设置了绩效指标，综合反映项目预期完成的数量、成本、时效、质量，预期达到的社会效益、经济效益、生态效益、可持续影响以及服务对象满意度等情况。</w:t>
      </w:r>
    </w:p>
    <w:p w14:paraId="5EDCE62B">
      <w:pPr>
        <w:pageBreakBefore w:val="0"/>
        <w:widowControl w:val="0"/>
        <w:kinsoku/>
        <w:wordWrap/>
        <w:overflowPunct/>
        <w:topLinePunct w:val="0"/>
        <w:bidi w:val="0"/>
        <w:spacing w:line="590" w:lineRule="exact"/>
        <w:ind w:firstLine="570"/>
        <w:textAlignment w:val="auto"/>
        <w:rPr>
          <w:rFonts w:hint="default" w:ascii="Times New Roman" w:hAnsi="Times New Roman" w:cs="Times New Roman"/>
          <w:sz w:val="32"/>
          <w:szCs w:val="32"/>
        </w:rPr>
      </w:pP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重点项目预算绩效目标情况是：全区干部职工体检费项目，绩效目标是为全区干部职工提供健康体检保障，体现人文关怀，更好的促进日常工作开展；老党员补贴、党代表活动经费绩效目标是用于全区党代表开展调研、召开会议补助，发放老党员生活补贴、慰问补贴；基层党建专项经费绩效目标是用于基层党组织活动阵地建设、基层党员教育培训、基层示范创建、党建工作重要会议、党建活动经费等；老干局全年开展活动、慰问费及相关工作经费绩效目标是用于老干局全年开展活动，保证老干局正常运转，落实离退休干部政治生活待遇。</w:t>
      </w:r>
    </w:p>
    <w:p w14:paraId="46AB7AB4">
      <w:pPr>
        <w:pStyle w:val="3"/>
        <w:pageBreakBefore w:val="0"/>
        <w:widowControl w:val="0"/>
        <w:kinsoku/>
        <w:wordWrap/>
        <w:overflowPunct/>
        <w:topLinePunct w:val="0"/>
        <w:bidi w:val="0"/>
        <w:spacing w:before="0" w:after="0" w:line="590" w:lineRule="exact"/>
        <w:ind w:firstLine="640" w:firstLineChars="200"/>
        <w:textAlignment w:val="auto"/>
        <w:rPr>
          <w:rFonts w:hint="default" w:ascii="Times New Roman" w:hAnsi="Times New Roman" w:eastAsia="黑体" w:cs="Times New Roman"/>
          <w:b w:val="0"/>
          <w:bCs w:val="0"/>
          <w:kern w:val="44"/>
          <w:sz w:val="32"/>
          <w:szCs w:val="32"/>
          <w:lang w:val="en-US" w:eastAsia="zh-CN" w:bidi="ar-SA"/>
        </w:rPr>
      </w:pPr>
      <w:bookmarkStart w:id="23" w:name="_Toc72430498"/>
      <w:r>
        <w:rPr>
          <w:rFonts w:hint="default" w:ascii="Times New Roman" w:hAnsi="Times New Roman" w:eastAsia="黑体" w:cs="Times New Roman"/>
          <w:b w:val="0"/>
          <w:bCs w:val="0"/>
          <w:kern w:val="44"/>
          <w:sz w:val="32"/>
          <w:szCs w:val="32"/>
          <w:lang w:val="en-US" w:eastAsia="zh-CN" w:bidi="ar-SA"/>
        </w:rPr>
        <w:t>十一、名词解释</w:t>
      </w:r>
      <w:bookmarkEnd w:id="23"/>
    </w:p>
    <w:p w14:paraId="48F3BA35">
      <w:pPr>
        <w:pageBreakBefore w:val="0"/>
        <w:widowControl w:val="0"/>
        <w:kinsoku/>
        <w:wordWrap/>
        <w:overflowPunct/>
        <w:topLinePunct w:val="0"/>
        <w:bidi w:val="0"/>
        <w:spacing w:line="590" w:lineRule="exact"/>
        <w:ind w:firstLine="729" w:firstLineChars="228"/>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1.一般公共预算拨款收入：指财政当年拨付的一般公共预算资金。</w:t>
      </w:r>
    </w:p>
    <w:p w14:paraId="51D09C84">
      <w:pPr>
        <w:pageBreakBefore w:val="0"/>
        <w:widowControl w:val="0"/>
        <w:kinsoku/>
        <w:wordWrap/>
        <w:overflowPunct/>
        <w:topLinePunct w:val="0"/>
        <w:bidi w:val="0"/>
        <w:spacing w:line="590" w:lineRule="exact"/>
        <w:ind w:firstLine="729" w:firstLineChars="228"/>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2.事业收入：指事业单位开展专业业务活动及辅助活动所取得的收入。</w:t>
      </w:r>
    </w:p>
    <w:p w14:paraId="418203FE">
      <w:pPr>
        <w:pageBreakBefore w:val="0"/>
        <w:widowControl w:val="0"/>
        <w:kinsoku/>
        <w:wordWrap/>
        <w:overflowPunct/>
        <w:topLinePunct w:val="0"/>
        <w:bidi w:val="0"/>
        <w:spacing w:line="590" w:lineRule="exact"/>
        <w:ind w:firstLine="645"/>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3.上年结转：指以前年度尚未完成，结转到本年仍按原规定用途继续使用的资金。</w:t>
      </w:r>
    </w:p>
    <w:p w14:paraId="4D3C81BC">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.一般公共服务支出（类）组织事务（款）行政运行（项）:反映行政单位、参照公务员法管理的事业单位以及事业单位（包括部机关、党员教育中心）用于保障机构正常运行、开展日常工作的基本支出。</w:t>
      </w:r>
    </w:p>
    <w:p w14:paraId="05BA35B4">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.一般公共服务支出（类）组织事务（款）事业运行（项）:反映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代管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事业单位（自贡市大安区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人才发展促进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中心）用于保障机构正常运行、开展日常工作的基本支出。</w:t>
      </w:r>
    </w:p>
    <w:p w14:paraId="55DF0B90">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.一般公共服务支出（类）组织事务（款）其他组织事务（项）:反映部机关用于支付编外长聘人员劳务报酬和社会保障缴费等除上述项目以外其他组织事务方面的支出。</w:t>
      </w:r>
    </w:p>
    <w:p w14:paraId="7ED96BF1">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.社会保障和就业支出（类）行政事业单位养老支出（款）行政单位离退休（项）:反映部机关退休人员公用经费支出。</w:t>
      </w:r>
    </w:p>
    <w:p w14:paraId="14989B81">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.社会保障和就业支出（类）行政事业单位养老支出（款）机关事业单位基本养老保险缴费支出（项）:反映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实施养老保险制度由单位缴纳的养老保险费支出。</w:t>
      </w:r>
    </w:p>
    <w:p w14:paraId="133CFDE2">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.卫生健康支出（类）行政事业单位医疗（款）行政单位医疗（项）:反映部机关及参照公务员法管理事业单位用于缴纳职工基本医疗保险费支出。</w:t>
      </w:r>
    </w:p>
    <w:p w14:paraId="2283A6F7">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.卫生健康支出（类）行政事业单位医疗（款）事业单位医疗（项）:反映事业单位用于缴纳职工基本医疗保险缴费、其他社会保障缴费支出。</w:t>
      </w:r>
    </w:p>
    <w:p w14:paraId="3798B58A">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.卫生健康支出（类）行政事业单位医疗（款）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公务员医疗补助</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（项）:反映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财政</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安排的公务员医疗补助经费。</w:t>
      </w:r>
    </w:p>
    <w:p w14:paraId="72FD3FC0">
      <w:pPr>
        <w:keepNext w:val="0"/>
        <w:keepLines w:val="0"/>
        <w:pageBreakBefore w:val="0"/>
        <w:widowControl w:val="0"/>
        <w:kinsoku/>
        <w:wordWrap/>
        <w:overflowPunct/>
        <w:topLinePunct w:val="0"/>
        <w:bidi w:val="0"/>
        <w:snapToGrid/>
        <w:spacing w:line="590" w:lineRule="exact"/>
        <w:ind w:left="0"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.住房保障支出（类）住房改革支出（款）住房公积金（项）:反映行政事业单位按人力资源和社会保障部、财政部规定的基本工资和津贴补贴以及其他工资性收入按规定比例为职工缴纳的住房公积金。　</w:t>
      </w:r>
    </w:p>
    <w:p w14:paraId="3DDA7737">
      <w:pPr>
        <w:pageBreakBefore w:val="0"/>
        <w:widowControl w:val="0"/>
        <w:kinsoku/>
        <w:wordWrap/>
        <w:overflowPunct/>
        <w:topLinePunct w:val="0"/>
        <w:bidi w:val="0"/>
        <w:spacing w:line="590" w:lineRule="exact"/>
        <w:ind w:left="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color w:val="000000" w:themeColor="text1"/>
          <w:sz w:val="32"/>
          <w:szCs w:val="32"/>
          <w14:textFill>
            <w14:solidFill>
              <w14:schemeClr w14:val="tx1"/>
            </w14:solidFill>
          </w14:textFill>
        </w:rPr>
        <w:t>.基本支出：指为保证机构正常运转，完成日常工作任务而发生的人员支出和公用支出。</w:t>
      </w:r>
    </w:p>
    <w:p w14:paraId="77553779">
      <w:pPr>
        <w:pageBreakBefore w:val="0"/>
        <w:widowControl w:val="0"/>
        <w:kinsoku/>
        <w:wordWrap/>
        <w:overflowPunct/>
        <w:topLinePunct w:val="0"/>
        <w:bidi w:val="0"/>
        <w:spacing w:line="590" w:lineRule="exact"/>
        <w:ind w:left="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14:textFill>
            <w14:solidFill>
              <w14:schemeClr w14:val="tx1"/>
            </w14:solidFill>
          </w14:textFill>
        </w:rPr>
        <w:t>.项目支出：指在基本支出之外为完成特定行政任务和事业发展目标所发生的支出。</w:t>
      </w:r>
    </w:p>
    <w:p w14:paraId="74727B78">
      <w:pPr>
        <w:pageBreakBefore w:val="0"/>
        <w:widowControl w:val="0"/>
        <w:kinsoku/>
        <w:wordWrap/>
        <w:overflowPunct/>
        <w:topLinePunct w:val="0"/>
        <w:bidi w:val="0"/>
        <w:spacing w:line="590" w:lineRule="exact"/>
        <w:ind w:left="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z w:val="32"/>
          <w:szCs w:val="32"/>
          <w14:textFill>
            <w14:solidFill>
              <w14:schemeClr w14:val="tx1"/>
            </w14:solidFill>
          </w14:textFill>
        </w:rPr>
        <w:t>.“三公”经费：指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单位</w:t>
      </w:r>
      <w:r>
        <w:rPr>
          <w:rFonts w:hint="default" w:ascii="Times New Roman" w:hAnsi="Times New Roman" w:eastAsia="仿宋_GB2312" w:cs="Times New Roman"/>
          <w:color w:val="000000" w:themeColor="text1"/>
          <w:sz w:val="32"/>
          <w:szCs w:val="32"/>
          <w14:textFill>
            <w14:solidFill>
              <w14:schemeClr w14:val="tx1"/>
            </w14:solidFill>
          </w14:textFill>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95CA5DC">
      <w:pPr>
        <w:pStyle w:val="2"/>
        <w:pageBreakBefore w:val="0"/>
        <w:kinsoku/>
        <w:wordWrap/>
        <w:overflowPunct/>
        <w:topLinePunct w:val="0"/>
        <w:bidi w:val="0"/>
        <w:spacing w:line="590" w:lineRule="exact"/>
        <w:ind w:left="0" w:leftChars="0"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16</w:t>
      </w:r>
      <w:r>
        <w:rPr>
          <w:rFonts w:hint="default" w:ascii="Times New Roman" w:hAnsi="Times New Roman" w:eastAsia="仿宋_GB2312" w:cs="Times New Roman"/>
          <w:color w:val="000000" w:themeColor="text1"/>
          <w:sz w:val="32"/>
          <w:szCs w:val="32"/>
          <w14:textFill>
            <w14:solidFill>
              <w14:schemeClr w14:val="tx1"/>
            </w14:solidFill>
          </w14:textFill>
        </w:rPr>
        <w:t>.机关运行经费：为保障行政单位（包含参照公务员法管理的事业单位）运行用于购买货物和服务的各项资金。包括办公及印刷费、邮电费、差旅费、会议费等费用开支。</w:t>
      </w:r>
    </w:p>
    <w:p w14:paraId="15D24B47">
      <w:pPr>
        <w:pageBreakBefore w:val="0"/>
        <w:widowControl w:val="0"/>
        <w:kinsoku/>
        <w:wordWrap/>
        <w:overflowPunct/>
        <w:topLinePunct w:val="0"/>
        <w:bidi w:val="0"/>
        <w:spacing w:line="590" w:lineRule="exact"/>
        <w:textAlignment w:val="auto"/>
        <w:rPr>
          <w:rFonts w:hint="default" w:ascii="Times New Roman" w:hAnsi="Times New Roman" w:eastAsia="仿宋_GB2312" w:cs="Times New Roman"/>
          <w:color w:val="000000"/>
          <w:sz w:val="32"/>
          <w:szCs w:val="32"/>
        </w:rPr>
      </w:pPr>
    </w:p>
    <w:p w14:paraId="41352002">
      <w:pPr>
        <w:pageBreakBefore w:val="0"/>
        <w:widowControl w:val="0"/>
        <w:kinsoku/>
        <w:wordWrap/>
        <w:overflowPunct/>
        <w:topLinePunct w:val="0"/>
        <w:bidi w:val="0"/>
        <w:spacing w:line="59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333333"/>
          <w:sz w:val="28"/>
          <w:szCs w:val="28"/>
        </w:rPr>
        <w:t>　</w:t>
      </w:r>
      <w:r>
        <w:rPr>
          <w:rFonts w:hint="default" w:ascii="Times New Roman" w:hAnsi="Times New Roman" w:eastAsia="仿宋_GB2312" w:cs="Times New Roman"/>
          <w:color w:val="000000"/>
          <w:sz w:val="32"/>
          <w:szCs w:val="32"/>
        </w:rPr>
        <w:t>附件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表1.</w:t>
      </w:r>
      <w:r>
        <w:rPr>
          <w:rFonts w:hint="eastAsia"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收支总表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表1-1.</w:t>
      </w:r>
      <w:r>
        <w:rPr>
          <w:rFonts w:hint="eastAsia"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收入总表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表1-2.</w:t>
      </w:r>
      <w:r>
        <w:rPr>
          <w:rFonts w:hint="eastAsia"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支出总表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表2.财政拨款收支预算总表</w:t>
      </w:r>
    </w:p>
    <w:p w14:paraId="3FD7097E">
      <w:pPr>
        <w:pageBreakBefore w:val="0"/>
        <w:widowControl w:val="0"/>
        <w:kinsoku/>
        <w:wordWrap/>
        <w:overflowPunct/>
        <w:topLinePunct w:val="0"/>
        <w:bidi w:val="0"/>
        <w:spacing w:line="590" w:lineRule="exact"/>
        <w:ind w:firstLine="1280" w:firstLineChars="4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表2-1. 财政拨款支出预算表（</w:t>
      </w:r>
      <w:r>
        <w:rPr>
          <w:rFonts w:hint="eastAsia" w:ascii="Times New Roman" w:hAnsi="Times New Roman" w:eastAsia="仿宋_GB2312" w:cs="Times New Roman"/>
          <w:color w:val="000000"/>
          <w:sz w:val="28"/>
          <w:szCs w:val="28"/>
          <w:lang w:eastAsia="zh-CN"/>
        </w:rPr>
        <w:t>单位</w:t>
      </w:r>
      <w:r>
        <w:rPr>
          <w:rFonts w:hint="default" w:ascii="Times New Roman" w:hAnsi="Times New Roman" w:eastAsia="仿宋_GB2312" w:cs="Times New Roman"/>
          <w:color w:val="000000"/>
          <w:sz w:val="28"/>
          <w:szCs w:val="28"/>
        </w:rPr>
        <w:t>经济分类科目</w:t>
      </w:r>
      <w:r>
        <w:rPr>
          <w:rFonts w:hint="default" w:ascii="Times New Roman" w:hAnsi="Times New Roman" w:eastAsia="仿宋_GB2312" w:cs="Times New Roman"/>
          <w:color w:val="000000"/>
          <w:sz w:val="32"/>
          <w:szCs w:val="32"/>
        </w:rPr>
        <w:t>）　　　　　</w:t>
      </w:r>
    </w:p>
    <w:p w14:paraId="3E54A47A">
      <w:pPr>
        <w:pageBreakBefore w:val="0"/>
        <w:widowControl w:val="0"/>
        <w:kinsoku/>
        <w:wordWrap/>
        <w:overflowPunct/>
        <w:topLinePunct w:val="0"/>
        <w:bidi w:val="0"/>
        <w:spacing w:line="590" w:lineRule="exact"/>
        <w:ind w:firstLine="1280" w:firstLineChars="4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表3.一般公共预算支出预算表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表3-1.一般公共预算基本支出预算表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表3-2.一般公共预算项目支出预算表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表3-3.一般公共预算“三公”经费支出预算表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表4.政府性基金支出预算表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表4-1.政府性基金预算“三公”经费支出预算表</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rPr>
        <w:t>　　　　表5.国有资本经营预算支出预算表</w:t>
      </w:r>
    </w:p>
    <w:p w14:paraId="6DC2A865">
      <w:pPr>
        <w:pageBreakBefore w:val="0"/>
        <w:widowControl w:val="0"/>
        <w:kinsoku/>
        <w:wordWrap/>
        <w:overflowPunct/>
        <w:topLinePunct w:val="0"/>
        <w:bidi w:val="0"/>
        <w:spacing w:line="590" w:lineRule="exact"/>
        <w:ind w:firstLine="1280" w:firstLineChars="4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表6</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单位</w:t>
      </w:r>
      <w:r>
        <w:rPr>
          <w:rFonts w:hint="default" w:ascii="Times New Roman" w:hAnsi="Times New Roman" w:eastAsia="仿宋_GB2312" w:cs="Times New Roman"/>
          <w:color w:val="000000"/>
          <w:sz w:val="32"/>
          <w:szCs w:val="32"/>
        </w:rPr>
        <w:t>预算项目绩效目标表</w:t>
      </w:r>
    </w:p>
    <w:p w14:paraId="2FFACC5C">
      <w:pPr>
        <w:keepNext w:val="0"/>
        <w:keepLines w:val="0"/>
        <w:pageBreakBefore w:val="0"/>
        <w:widowControl/>
        <w:kinsoku/>
        <w:wordWrap/>
        <w:overflowPunct/>
        <w:topLinePunct w:val="0"/>
        <w:autoSpaceDE/>
        <w:autoSpaceDN/>
        <w:bidi w:val="0"/>
        <w:spacing w:line="590" w:lineRule="exact"/>
        <w:ind w:firstLine="4160" w:firstLineChars="1300"/>
        <w:jc w:val="both"/>
        <w:textAlignment w:val="auto"/>
        <w:rPr>
          <w:rFonts w:hint="default" w:ascii="Times New Roman" w:hAnsi="Times New Roman" w:eastAsia="仿宋_GB2312" w:cs="Times New Roman"/>
          <w:b w:val="0"/>
          <w:sz w:val="32"/>
          <w:szCs w:val="32"/>
          <w:highlight w:val="none"/>
          <w:shd w:val="clear" w:color="auto" w:fill="FFFFFF"/>
        </w:rPr>
      </w:pPr>
      <w:bookmarkStart w:id="24" w:name="_GoBack"/>
      <w:bookmarkEnd w:id="24"/>
    </w:p>
    <w:p w14:paraId="1E5E8442">
      <w:pPr>
        <w:keepNext w:val="0"/>
        <w:keepLines w:val="0"/>
        <w:pageBreakBefore w:val="0"/>
        <w:widowControl/>
        <w:kinsoku/>
        <w:wordWrap/>
        <w:overflowPunct/>
        <w:topLinePunct w:val="0"/>
        <w:autoSpaceDE/>
        <w:autoSpaceDN/>
        <w:bidi w:val="0"/>
        <w:spacing w:line="590" w:lineRule="exact"/>
        <w:ind w:firstLine="4160" w:firstLineChars="1300"/>
        <w:jc w:val="both"/>
        <w:textAlignment w:val="auto"/>
        <w:rPr>
          <w:rFonts w:hint="default" w:ascii="Times New Roman" w:hAnsi="Times New Roman" w:eastAsia="仿宋_GB2312" w:cs="Times New Roman"/>
          <w:b w:val="0"/>
          <w:sz w:val="32"/>
          <w:szCs w:val="32"/>
          <w:highlight w:val="none"/>
          <w:shd w:val="clear" w:color="auto" w:fill="FFFFFF"/>
        </w:rPr>
      </w:pPr>
      <w:r>
        <w:rPr>
          <w:rFonts w:hint="default" w:ascii="Times New Roman" w:hAnsi="Times New Roman" w:eastAsia="仿宋_GB2312" w:cs="Times New Roman"/>
          <w:b w:val="0"/>
          <w:sz w:val="32"/>
          <w:szCs w:val="32"/>
          <w:highlight w:val="none"/>
          <w:shd w:val="clear" w:color="auto" w:fill="FFFFFF"/>
        </w:rPr>
        <w:t xml:space="preserve"> </w:t>
      </w:r>
      <w:r>
        <w:rPr>
          <w:rFonts w:hint="default" w:ascii="Times New Roman" w:hAnsi="Times New Roman" w:eastAsia="仿宋_GB2312" w:cs="Times New Roman"/>
          <w:b w:val="0"/>
          <w:color w:val="000000" w:themeColor="text1"/>
          <w:sz w:val="32"/>
          <w:szCs w:val="32"/>
          <w:highlight w:val="none"/>
          <w:shd w:val="clear" w:color="auto" w:fill="FFFFFF"/>
          <w:lang w:val="en-US" w:eastAsia="zh-CN"/>
          <w14:textFill>
            <w14:solidFill>
              <w14:schemeClr w14:val="tx1"/>
            </w14:solidFill>
          </w14:textFill>
        </w:rPr>
        <w:t>中共自贡市大安区委组织部</w:t>
      </w:r>
    </w:p>
    <w:p w14:paraId="2B15F81E">
      <w:pPr>
        <w:keepNext w:val="0"/>
        <w:keepLines w:val="0"/>
        <w:pageBreakBefore w:val="0"/>
        <w:widowControl/>
        <w:kinsoku/>
        <w:wordWrap/>
        <w:overflowPunct/>
        <w:topLinePunct w:val="0"/>
        <w:autoSpaceDE/>
        <w:autoSpaceDN/>
        <w:bidi w:val="0"/>
        <w:spacing w:line="590" w:lineRule="exact"/>
        <w:jc w:val="both"/>
        <w:textAlignment w:val="auto"/>
        <w:rPr>
          <w:rFonts w:hint="default" w:ascii="Times New Roman" w:hAnsi="Times New Roman" w:eastAsia="仿宋_GB2312" w:cs="Times New Roman"/>
          <w:sz w:val="32"/>
          <w:szCs w:val="32"/>
          <w:highlight w:val="none"/>
          <w:shd w:val="clear" w:color="auto" w:fill="FFFFFF"/>
          <w:lang w:val="en-US" w:eastAsia="zh-CN"/>
        </w:rPr>
      </w:pPr>
      <w:r>
        <w:rPr>
          <w:rFonts w:hint="default" w:ascii="Times New Roman" w:hAnsi="Times New Roman" w:eastAsia="仿宋_GB2312" w:cs="Times New Roman"/>
          <w:b w:val="0"/>
          <w:sz w:val="32"/>
          <w:szCs w:val="32"/>
          <w:highlight w:val="none"/>
          <w:shd w:val="clear" w:color="auto" w:fill="FFFFFF"/>
        </w:rPr>
        <w:t xml:space="preserve">                    </w:t>
      </w:r>
      <w:r>
        <w:rPr>
          <w:rFonts w:hint="default" w:ascii="Times New Roman" w:hAnsi="Times New Roman" w:eastAsia="仿宋_GB2312" w:cs="Times New Roman"/>
          <w:b w:val="0"/>
          <w:sz w:val="32"/>
          <w:szCs w:val="32"/>
          <w:highlight w:val="none"/>
          <w:shd w:val="clear" w:color="auto" w:fill="FFFFFF"/>
        </w:rPr>
        <w:t xml:space="preserve"> </w:t>
      </w:r>
      <w:r>
        <w:rPr>
          <w:rFonts w:hint="default" w:ascii="Times New Roman" w:hAnsi="Times New Roman" w:eastAsia="仿宋_GB2312" w:cs="Times New Roman"/>
          <w:b w:val="0"/>
          <w:sz w:val="32"/>
          <w:szCs w:val="32"/>
          <w:highlight w:val="none"/>
          <w:shd w:val="clear" w:color="auto" w:fill="FFFFFF"/>
        </w:rPr>
        <w:t xml:space="preserve">      </w:t>
      </w:r>
      <w:r>
        <w:rPr>
          <w:rFonts w:hint="default" w:ascii="Times New Roman" w:hAnsi="Times New Roman" w:eastAsia="仿宋_GB2312" w:cs="Times New Roman"/>
          <w:b w:val="0"/>
          <w:sz w:val="32"/>
          <w:szCs w:val="32"/>
          <w:highlight w:val="none"/>
          <w:shd w:val="clear" w:color="auto" w:fill="FFFFFF"/>
          <w:lang w:val="en-US" w:eastAsia="zh-CN"/>
        </w:rPr>
        <w:t xml:space="preserve">  </w:t>
      </w:r>
      <w:r>
        <w:rPr>
          <w:rFonts w:hint="default" w:ascii="Times New Roman" w:hAnsi="Times New Roman" w:eastAsia="仿宋_GB2312" w:cs="Times New Roman"/>
          <w:b w:val="0"/>
          <w:sz w:val="32"/>
          <w:szCs w:val="32"/>
          <w:highlight w:val="none"/>
          <w:shd w:val="clear" w:color="auto" w:fill="FFFFFF"/>
        </w:rPr>
        <w:t xml:space="preserve">  </w:t>
      </w:r>
      <w:r>
        <w:rPr>
          <w:rFonts w:hint="default" w:ascii="Times New Roman" w:hAnsi="Times New Roman" w:eastAsia="仿宋_GB2312" w:cs="Times New Roman"/>
          <w:b w:val="0"/>
          <w:sz w:val="32"/>
          <w:szCs w:val="32"/>
          <w:highlight w:val="none"/>
          <w:shd w:val="clear" w:color="auto" w:fill="FFFFFF"/>
          <w:lang w:eastAsia="zh-CN"/>
        </w:rPr>
        <w:t>2026年</w:t>
      </w:r>
      <w:r>
        <w:rPr>
          <w:rFonts w:hint="default" w:ascii="Times New Roman" w:hAnsi="Times New Roman" w:eastAsia="仿宋_GB2312" w:cs="Times New Roman"/>
          <w:b w:val="0"/>
          <w:sz w:val="32"/>
          <w:szCs w:val="32"/>
          <w:highlight w:val="none"/>
          <w:shd w:val="clear" w:color="auto" w:fill="FFFFFF"/>
          <w:lang w:val="en-US" w:eastAsia="zh-CN"/>
        </w:rPr>
        <w:t>2</w:t>
      </w:r>
      <w:r>
        <w:rPr>
          <w:rFonts w:hint="default" w:ascii="Times New Roman" w:hAnsi="Times New Roman" w:eastAsia="仿宋_GB2312" w:cs="Times New Roman"/>
          <w:b w:val="0"/>
          <w:sz w:val="32"/>
          <w:szCs w:val="32"/>
          <w:highlight w:val="none"/>
          <w:shd w:val="clear" w:color="auto" w:fill="FFFFFF"/>
        </w:rPr>
        <w:t>月</w:t>
      </w:r>
      <w:r>
        <w:rPr>
          <w:rFonts w:hint="default" w:ascii="Times New Roman" w:hAnsi="Times New Roman" w:eastAsia="仿宋_GB2312" w:cs="Times New Roman"/>
          <w:b w:val="0"/>
          <w:sz w:val="32"/>
          <w:szCs w:val="32"/>
          <w:highlight w:val="none"/>
          <w:shd w:val="clear" w:color="auto" w:fill="FFFFFF"/>
          <w:lang w:val="en-US" w:eastAsia="zh-CN"/>
        </w:rPr>
        <w:t>5</w:t>
      </w:r>
      <w:r>
        <w:rPr>
          <w:rFonts w:hint="default" w:ascii="Times New Roman" w:hAnsi="Times New Roman" w:eastAsia="仿宋_GB2312" w:cs="Times New Roman"/>
          <w:sz w:val="32"/>
          <w:szCs w:val="32"/>
          <w:highlight w:val="none"/>
          <w:shd w:val="clear" w:color="auto" w:fill="FFFFFF"/>
        </w:rPr>
        <w:t>日</w:t>
      </w:r>
    </w:p>
    <w:sectPr>
      <w:footerReference r:id="rId3" w:type="default"/>
      <w:pgSz w:w="11906" w:h="16838"/>
      <w:pgMar w:top="1440" w:right="1800" w:bottom="1440" w:left="1800"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A6F4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1CE3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781CE30">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wNzNhYWIwNjkyNTgzYzNmNjBiOWIyMjMxNGQ1MTcifQ=="/>
  </w:docVars>
  <w:rsids>
    <w:rsidRoot w:val="1E347ACE"/>
    <w:rsid w:val="000C1FF9"/>
    <w:rsid w:val="0067426A"/>
    <w:rsid w:val="03136D01"/>
    <w:rsid w:val="03B0401B"/>
    <w:rsid w:val="041B1889"/>
    <w:rsid w:val="072C42D2"/>
    <w:rsid w:val="07BC2D62"/>
    <w:rsid w:val="0A9406DB"/>
    <w:rsid w:val="0B9D3A08"/>
    <w:rsid w:val="0D185287"/>
    <w:rsid w:val="0DAD574B"/>
    <w:rsid w:val="0E2F12B5"/>
    <w:rsid w:val="0E792F4F"/>
    <w:rsid w:val="0EC46376"/>
    <w:rsid w:val="0F634450"/>
    <w:rsid w:val="110B7786"/>
    <w:rsid w:val="11D810F6"/>
    <w:rsid w:val="120D085B"/>
    <w:rsid w:val="1255341D"/>
    <w:rsid w:val="12920387"/>
    <w:rsid w:val="134F2F39"/>
    <w:rsid w:val="1377237B"/>
    <w:rsid w:val="140B4870"/>
    <w:rsid w:val="1420663C"/>
    <w:rsid w:val="14EC3655"/>
    <w:rsid w:val="1553311D"/>
    <w:rsid w:val="160114A8"/>
    <w:rsid w:val="162D2CD7"/>
    <w:rsid w:val="18A37DD2"/>
    <w:rsid w:val="1A8B48BA"/>
    <w:rsid w:val="1BC23B97"/>
    <w:rsid w:val="1C126D6D"/>
    <w:rsid w:val="1E347ACE"/>
    <w:rsid w:val="1E886BC4"/>
    <w:rsid w:val="20507FA8"/>
    <w:rsid w:val="20D10F6D"/>
    <w:rsid w:val="21DB6F11"/>
    <w:rsid w:val="24115C1C"/>
    <w:rsid w:val="243E13D4"/>
    <w:rsid w:val="24834097"/>
    <w:rsid w:val="255E03A2"/>
    <w:rsid w:val="25930853"/>
    <w:rsid w:val="25B4606C"/>
    <w:rsid w:val="25EC416B"/>
    <w:rsid w:val="26424D84"/>
    <w:rsid w:val="27367647"/>
    <w:rsid w:val="28655BFD"/>
    <w:rsid w:val="2A0F300A"/>
    <w:rsid w:val="2C6F22C9"/>
    <w:rsid w:val="2E4834CF"/>
    <w:rsid w:val="2E4A29F9"/>
    <w:rsid w:val="2F4C8DA1"/>
    <w:rsid w:val="300B6BCF"/>
    <w:rsid w:val="301270DA"/>
    <w:rsid w:val="30E80E65"/>
    <w:rsid w:val="31673B61"/>
    <w:rsid w:val="31F17DDA"/>
    <w:rsid w:val="32286157"/>
    <w:rsid w:val="32AA4F2F"/>
    <w:rsid w:val="33EB70CA"/>
    <w:rsid w:val="357069B7"/>
    <w:rsid w:val="3595212A"/>
    <w:rsid w:val="36065354"/>
    <w:rsid w:val="373F6160"/>
    <w:rsid w:val="37FE03D3"/>
    <w:rsid w:val="39BE4A47"/>
    <w:rsid w:val="3AC73E44"/>
    <w:rsid w:val="3B9236C9"/>
    <w:rsid w:val="420071D6"/>
    <w:rsid w:val="4298064E"/>
    <w:rsid w:val="443104F1"/>
    <w:rsid w:val="44FE44CB"/>
    <w:rsid w:val="45005B9B"/>
    <w:rsid w:val="46672CB0"/>
    <w:rsid w:val="48663C46"/>
    <w:rsid w:val="4B853792"/>
    <w:rsid w:val="4BDA35E3"/>
    <w:rsid w:val="4C817CAC"/>
    <w:rsid w:val="4D640287"/>
    <w:rsid w:val="4E1B6731"/>
    <w:rsid w:val="4E3B72FE"/>
    <w:rsid w:val="4ED213AA"/>
    <w:rsid w:val="50BD73E6"/>
    <w:rsid w:val="53A8221A"/>
    <w:rsid w:val="54710502"/>
    <w:rsid w:val="54CE2088"/>
    <w:rsid w:val="556A201B"/>
    <w:rsid w:val="56553E33"/>
    <w:rsid w:val="57BA102F"/>
    <w:rsid w:val="57F51F09"/>
    <w:rsid w:val="5868001A"/>
    <w:rsid w:val="5A0B6586"/>
    <w:rsid w:val="5A8666D4"/>
    <w:rsid w:val="5B6818AF"/>
    <w:rsid w:val="5C38766C"/>
    <w:rsid w:val="5C3A4DFA"/>
    <w:rsid w:val="5D870982"/>
    <w:rsid w:val="5DA95387"/>
    <w:rsid w:val="5E45203A"/>
    <w:rsid w:val="5ECD1BC6"/>
    <w:rsid w:val="5F0079B5"/>
    <w:rsid w:val="5FD501C7"/>
    <w:rsid w:val="633F7065"/>
    <w:rsid w:val="639962F3"/>
    <w:rsid w:val="66A504F5"/>
    <w:rsid w:val="67F700D3"/>
    <w:rsid w:val="68814582"/>
    <w:rsid w:val="68DC3997"/>
    <w:rsid w:val="6B8E3640"/>
    <w:rsid w:val="6BED427B"/>
    <w:rsid w:val="6CBF2379"/>
    <w:rsid w:val="6E4A4694"/>
    <w:rsid w:val="6E91041D"/>
    <w:rsid w:val="730647AA"/>
    <w:rsid w:val="738D6489"/>
    <w:rsid w:val="73CB36DD"/>
    <w:rsid w:val="748C6121"/>
    <w:rsid w:val="7507633D"/>
    <w:rsid w:val="75AE4C20"/>
    <w:rsid w:val="76C421E9"/>
    <w:rsid w:val="799B3F11"/>
    <w:rsid w:val="7A2A24FB"/>
    <w:rsid w:val="7AAF462F"/>
    <w:rsid w:val="7B5B3614"/>
    <w:rsid w:val="7C1F7F1D"/>
    <w:rsid w:val="7D7D4495"/>
    <w:rsid w:val="7E863124"/>
    <w:rsid w:val="7FDBF952"/>
    <w:rsid w:val="CBFF4D0D"/>
    <w:rsid w:val="D69F7485"/>
    <w:rsid w:val="F14F2D3A"/>
    <w:rsid w:val="FD5D7D11"/>
    <w:rsid w:val="FE1F10C9"/>
    <w:rsid w:val="FF370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toc 5"/>
    <w:basedOn w:val="1"/>
    <w:next w:val="1"/>
    <w:qFormat/>
    <w:uiPriority w:val="0"/>
    <w:pPr>
      <w:ind w:left="1680"/>
    </w:pPr>
    <w:rPr>
      <w:rFonts w:ascii="黑体" w:eastAsia="黑体"/>
      <w:sz w:val="32"/>
      <w:szCs w:val="32"/>
    </w:rPr>
  </w:style>
  <w:style w:type="paragraph" w:styleId="4">
    <w:name w:val="index 5"/>
    <w:basedOn w:val="1"/>
    <w:next w:val="1"/>
    <w:qFormat/>
    <w:uiPriority w:val="0"/>
    <w:pPr>
      <w:ind w:left="1680"/>
    </w:pPr>
  </w:style>
  <w:style w:type="paragraph" w:styleId="5">
    <w:name w:val="annotation text"/>
    <w:basedOn w:val="1"/>
    <w:qFormat/>
    <w:uiPriority w:val="0"/>
    <w:pPr>
      <w:jc w:val="left"/>
    </w:pPr>
  </w:style>
  <w:style w:type="paragraph" w:styleId="6">
    <w:name w:val="Body Text"/>
    <w:basedOn w:val="1"/>
    <w:qFormat/>
    <w:uiPriority w:val="0"/>
    <w:pPr>
      <w:spacing w:before="93" w:beforeLines="30"/>
    </w:pPr>
    <w:rPr>
      <w:rFonts w:ascii="仿宋_GB2312" w:eastAsia="仿宋_GB2312"/>
      <w:sz w:val="30"/>
    </w:rPr>
  </w:style>
  <w:style w:type="paragraph" w:styleId="7">
    <w:name w:val="Body Text Indent"/>
    <w:basedOn w:val="1"/>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spacing w:before="120"/>
      <w:jc w:val="left"/>
    </w:pPr>
    <w:rPr>
      <w:rFonts w:ascii="等线" w:eastAsia="等线"/>
      <w:b/>
      <w:bCs/>
      <w:i/>
      <w:iCs/>
      <w:sz w:val="24"/>
    </w:rPr>
  </w:style>
  <w:style w:type="paragraph" w:styleId="11">
    <w:name w:val="toc 2"/>
    <w:basedOn w:val="1"/>
    <w:next w:val="1"/>
    <w:unhideWhenUsed/>
    <w:qFormat/>
    <w:uiPriority w:val="39"/>
    <w:pPr>
      <w:spacing w:before="120"/>
      <w:ind w:left="300"/>
      <w:jc w:val="left"/>
    </w:pPr>
    <w:rPr>
      <w:rFonts w:ascii="等线" w:eastAsia="等线"/>
      <w:b/>
      <w:bCs/>
      <w:sz w:val="22"/>
      <w:szCs w:val="22"/>
    </w:rPr>
  </w:style>
  <w:style w:type="paragraph" w:styleId="12">
    <w:name w:val="Body Text First Indent 2"/>
    <w:basedOn w:val="7"/>
    <w:qFormat/>
    <w:uiPriority w:val="99"/>
    <w:pPr>
      <w:ind w:firstLine="420" w:firstLineChars="200"/>
    </w:pPr>
  </w:style>
  <w:style w:type="character" w:styleId="15">
    <w:name w:val="Strong"/>
    <w:qFormat/>
    <w:uiPriority w:val="0"/>
    <w:rPr>
      <w:b/>
      <w:bCs/>
    </w:rPr>
  </w:style>
  <w:style w:type="character" w:styleId="16">
    <w:name w:val="page number"/>
    <w:basedOn w:val="14"/>
    <w:qFormat/>
    <w:uiPriority w:val="0"/>
  </w:style>
  <w:style w:type="character" w:styleId="17">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31691576086957"/>
          <c:y val="0.0540216086434574"/>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收入预算结构图</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一般公共预算拨款收入</c:v>
                </c:pt>
              </c:strCache>
            </c:strRef>
          </c:cat>
          <c:val>
            <c:numRef>
              <c:f>Sheet1!$B$2</c:f>
              <c:numCache>
                <c:formatCode>General</c:formatCode>
                <c:ptCount val="1"/>
                <c:pt idx="0">
                  <c:v>908.25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a3df51f-5583-4337-9c7b-2a1389c1d7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支出预算结构图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438.91</c:v>
                </c:pt>
                <c:pt idx="1">
                  <c:v>469.34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ddf98d8-8e05-4c72-9706-4a1bff48f3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8695652173913"/>
          <c:y val="0.0209059233449477"/>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财政拨款收支总预算变动情况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2026年</c:v>
                </c:pt>
              </c:strCache>
            </c:strRef>
          </c:cat>
          <c:val>
            <c:numRef>
              <c:f>Sheet1!$B$2:$B$3</c:f>
              <c:numCache>
                <c:formatCode>General</c:formatCode>
                <c:ptCount val="2"/>
                <c:pt idx="0">
                  <c:v>925.16</c:v>
                </c:pt>
                <c:pt idx="1">
                  <c:v>908.25</c:v>
                </c:pt>
              </c:numCache>
            </c:numRef>
          </c:val>
        </c:ser>
        <c:dLbls>
          <c:showLegendKey val="0"/>
          <c:showVal val="1"/>
          <c:showCatName val="0"/>
          <c:showSerName val="0"/>
          <c:showPercent val="0"/>
          <c:showBubbleSize val="0"/>
        </c:dLbls>
        <c:gapWidth val="219"/>
        <c:overlap val="-27"/>
        <c:axId val="553017271"/>
        <c:axId val="235891821"/>
      </c:barChart>
      <c:catAx>
        <c:axId val="553017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891821"/>
        <c:crosses val="autoZero"/>
        <c:auto val="1"/>
        <c:lblAlgn val="ctr"/>
        <c:lblOffset val="100"/>
        <c:noMultiLvlLbl val="0"/>
      </c:catAx>
      <c:valAx>
        <c:axId val="2358918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0172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2990f0a-70b3-47e7-9a8a-8d68c9e913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一般公共预算财政拨款支出预算变动情况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2026年</c:v>
                </c:pt>
              </c:strCache>
            </c:strRef>
          </c:cat>
          <c:val>
            <c:numRef>
              <c:f>Sheet1!$B$2:$B$3</c:f>
              <c:numCache>
                <c:formatCode>General</c:formatCode>
                <c:ptCount val="2"/>
                <c:pt idx="0">
                  <c:v>925.16</c:v>
                </c:pt>
                <c:pt idx="1">
                  <c:v>908.25</c:v>
                </c:pt>
              </c:numCache>
            </c:numRef>
          </c:val>
        </c:ser>
        <c:dLbls>
          <c:showLegendKey val="0"/>
          <c:showVal val="1"/>
          <c:showCatName val="0"/>
          <c:showSerName val="0"/>
          <c:showPercent val="0"/>
          <c:showBubbleSize val="0"/>
        </c:dLbls>
        <c:gapWidth val="219"/>
        <c:overlap val="-27"/>
        <c:axId val="553017271"/>
        <c:axId val="235891821"/>
      </c:barChart>
      <c:catAx>
        <c:axId val="553017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5891821"/>
        <c:crosses val="autoZero"/>
        <c:auto val="1"/>
        <c:lblAlgn val="ctr"/>
        <c:lblOffset val="100"/>
        <c:noMultiLvlLbl val="0"/>
      </c:catAx>
      <c:valAx>
        <c:axId val="23589182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30172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1b9d17-17f8-4f91-bbe1-8c29a6117c7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一般公共预算财政拨款支出预算结构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一般公共预算财政拨款支出</c:v>
                </c:pt>
                <c:pt idx="1">
                  <c:v>社会保障和就业支出</c:v>
                </c:pt>
                <c:pt idx="2">
                  <c:v>卫生健康支出</c:v>
                </c:pt>
                <c:pt idx="3">
                  <c:v>住房保障支出</c:v>
                </c:pt>
              </c:strCache>
            </c:strRef>
          </c:cat>
          <c:val>
            <c:numRef>
              <c:f>Sheet1!$B$2:$B$5</c:f>
              <c:numCache>
                <c:formatCode>General</c:formatCode>
                <c:ptCount val="4"/>
                <c:pt idx="0">
                  <c:v>808.36</c:v>
                </c:pt>
                <c:pt idx="1">
                  <c:v>42.36</c:v>
                </c:pt>
                <c:pt idx="2">
                  <c:v>26.06</c:v>
                </c:pt>
                <c:pt idx="3">
                  <c:v>31.47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3c2b3bb-f97b-4209-9f16-f92583ea383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6022</Words>
  <Characters>6419</Characters>
  <Lines>0</Lines>
  <Paragraphs>0</Paragraphs>
  <TotalTime>0</TotalTime>
  <ScaleCrop>false</ScaleCrop>
  <LinksUpToDate>false</LinksUpToDate>
  <CharactersWithSpaces>6533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2022-07-09T00:59:00Z</dcterms:created>
  <dc:creator>姚垚</dc:creator>
  <cp:lastModifiedBy>魔芋</cp:lastModifiedBy>
  <cp:lastPrinted>2026-02-04T07:48:00Z</cp:lastPrinted>
  <dcterms:modified xsi:type="dcterms:W3CDTF">2026-02-11T01:50:55Z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F043AE772E1F4EE7818481A1698456E1_13</vt:lpwstr>
  </property>
  <property fmtid="{D5CDD505-2E9C-101B-9397-08002B2CF9AE}" pid="4" name="KSOTemplateDocerSaveRecord">
    <vt:lpwstr>eyJoZGlkIjoiOTVlMDE2OTdiZTE5ZDc2Nzc1OGM5OWM4NGY1ZTE3MTkiLCJ1c2VySWQiOiIyNzMyODY5OTMifQ==</vt:lpwstr>
  </property>
</Properties>
</file>