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3C49D"/>
    <w:p w14:paraId="5EEF81C8"/>
    <w:p w14:paraId="2646C5CD"/>
    <w:p w14:paraId="3448EF16"/>
    <w:p w14:paraId="5CBF955D">
      <w:pPr>
        <w:ind w:firstLine="1050" w:firstLineChars="500"/>
      </w:pPr>
    </w:p>
    <w:p w14:paraId="7C868EDA">
      <w:pPr>
        <w:ind w:firstLine="1050" w:firstLineChars="500"/>
      </w:pPr>
    </w:p>
    <w:p w14:paraId="7CDB6D0D">
      <w:pPr>
        <w:ind w:firstLine="1760" w:firstLineChars="400"/>
        <w:rPr>
          <w:rFonts w:ascii="黑体" w:hAnsi="黑体" w:eastAsia="黑体"/>
          <w:sz w:val="44"/>
          <w:szCs w:val="44"/>
        </w:rPr>
      </w:pPr>
    </w:p>
    <w:p w14:paraId="741F0484">
      <w:pPr>
        <w:jc w:val="center"/>
        <w:rPr>
          <w:rFonts w:hint="eastAsia" w:ascii="方正小标宋简体" w:hAnsi="黑体" w:eastAsia="方正小标宋简体"/>
          <w:color w:val="000000" w:themeColor="text1"/>
          <w:sz w:val="44"/>
          <w:szCs w:val="44"/>
        </w:rPr>
      </w:pPr>
      <w:r>
        <w:rPr>
          <w:rFonts w:hint="eastAsia" w:ascii="方正小标宋简体" w:hAnsi="黑体" w:eastAsia="方正小标宋简体"/>
          <w:color w:val="000000" w:themeColor="text1"/>
          <w:sz w:val="44"/>
          <w:szCs w:val="44"/>
        </w:rPr>
        <w:t>中共汶川县委党校</w:t>
      </w:r>
    </w:p>
    <w:p w14:paraId="2965C641">
      <w:pPr>
        <w:jc w:val="center"/>
        <w:rPr>
          <w:rFonts w:hint="default" w:ascii="方正小标宋简体" w:hAnsi="黑体" w:eastAsia="方正小标宋简体"/>
          <w:color w:val="000000" w:themeColor="text1"/>
          <w:sz w:val="44"/>
          <w:szCs w:val="44"/>
          <w:lang w:val="en-US" w:eastAsia="zh-CN"/>
        </w:rPr>
      </w:pPr>
      <w:r>
        <w:rPr>
          <w:rFonts w:hint="eastAsia" w:ascii="方正小标宋简体" w:hAnsi="黑体" w:eastAsia="方正小标宋简体"/>
          <w:color w:val="000000" w:themeColor="text1"/>
          <w:sz w:val="44"/>
          <w:szCs w:val="44"/>
        </w:rPr>
        <w:t>202</w:t>
      </w:r>
      <w:r>
        <w:rPr>
          <w:rFonts w:hint="eastAsia" w:ascii="方正小标宋简体" w:hAnsi="黑体" w:eastAsia="方正小标宋简体"/>
          <w:color w:val="000000" w:themeColor="text1"/>
          <w:sz w:val="44"/>
          <w:szCs w:val="44"/>
          <w:lang w:val="en-US" w:eastAsia="zh-CN"/>
        </w:rPr>
        <w:t>6</w:t>
      </w:r>
      <w:r>
        <w:rPr>
          <w:rFonts w:hint="eastAsia" w:ascii="方正小标宋简体" w:hAnsi="黑体" w:eastAsia="方正小标宋简体"/>
          <w:color w:val="000000" w:themeColor="text1"/>
          <w:sz w:val="44"/>
          <w:szCs w:val="44"/>
        </w:rPr>
        <w:t>年预算</w:t>
      </w:r>
      <w:r>
        <w:rPr>
          <w:rFonts w:hint="eastAsia" w:ascii="方正小标宋简体" w:hAnsi="黑体" w:eastAsia="方正小标宋简体"/>
          <w:color w:val="000000" w:themeColor="text1"/>
          <w:sz w:val="44"/>
          <w:szCs w:val="44"/>
          <w:lang w:val="en-US" w:eastAsia="zh-CN"/>
        </w:rPr>
        <w:t>公开编制说明</w:t>
      </w:r>
    </w:p>
    <w:p w14:paraId="00F7ED0C">
      <w:pPr>
        <w:ind w:firstLine="1760" w:firstLineChars="400"/>
        <w:rPr>
          <w:rFonts w:ascii="方正小标宋简体" w:hAnsi="黑体" w:eastAsia="方正小标宋简体"/>
          <w:color w:val="000000" w:themeColor="text1"/>
          <w:sz w:val="44"/>
          <w:szCs w:val="44"/>
        </w:rPr>
      </w:pPr>
    </w:p>
    <w:p w14:paraId="128BFB9F">
      <w:pPr>
        <w:ind w:firstLine="1760" w:firstLineChars="400"/>
        <w:rPr>
          <w:rFonts w:ascii="方正小标宋简体" w:hAnsi="黑体" w:eastAsia="方正小标宋简体"/>
          <w:color w:val="000000" w:themeColor="text1"/>
          <w:sz w:val="44"/>
          <w:szCs w:val="44"/>
        </w:rPr>
      </w:pPr>
    </w:p>
    <w:p w14:paraId="61D2C60B">
      <w:pPr>
        <w:ind w:firstLine="1760" w:firstLineChars="400"/>
        <w:rPr>
          <w:rFonts w:ascii="方正小标宋简体" w:hAnsi="黑体" w:eastAsia="方正小标宋简体"/>
          <w:color w:val="000000" w:themeColor="text1"/>
          <w:sz w:val="44"/>
          <w:szCs w:val="44"/>
        </w:rPr>
      </w:pPr>
    </w:p>
    <w:p w14:paraId="1CF56E96">
      <w:pPr>
        <w:ind w:firstLine="1760" w:firstLineChars="400"/>
        <w:rPr>
          <w:rFonts w:ascii="方正小标宋简体" w:hAnsi="黑体" w:eastAsia="方正小标宋简体"/>
          <w:color w:val="000000" w:themeColor="text1"/>
          <w:sz w:val="44"/>
          <w:szCs w:val="44"/>
        </w:rPr>
      </w:pPr>
    </w:p>
    <w:p w14:paraId="3606B674">
      <w:pPr>
        <w:ind w:firstLine="1760" w:firstLineChars="400"/>
        <w:rPr>
          <w:rFonts w:ascii="方正小标宋简体" w:hAnsi="黑体" w:eastAsia="方正小标宋简体"/>
          <w:color w:val="000000" w:themeColor="text1"/>
          <w:sz w:val="44"/>
          <w:szCs w:val="44"/>
        </w:rPr>
      </w:pPr>
    </w:p>
    <w:p w14:paraId="473BAEAC">
      <w:pPr>
        <w:ind w:firstLine="1760" w:firstLineChars="400"/>
        <w:jc w:val="center"/>
        <w:rPr>
          <w:rFonts w:ascii="方正小标宋简体" w:hAnsi="黑体" w:eastAsia="方正小标宋简体"/>
          <w:color w:val="000000" w:themeColor="text1"/>
          <w:sz w:val="44"/>
          <w:szCs w:val="44"/>
        </w:rPr>
      </w:pPr>
    </w:p>
    <w:p w14:paraId="5E08348A">
      <w:pPr>
        <w:ind w:firstLine="1760" w:firstLineChars="400"/>
        <w:rPr>
          <w:rFonts w:ascii="方正小标宋简体" w:hAnsi="黑体" w:eastAsia="方正小标宋简体"/>
          <w:color w:val="000000" w:themeColor="text1"/>
          <w:sz w:val="44"/>
          <w:szCs w:val="44"/>
        </w:rPr>
      </w:pPr>
    </w:p>
    <w:p w14:paraId="3A6BD773">
      <w:pPr>
        <w:jc w:val="center"/>
        <w:rPr>
          <w:rFonts w:ascii="方正小标宋简体" w:hAnsi="黑体" w:eastAsia="方正小标宋简体"/>
          <w:color w:val="000000" w:themeColor="text1"/>
          <w:sz w:val="44"/>
          <w:szCs w:val="44"/>
        </w:rPr>
      </w:pPr>
      <w:r>
        <w:rPr>
          <w:rFonts w:hint="eastAsia" w:ascii="方正小标宋简体" w:hAnsi="黑体" w:eastAsia="方正小标宋简体"/>
          <w:color w:val="000000" w:themeColor="text1"/>
          <w:sz w:val="44"/>
          <w:szCs w:val="44"/>
        </w:rPr>
        <w:t>202</w:t>
      </w:r>
      <w:r>
        <w:rPr>
          <w:rFonts w:hint="eastAsia" w:ascii="方正小标宋简体" w:hAnsi="黑体" w:eastAsia="方正小标宋简体"/>
          <w:color w:val="000000" w:themeColor="text1"/>
          <w:sz w:val="44"/>
          <w:szCs w:val="44"/>
          <w:lang w:val="en-US" w:eastAsia="zh-CN"/>
        </w:rPr>
        <w:t>6</w:t>
      </w:r>
      <w:r>
        <w:rPr>
          <w:rFonts w:hint="eastAsia" w:ascii="方正小标宋简体" w:hAnsi="黑体" w:eastAsia="方正小标宋简体"/>
          <w:color w:val="000000" w:themeColor="text1"/>
          <w:sz w:val="44"/>
          <w:szCs w:val="44"/>
        </w:rPr>
        <w:t xml:space="preserve">年 </w:t>
      </w:r>
      <w:r>
        <w:rPr>
          <w:rFonts w:hint="eastAsia" w:ascii="方正小标宋简体" w:hAnsi="黑体" w:eastAsia="方正小标宋简体"/>
          <w:color w:val="000000" w:themeColor="text1"/>
          <w:sz w:val="44"/>
          <w:szCs w:val="44"/>
          <w:lang w:val="en-US" w:eastAsia="zh-CN"/>
        </w:rPr>
        <w:t>2</w:t>
      </w:r>
      <w:r>
        <w:rPr>
          <w:rFonts w:hint="eastAsia" w:ascii="方正小标宋简体" w:hAnsi="黑体" w:eastAsia="方正小标宋简体"/>
          <w:color w:val="000000" w:themeColor="text1"/>
          <w:sz w:val="44"/>
          <w:szCs w:val="44"/>
        </w:rPr>
        <w:t>月</w:t>
      </w:r>
      <w:r>
        <w:rPr>
          <w:rFonts w:hint="eastAsia" w:ascii="方正小标宋简体" w:hAnsi="黑体" w:eastAsia="方正小标宋简体"/>
          <w:color w:val="000000" w:themeColor="text1"/>
          <w:sz w:val="44"/>
          <w:szCs w:val="44"/>
          <w:lang w:val="en-US" w:eastAsia="zh-CN"/>
        </w:rPr>
        <w:t>3</w:t>
      </w:r>
      <w:r>
        <w:rPr>
          <w:rFonts w:hint="eastAsia" w:ascii="方正小标宋简体" w:hAnsi="黑体" w:eastAsia="方正小标宋简体"/>
          <w:color w:val="000000" w:themeColor="text1"/>
          <w:sz w:val="44"/>
          <w:szCs w:val="44"/>
        </w:rPr>
        <w:t>日</w:t>
      </w:r>
    </w:p>
    <w:p w14:paraId="570B538A">
      <w:pPr>
        <w:ind w:firstLine="1760" w:firstLineChars="400"/>
        <w:rPr>
          <w:rFonts w:ascii="方正小标宋简体" w:hAnsi="黑体" w:eastAsia="方正小标宋简体"/>
          <w:color w:val="000000" w:themeColor="text1"/>
          <w:sz w:val="44"/>
          <w:szCs w:val="44"/>
        </w:rPr>
      </w:pPr>
    </w:p>
    <w:p w14:paraId="755EFB04">
      <w:pPr>
        <w:pStyle w:val="2"/>
        <w:rPr>
          <w:rFonts w:ascii="方正小标宋简体" w:hAnsi="黑体" w:eastAsia="方正小标宋简体"/>
          <w:color w:val="000000" w:themeColor="text1"/>
          <w:sz w:val="44"/>
          <w:szCs w:val="44"/>
        </w:rPr>
      </w:pPr>
    </w:p>
    <w:p w14:paraId="67DBCB62">
      <w:pPr>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目 录</w:t>
      </w:r>
    </w:p>
    <w:p w14:paraId="5E303972">
      <w:pPr>
        <w:pStyle w:val="14"/>
        <w:numPr>
          <w:ilvl w:val="0"/>
          <w:numId w:val="1"/>
        </w:numPr>
        <w:ind w:firstLineChars="0"/>
        <w:rPr>
          <w:rFonts w:ascii="黑体" w:hAnsi="黑体" w:eastAsia="黑体"/>
          <w:color w:val="000000" w:themeColor="text1"/>
          <w:sz w:val="32"/>
          <w:szCs w:val="32"/>
        </w:rPr>
      </w:pPr>
      <w:r>
        <w:rPr>
          <w:rFonts w:hint="eastAsia" w:ascii="黑体" w:hAnsi="黑体" w:eastAsia="黑体"/>
          <w:color w:val="000000" w:themeColor="text1"/>
          <w:sz w:val="32"/>
          <w:szCs w:val="32"/>
        </w:rPr>
        <w:t>基本职能及主要工作</w:t>
      </w:r>
    </w:p>
    <w:p w14:paraId="47F70286">
      <w:pPr>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（一）部门职能简介</w:t>
      </w:r>
    </w:p>
    <w:p w14:paraId="339D1B40">
      <w:pPr>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（二）</w:t>
      </w:r>
      <w:r>
        <w:rPr>
          <w:rFonts w:hint="eastAsia" w:ascii="仿宋_GB2312" w:hAnsi="黑体" w:eastAsia="仿宋_GB2312"/>
          <w:color w:val="000000" w:themeColor="text1"/>
          <w:sz w:val="32"/>
          <w:szCs w:val="32"/>
          <w:lang w:eastAsia="zh-CN"/>
        </w:rPr>
        <w:t>202</w:t>
      </w:r>
      <w:r>
        <w:rPr>
          <w:rFonts w:hint="eastAsia" w:ascii="仿宋_GB2312" w:hAnsi="黑体" w:eastAsia="仿宋_GB2312"/>
          <w:color w:val="000000" w:themeColor="text1"/>
          <w:sz w:val="32"/>
          <w:szCs w:val="32"/>
          <w:lang w:val="en-US" w:eastAsia="zh-CN"/>
        </w:rPr>
        <w:t>6</w:t>
      </w:r>
      <w:r>
        <w:rPr>
          <w:rFonts w:hint="eastAsia" w:ascii="仿宋_GB2312" w:hAnsi="黑体" w:eastAsia="仿宋_GB2312"/>
          <w:color w:val="000000" w:themeColor="text1"/>
          <w:sz w:val="32"/>
          <w:szCs w:val="32"/>
          <w:lang w:eastAsia="zh-CN"/>
        </w:rPr>
        <w:t>年</w:t>
      </w:r>
      <w:r>
        <w:rPr>
          <w:rFonts w:hint="eastAsia" w:ascii="仿宋_GB2312" w:hAnsi="黑体" w:eastAsia="仿宋_GB2312"/>
          <w:color w:val="000000" w:themeColor="text1"/>
          <w:sz w:val="32"/>
          <w:szCs w:val="32"/>
        </w:rPr>
        <w:t>重点工作</w:t>
      </w:r>
    </w:p>
    <w:p w14:paraId="58905DE3">
      <w:pPr>
        <w:rPr>
          <w:rFonts w:ascii="黑体" w:hAnsi="黑体" w:eastAsia="黑体"/>
          <w:color w:val="000000" w:themeColor="text1"/>
          <w:sz w:val="32"/>
          <w:szCs w:val="32"/>
        </w:rPr>
      </w:pPr>
      <w:r>
        <w:rPr>
          <w:rFonts w:hint="eastAsia" w:ascii="黑体" w:hAnsi="黑体" w:eastAsia="黑体"/>
          <w:color w:val="000000" w:themeColor="text1"/>
          <w:sz w:val="32"/>
          <w:szCs w:val="32"/>
        </w:rPr>
        <w:t>二、部门预算单位构成</w:t>
      </w:r>
    </w:p>
    <w:p w14:paraId="63CC2E07">
      <w:pPr>
        <w:rPr>
          <w:rFonts w:ascii="黑体" w:hAnsi="黑体" w:eastAsia="黑体"/>
          <w:color w:val="000000" w:themeColor="text1"/>
          <w:sz w:val="32"/>
          <w:szCs w:val="32"/>
        </w:rPr>
      </w:pPr>
      <w:r>
        <w:rPr>
          <w:rFonts w:hint="eastAsia" w:ascii="黑体" w:hAnsi="黑体" w:eastAsia="黑体"/>
          <w:color w:val="000000" w:themeColor="text1"/>
          <w:sz w:val="32"/>
          <w:szCs w:val="32"/>
        </w:rPr>
        <w:t>三、收支预算情况说明</w:t>
      </w:r>
    </w:p>
    <w:p w14:paraId="5DF8FC10">
      <w:pPr>
        <w:rPr>
          <w:rFonts w:ascii="仿宋_GB2312" w:hAnsi="黑体" w:eastAsia="仿宋_GB2312"/>
          <w:color w:val="000000" w:themeColor="text1"/>
          <w:sz w:val="32"/>
          <w:szCs w:val="32"/>
        </w:rPr>
      </w:pPr>
      <w:r>
        <w:rPr>
          <w:rFonts w:hint="eastAsia" w:ascii="黑体" w:hAnsi="黑体" w:eastAsia="黑体"/>
          <w:color w:val="000000" w:themeColor="text1"/>
          <w:sz w:val="32"/>
          <w:szCs w:val="32"/>
        </w:rPr>
        <w:t>（</w:t>
      </w:r>
      <w:r>
        <w:rPr>
          <w:rFonts w:hint="eastAsia" w:ascii="仿宋_GB2312" w:hAnsi="黑体" w:eastAsia="仿宋_GB2312"/>
          <w:color w:val="000000" w:themeColor="text1"/>
          <w:sz w:val="32"/>
          <w:szCs w:val="32"/>
        </w:rPr>
        <w:t>一）收入预算情况</w:t>
      </w:r>
    </w:p>
    <w:p w14:paraId="72E7E705">
      <w:pPr>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（二）支出预算情况</w:t>
      </w:r>
    </w:p>
    <w:p w14:paraId="252BCF32">
      <w:pPr>
        <w:rPr>
          <w:rFonts w:ascii="黑体" w:hAnsi="黑体" w:eastAsia="黑体"/>
          <w:color w:val="000000" w:themeColor="text1"/>
          <w:sz w:val="32"/>
          <w:szCs w:val="32"/>
        </w:rPr>
      </w:pPr>
      <w:r>
        <w:rPr>
          <w:rFonts w:hint="eastAsia" w:ascii="黑体" w:hAnsi="黑体" w:eastAsia="黑体"/>
          <w:color w:val="000000" w:themeColor="text1"/>
          <w:sz w:val="32"/>
          <w:szCs w:val="32"/>
        </w:rPr>
        <w:t>四、财政拨款收支预算情况说明</w:t>
      </w:r>
    </w:p>
    <w:p w14:paraId="79ACC969">
      <w:pPr>
        <w:rPr>
          <w:rFonts w:ascii="黑体" w:hAnsi="黑体" w:eastAsia="黑体"/>
          <w:color w:val="000000" w:themeColor="text1"/>
          <w:sz w:val="32"/>
          <w:szCs w:val="32"/>
        </w:rPr>
      </w:pPr>
      <w:r>
        <w:rPr>
          <w:rFonts w:hint="eastAsia" w:ascii="黑体" w:hAnsi="黑体" w:eastAsia="黑体"/>
          <w:color w:val="000000" w:themeColor="text1"/>
          <w:sz w:val="32"/>
          <w:szCs w:val="32"/>
        </w:rPr>
        <w:t>五、一般公共预算当年拨款情况说明</w:t>
      </w:r>
    </w:p>
    <w:p w14:paraId="6AAF8655">
      <w:pPr>
        <w:rPr>
          <w:rFonts w:ascii="黑体" w:hAnsi="黑体" w:eastAsia="黑体"/>
          <w:color w:val="000000" w:themeColor="text1"/>
          <w:sz w:val="32"/>
          <w:szCs w:val="32"/>
        </w:rPr>
      </w:pPr>
      <w:r>
        <w:rPr>
          <w:rFonts w:ascii="仿宋_GB2312" w:hAnsi="黑体" w:eastAsia="仿宋_GB2312"/>
          <w:color w:val="000000" w:themeColor="text1"/>
          <w:sz w:val="32"/>
          <w:szCs w:val="32"/>
        </w:rPr>
        <w:t>（一）一般公共预算当年拨款规模变化情况</w:t>
      </w:r>
      <w:r>
        <w:rPr>
          <w:rFonts w:ascii="仿宋_GB2312" w:hAnsi="黑体" w:eastAsia="仿宋_GB2312"/>
          <w:color w:val="000000" w:themeColor="text1"/>
          <w:sz w:val="32"/>
          <w:szCs w:val="32"/>
        </w:rPr>
        <w:br w:type="textWrapping"/>
      </w:r>
      <w:r>
        <w:rPr>
          <w:rFonts w:ascii="仿宋_GB2312" w:hAnsi="黑体" w:eastAsia="仿宋_GB2312"/>
          <w:color w:val="000000" w:themeColor="text1"/>
          <w:sz w:val="32"/>
          <w:szCs w:val="32"/>
        </w:rPr>
        <w:t>（二）一般公共预算当年拨款结构情况</w:t>
      </w:r>
      <w:r>
        <w:rPr>
          <w:rFonts w:ascii="仿宋_GB2312" w:hAnsi="黑体" w:eastAsia="仿宋_GB2312"/>
          <w:color w:val="000000" w:themeColor="text1"/>
          <w:sz w:val="32"/>
          <w:szCs w:val="32"/>
        </w:rPr>
        <w:br w:type="textWrapping"/>
      </w:r>
      <w:r>
        <w:rPr>
          <w:rFonts w:ascii="仿宋_GB2312" w:hAnsi="黑体" w:eastAsia="仿宋_GB2312"/>
          <w:color w:val="000000" w:themeColor="text1"/>
          <w:sz w:val="32"/>
          <w:szCs w:val="32"/>
        </w:rPr>
        <w:t>（三）一般公共预算当年拨款具体使用情况</w:t>
      </w:r>
      <w:r>
        <w:rPr>
          <w:rFonts w:ascii="ˎ̥" w:hAnsi="ˎ̥" w:eastAsia="宋体" w:cs="宋体"/>
          <w:color w:val="000000" w:themeColor="text1"/>
          <w:kern w:val="0"/>
          <w:sz w:val="16"/>
          <w:szCs w:val="16"/>
        </w:rPr>
        <w:br w:type="textWrapping"/>
      </w:r>
      <w:r>
        <w:rPr>
          <w:rFonts w:ascii="黑体" w:hAnsi="黑体" w:eastAsia="黑体"/>
          <w:color w:val="000000" w:themeColor="text1"/>
          <w:sz w:val="32"/>
          <w:szCs w:val="32"/>
        </w:rPr>
        <w:t>六、一般公共预算基本支出情况说明</w:t>
      </w:r>
      <w:r>
        <w:rPr>
          <w:rFonts w:ascii="黑体" w:hAnsi="黑体" w:eastAsia="黑体"/>
          <w:color w:val="000000" w:themeColor="text1"/>
          <w:sz w:val="32"/>
          <w:szCs w:val="32"/>
        </w:rPr>
        <w:br w:type="textWrapping"/>
      </w:r>
      <w:r>
        <w:rPr>
          <w:rFonts w:ascii="黑体" w:hAnsi="黑体" w:eastAsia="黑体"/>
          <w:color w:val="000000" w:themeColor="text1"/>
          <w:sz w:val="32"/>
          <w:szCs w:val="32"/>
        </w:rPr>
        <w:t>七、“三公”经费财政拨款预算安排情况说明</w:t>
      </w:r>
      <w:r>
        <w:rPr>
          <w:rFonts w:ascii="黑体" w:hAnsi="黑体" w:eastAsia="黑体"/>
          <w:color w:val="000000" w:themeColor="text1"/>
          <w:sz w:val="32"/>
          <w:szCs w:val="32"/>
        </w:rPr>
        <w:br w:type="textWrapping"/>
      </w:r>
      <w:r>
        <w:rPr>
          <w:rFonts w:ascii="黑体" w:hAnsi="黑体" w:eastAsia="黑体"/>
          <w:color w:val="000000" w:themeColor="text1"/>
          <w:sz w:val="32"/>
          <w:szCs w:val="32"/>
        </w:rPr>
        <w:t>八、政府性基金预算支出情况说明</w:t>
      </w:r>
      <w:r>
        <w:rPr>
          <w:rFonts w:ascii="黑体" w:hAnsi="黑体" w:eastAsia="黑体"/>
          <w:color w:val="000000" w:themeColor="text1"/>
          <w:sz w:val="32"/>
          <w:szCs w:val="32"/>
        </w:rPr>
        <w:br w:type="textWrapping"/>
      </w:r>
      <w:r>
        <w:rPr>
          <w:rFonts w:ascii="黑体" w:hAnsi="黑体" w:eastAsia="黑体"/>
          <w:color w:val="000000" w:themeColor="text1"/>
          <w:sz w:val="32"/>
          <w:szCs w:val="32"/>
        </w:rPr>
        <w:t>九、其他重要事项的情况说明</w:t>
      </w:r>
      <w:r>
        <w:rPr>
          <w:rFonts w:ascii="黑体" w:hAnsi="黑体" w:eastAsia="黑体"/>
          <w:color w:val="000000" w:themeColor="text1"/>
          <w:sz w:val="32"/>
          <w:szCs w:val="32"/>
        </w:rPr>
        <w:br w:type="textWrapping"/>
      </w:r>
      <w:r>
        <w:rPr>
          <w:rFonts w:hint="eastAsia" w:ascii="黑体" w:hAnsi="黑体" w:eastAsia="黑体"/>
          <w:color w:val="000000" w:themeColor="text1"/>
          <w:sz w:val="32"/>
          <w:szCs w:val="32"/>
        </w:rPr>
        <w:t>十、名称解释</w:t>
      </w:r>
    </w:p>
    <w:p w14:paraId="39C445B6">
      <w:pPr>
        <w:rPr>
          <w:rFonts w:ascii="黑体" w:hAnsi="黑体" w:eastAsia="黑体"/>
          <w:color w:val="000000" w:themeColor="text1"/>
          <w:sz w:val="32"/>
          <w:szCs w:val="32"/>
        </w:rPr>
      </w:pPr>
    </w:p>
    <w:p w14:paraId="2BF12A90">
      <w:pPr>
        <w:rPr>
          <w:rFonts w:ascii="仿宋_GB2312" w:eastAsia="仿宋_GB2312"/>
          <w:color w:val="000000" w:themeColor="text1"/>
          <w:sz w:val="32"/>
          <w:szCs w:val="32"/>
        </w:rPr>
      </w:pPr>
    </w:p>
    <w:p w14:paraId="21CC0F45">
      <w:pPr>
        <w:rPr>
          <w:rFonts w:ascii="仿宋_GB2312" w:eastAsia="仿宋_GB2312"/>
          <w:color w:val="000000" w:themeColor="text1"/>
          <w:sz w:val="32"/>
          <w:szCs w:val="32"/>
        </w:rPr>
      </w:pPr>
    </w:p>
    <w:p w14:paraId="40E6D799">
      <w:pPr>
        <w:rPr>
          <w:rFonts w:ascii="仿宋_GB2312" w:eastAsia="仿宋_GB2312"/>
          <w:color w:val="000000" w:themeColor="text1"/>
          <w:sz w:val="32"/>
          <w:szCs w:val="32"/>
        </w:rPr>
      </w:pPr>
    </w:p>
    <w:p w14:paraId="5EBC2F84">
      <w:pPr>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一、基本职能及主要工作</w:t>
      </w:r>
    </w:p>
    <w:p w14:paraId="2B77DF7C">
      <w:pPr>
        <w:spacing w:line="560" w:lineRule="exact"/>
        <w:ind w:firstLine="643" w:firstLineChars="200"/>
        <w:rPr>
          <w:rFonts w:ascii="楷体_GB2312" w:eastAsia="楷体_GB2312"/>
          <w:b/>
          <w:color w:val="000000" w:themeColor="text1"/>
          <w:sz w:val="32"/>
          <w:szCs w:val="32"/>
        </w:rPr>
      </w:pPr>
      <w:r>
        <w:rPr>
          <w:rFonts w:hint="eastAsia" w:ascii="楷体_GB2312" w:eastAsia="楷体_GB2312"/>
          <w:b/>
          <w:color w:val="000000" w:themeColor="text1"/>
          <w:sz w:val="32"/>
          <w:szCs w:val="32"/>
        </w:rPr>
        <w:t>（一）部门职能简介　</w:t>
      </w:r>
    </w:p>
    <w:p w14:paraId="0F0648D1">
      <w:pPr>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eastAsia="仿宋_GB2312"/>
          <w:color w:val="000000" w:themeColor="text1"/>
          <w:sz w:val="32"/>
          <w:szCs w:val="32"/>
        </w:rPr>
        <w:t>中共汶川县委党校</w:t>
      </w:r>
      <w:r>
        <w:rPr>
          <w:rFonts w:hint="eastAsia" w:ascii="仿宋_GB2312" w:hAnsi="仿宋_GB2312" w:eastAsia="仿宋_GB2312" w:cs="仿宋_GB2312"/>
          <w:bCs/>
          <w:color w:val="000000" w:themeColor="text1"/>
          <w:sz w:val="32"/>
          <w:szCs w:val="32"/>
        </w:rPr>
        <w:t>主要职责是</w:t>
      </w:r>
      <w:r>
        <w:rPr>
          <w:rFonts w:hint="eastAsia" w:ascii="仿宋_GB2312" w:hAnsi="仿宋_GB2312" w:eastAsia="仿宋_GB2312" w:cs="仿宋_GB2312"/>
          <w:color w:val="000000" w:themeColor="text1"/>
          <w:sz w:val="32"/>
          <w:szCs w:val="32"/>
        </w:rPr>
        <w:t>开展红色精神研究和特色教学培训，打造爱国主义教育新引擎。</w:t>
      </w:r>
    </w:p>
    <w:p w14:paraId="2E992CAE">
      <w:pPr>
        <w:adjustRightInd w:val="0"/>
        <w:snapToGrid w:val="0"/>
        <w:spacing w:line="576" w:lineRule="exact"/>
        <w:ind w:firstLine="643" w:firstLineChars="200"/>
        <w:rPr>
          <w:rFonts w:ascii="仿宋_GB2312" w:hAnsi="仿宋_GB2312" w:eastAsia="仿宋_GB2312" w:cs="仿宋_GB2312"/>
          <w:color w:val="000000" w:themeColor="text1"/>
          <w:sz w:val="32"/>
          <w:szCs w:val="32"/>
        </w:rPr>
      </w:pPr>
      <w:r>
        <w:rPr>
          <w:rFonts w:hint="eastAsia" w:ascii="楷体_GB2312" w:hAnsi="楷体_GB2312" w:eastAsia="楷体_GB2312" w:cs="楷体_GB2312"/>
          <w:b/>
          <w:bCs/>
          <w:color w:val="000000" w:themeColor="text1"/>
          <w:sz w:val="32"/>
          <w:szCs w:val="32"/>
        </w:rPr>
        <w:t>1.</w:t>
      </w:r>
      <w:r>
        <w:rPr>
          <w:rFonts w:hint="eastAsia" w:ascii="仿宋_GB2312" w:hAnsi="仿宋_GB2312" w:eastAsia="仿宋_GB2312" w:cs="仿宋_GB2312"/>
          <w:color w:val="000000" w:themeColor="text1"/>
          <w:sz w:val="32"/>
          <w:szCs w:val="32"/>
        </w:rPr>
        <w:t>主要承接长征干部学院</w:t>
      </w:r>
      <w:r>
        <w:rPr>
          <w:rFonts w:hint="eastAsia" w:ascii="仿宋_GB2312" w:hAnsi="仿宋_GB2312" w:eastAsia="仿宋_GB2312" w:cs="仿宋_GB2312"/>
          <w:bCs/>
          <w:color w:val="000000" w:themeColor="text1"/>
          <w:sz w:val="32"/>
          <w:szCs w:val="32"/>
        </w:rPr>
        <w:t>阿坝</w:t>
      </w:r>
      <w:r>
        <w:rPr>
          <w:rFonts w:hint="eastAsia" w:ascii="仿宋_GB2312" w:hAnsi="仿宋_GB2312" w:eastAsia="仿宋_GB2312" w:cs="仿宋_GB2312"/>
          <w:color w:val="000000" w:themeColor="text1"/>
          <w:sz w:val="32"/>
          <w:szCs w:val="32"/>
        </w:rPr>
        <w:t>雪山草地分院开展现场教学功能，以“5·12”汶川特大地震抗震救灾及灾后重建为主题，教育引导党员干部不畏艰难、迎难而上，积极应对一切风险挑战，传承和弘扬信念坚定、不怕牺牲、善于斗争、敢于胜利的精神。完善校区“抗震救灾涅</w:t>
      </w:r>
      <w:r>
        <w:rPr>
          <w:rFonts w:hint="eastAsia" w:ascii="宋体" w:hAnsi="宋体" w:eastAsia="宋体" w:cs="宋体"/>
          <w:color w:val="000000" w:themeColor="text1"/>
          <w:sz w:val="32"/>
          <w:szCs w:val="32"/>
        </w:rPr>
        <w:t>槃</w:t>
      </w:r>
      <w:r>
        <w:rPr>
          <w:rFonts w:hint="eastAsia" w:ascii="仿宋_GB2312" w:hAnsi="仿宋_GB2312" w:eastAsia="仿宋_GB2312" w:cs="仿宋_GB2312"/>
          <w:color w:val="000000" w:themeColor="text1"/>
          <w:sz w:val="32"/>
          <w:szCs w:val="32"/>
        </w:rPr>
        <w:t xml:space="preserve">路”教学线路，以映秀爱国主义教育基地和红军长征在汶川史实为基础，承接对外教学培训。 </w:t>
      </w:r>
      <w:r>
        <w:rPr>
          <w:rFonts w:ascii="仿宋_GB2312" w:hAnsi="仿宋_GB2312" w:eastAsia="仿宋_GB2312" w:cs="仿宋_GB2312"/>
          <w:color w:val="000000" w:themeColor="text1"/>
          <w:sz w:val="32"/>
          <w:szCs w:val="32"/>
        </w:rPr>
        <w:t xml:space="preserve">   </w:t>
      </w:r>
    </w:p>
    <w:p w14:paraId="56B92172">
      <w:pPr>
        <w:adjustRightInd w:val="0"/>
        <w:snapToGrid w:val="0"/>
        <w:spacing w:line="576" w:lineRule="exact"/>
        <w:ind w:firstLine="643" w:firstLineChars="200"/>
        <w:rPr>
          <w:rFonts w:ascii="仿宋_GB2312" w:hAnsi="仿宋_GB2312" w:eastAsia="仿宋_GB2312" w:cs="仿宋_GB2312"/>
          <w:color w:val="000000" w:themeColor="text1"/>
          <w:sz w:val="32"/>
          <w:szCs w:val="32"/>
        </w:rPr>
      </w:pPr>
      <w:r>
        <w:rPr>
          <w:rFonts w:hint="eastAsia" w:ascii="楷体_GB2312" w:hAnsi="楷体_GB2312" w:eastAsia="楷体_GB2312" w:cs="楷体_GB2312"/>
          <w:b/>
          <w:bCs/>
          <w:color w:val="000000" w:themeColor="text1"/>
          <w:sz w:val="32"/>
          <w:szCs w:val="32"/>
        </w:rPr>
        <w:t>2.</w:t>
      </w:r>
      <w:r>
        <w:rPr>
          <w:rFonts w:hint="eastAsia" w:ascii="仿宋_GB2312" w:hAnsi="仿宋_GB2312" w:eastAsia="仿宋_GB2312" w:cs="仿宋_GB2312"/>
          <w:color w:val="000000" w:themeColor="text1"/>
          <w:sz w:val="32"/>
          <w:szCs w:val="32"/>
        </w:rPr>
        <w:t>发挥县级党校全县党员干部党性教育和党的理论教育培训主渠道功能，落实新时代党的建设总要求，紧紧围绕全县工作大局，以培养造就忠诚干净担当的高素质专业化干部队伍为目标，发挥干部培训、思想引领、决策咨询作用。不断加强映秀爱国主义教育基地课程体系建设、设置教学线路、打造教学点位，开展基地党性教育现场教员培训等。</w:t>
      </w:r>
    </w:p>
    <w:p w14:paraId="40DD5D41">
      <w:pPr>
        <w:spacing w:line="560" w:lineRule="exact"/>
        <w:ind w:firstLine="643" w:firstLineChars="200"/>
        <w:rPr>
          <w:rFonts w:ascii="仿宋_GB2312" w:eastAsia="仿宋_GB2312"/>
          <w:color w:val="000000" w:themeColor="text1"/>
          <w:sz w:val="32"/>
          <w:szCs w:val="32"/>
        </w:rPr>
      </w:pPr>
      <w:r>
        <w:rPr>
          <w:rFonts w:hint="eastAsia" w:ascii="楷体_GB2312" w:hAnsi="楷体_GB2312" w:eastAsia="楷体_GB2312" w:cs="楷体_GB2312"/>
          <w:b/>
          <w:bCs/>
          <w:color w:val="000000" w:themeColor="text1"/>
          <w:sz w:val="32"/>
          <w:szCs w:val="32"/>
        </w:rPr>
        <w:t>3.</w:t>
      </w:r>
      <w:r>
        <w:rPr>
          <w:rFonts w:hint="eastAsia" w:ascii="仿宋_GB2312" w:hAnsi="仿宋_GB2312" w:eastAsia="仿宋_GB2312" w:cs="仿宋_GB2312"/>
          <w:color w:val="000000" w:themeColor="text1"/>
          <w:sz w:val="32"/>
          <w:szCs w:val="32"/>
        </w:rPr>
        <w:t>统筹协调全国各地党政部门、企事业单位、各社会合法团体、民主党派等各类社会人士到映秀爱国主义教育基地开展的党性教育培训业务职能，承接省委党校、川大、财大等计划外培训班，常态化开展爱党爱国教育活动。承接州、县各党政部门、企事业单位、社会团体到相关培训机构到州外开展培训的职能。</w:t>
      </w:r>
    </w:p>
    <w:p w14:paraId="1E812336">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（二）</w:t>
      </w:r>
      <w:r>
        <w:rPr>
          <w:rFonts w:hint="eastAsia" w:ascii="楷体_GB2312" w:eastAsia="楷体_GB2312"/>
          <w:b/>
          <w:color w:val="000000" w:themeColor="text1"/>
          <w:sz w:val="32"/>
          <w:szCs w:val="32"/>
          <w:lang w:eastAsia="zh-CN"/>
        </w:rPr>
        <w:t>202</w:t>
      </w:r>
      <w:r>
        <w:rPr>
          <w:rFonts w:hint="eastAsia" w:ascii="楷体_GB2312" w:eastAsia="楷体_GB2312"/>
          <w:b/>
          <w:color w:val="000000" w:themeColor="text1"/>
          <w:sz w:val="32"/>
          <w:szCs w:val="32"/>
          <w:lang w:val="en-US" w:eastAsia="zh-CN"/>
        </w:rPr>
        <w:t>6</w:t>
      </w:r>
      <w:r>
        <w:rPr>
          <w:rFonts w:hint="eastAsia" w:ascii="楷体_GB2312" w:eastAsia="楷体_GB2312"/>
          <w:b/>
          <w:color w:val="000000" w:themeColor="text1"/>
          <w:sz w:val="32"/>
          <w:szCs w:val="32"/>
          <w:lang w:eastAsia="zh-CN"/>
        </w:rPr>
        <w:t>年</w:t>
      </w:r>
      <w:r>
        <w:rPr>
          <w:rFonts w:hint="eastAsia" w:ascii="楷体_GB2312" w:eastAsia="楷体_GB2312"/>
          <w:b/>
          <w:color w:val="000000" w:themeColor="text1"/>
          <w:sz w:val="32"/>
          <w:szCs w:val="32"/>
        </w:rPr>
        <w:t>重点工作</w:t>
      </w:r>
    </w:p>
    <w:p w14:paraId="4447AB11">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1.精准开展基本培训。紧扣干部能力提升需求，开展“进修班”“专题培训”等分层分类主体班13期，实现县域重点领域干部轮训全覆盖，推动培训与履职需求深度匹配。</w:t>
      </w:r>
    </w:p>
    <w:p w14:paraId="6EA418FC">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2.做实教科咨一体化支撑。锚定省委、州委、县委工作关键领域，力争立结项省、市（州）级调研课题5个。围绕县委政府中心工作深化调查研究，形成靶向性咨政建议4篇，推动3项科研成果转化为主体班课程或政策实践。</w:t>
      </w:r>
    </w:p>
    <w:p w14:paraId="331DDC04">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3.扩大外训承接规模。依托红色教育品牌与特色课程优势，力争2026年基地承接各级各类外训班次135期以上，培训学员突破2.2万人次。</w:t>
      </w:r>
    </w:p>
    <w:p w14:paraId="18486BFC">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4.优化红课堂品牌建设。创新《汶川党校红课堂》内容载体和呈现方式，全年计划完成30分钟时长拍摄。</w:t>
      </w:r>
    </w:p>
    <w:p w14:paraId="3B2A9172">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5.扩充现场教学点位。紧扣习近平生态文明思想实践要求与县域产业发展实际，新增现场教学精品点位2个。</w:t>
      </w:r>
    </w:p>
    <w:p w14:paraId="02CEF083">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6.完善办学基础设施。完成雁门校区学员宿舍楼及教学大楼改造提升，同步推进图书馆功能改造与校园环境优化，改善教学科研基础条件。</w:t>
      </w:r>
    </w:p>
    <w:p w14:paraId="68D0F6E0">
      <w:pPr>
        <w:pStyle w:val="4"/>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7.提升师资专业能力。用好“交融交往交流”资金，组织教师赴长兴跟岗培训提能。加大现场教学师资选育力度，实现校本师资全员上岗。</w:t>
      </w:r>
    </w:p>
    <w:p w14:paraId="6C84BCB1">
      <w:pPr>
        <w:pStyle w:val="4"/>
        <w:spacing w:line="576" w:lineRule="exact"/>
        <w:ind w:firstLine="640" w:firstLineChars="200"/>
        <w:rPr>
          <w:rFonts w:eastAsia="仿宋_GB2312"/>
          <w:sz w:val="32"/>
          <w:szCs w:val="32"/>
        </w:rPr>
      </w:pPr>
      <w:r>
        <w:rPr>
          <w:rFonts w:hint="eastAsia" w:eastAsia="仿宋_GB2312"/>
          <w:sz w:val="32"/>
          <w:szCs w:val="32"/>
          <w:lang w:val="en-US" w:eastAsia="zh-CN"/>
        </w:rPr>
        <w:t>8.建强红色讲解队伍。加大对红色讲解员讲解能力和综合素养的提升力度，采取集中培训和个别指导等形式，开展红色讲解员集中培训1期，力争培养2名以上“金牌讲解员”。</w:t>
      </w:r>
    </w:p>
    <w:p w14:paraId="6A5B0FB9">
      <w:pPr>
        <w:spacing w:line="560" w:lineRule="exact"/>
        <w:ind w:firstLine="640" w:firstLineChars="200"/>
        <w:rPr>
          <w:rFonts w:hint="eastAsia" w:ascii="黑体" w:hAnsi="黑体" w:eastAsia="黑体"/>
          <w:color w:val="000000" w:themeColor="text1"/>
          <w:sz w:val="32"/>
          <w:szCs w:val="32"/>
        </w:rPr>
      </w:pPr>
      <w:r>
        <w:rPr>
          <w:rFonts w:hint="eastAsia" w:ascii="黑体" w:hAnsi="黑体" w:eastAsia="黑体"/>
          <w:color w:val="000000" w:themeColor="text1"/>
          <w:sz w:val="32"/>
          <w:szCs w:val="32"/>
        </w:rPr>
        <w:t>二、部门预算单位构成</w:t>
      </w:r>
    </w:p>
    <w:p w14:paraId="186A8871">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中共汶川县委党校属一级预算单位，下属二级预算单位0个，其中：参照公务员法管理的事业单位1个。根据三定方案，中共汶川县委党校是参照公务员法管理的事业单位,内设办公室、培训部、外联部共计三个办公室。中共汶川县委党校总编制21名，其中：参公编制8名，事业编制12名，工勤编制1人。在职人员总数</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人，其中：参照公务员法管理的事业人员</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人；事业人员</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其中：初级5人、中级5人、高级2人）</w:t>
      </w:r>
      <w:r>
        <w:rPr>
          <w:rFonts w:hint="eastAsia" w:ascii="仿宋_GB2312" w:eastAsia="仿宋_GB2312"/>
          <w:color w:val="auto"/>
          <w:sz w:val="32"/>
          <w:szCs w:val="32"/>
        </w:rPr>
        <w:t>，事业工勤1人</w:t>
      </w:r>
      <w:r>
        <w:rPr>
          <w:rFonts w:hint="eastAsia" w:ascii="仿宋_GB2312" w:eastAsia="仿宋_GB2312"/>
          <w:color w:val="auto"/>
          <w:sz w:val="32"/>
          <w:szCs w:val="32"/>
          <w:lang w:eastAsia="zh-CN"/>
        </w:rPr>
        <w:t>。</w:t>
      </w:r>
      <w:r>
        <w:rPr>
          <w:rFonts w:hint="eastAsia" w:ascii="仿宋_GB2312" w:eastAsia="仿宋_GB2312"/>
          <w:color w:val="auto"/>
          <w:sz w:val="32"/>
          <w:szCs w:val="32"/>
        </w:rPr>
        <w:t>离休人员1人。遗属</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人。</w:t>
      </w:r>
    </w:p>
    <w:p w14:paraId="5B6681F7">
      <w:pPr>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三、收支预算情况说明　</w:t>
      </w:r>
    </w:p>
    <w:p w14:paraId="22E05D19">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按照综合预算的原则，中共汶川县委党校所有收入和支出均纳入部门预算管理。收入包括：一般公共预算拨款收入</w:t>
      </w:r>
      <w:r>
        <w:rPr>
          <w:rFonts w:hint="eastAsia" w:ascii="仿宋_GB2312" w:eastAsia="仿宋_GB2312"/>
          <w:color w:val="auto"/>
          <w:sz w:val="32"/>
          <w:szCs w:val="32"/>
          <w:lang w:val="en-US" w:eastAsia="zh-CN"/>
        </w:rPr>
        <w:t>539.07</w:t>
      </w:r>
      <w:r>
        <w:rPr>
          <w:rFonts w:hint="eastAsia" w:ascii="仿宋_GB2312" w:eastAsia="仿宋_GB2312"/>
          <w:color w:val="auto"/>
          <w:sz w:val="32"/>
          <w:szCs w:val="32"/>
        </w:rPr>
        <w:t>万元，</w:t>
      </w:r>
      <w:r>
        <w:rPr>
          <w:rFonts w:hint="eastAsia" w:ascii="仿宋_GB2312" w:hAnsi="仿宋" w:eastAsia="仿宋_GB2312" w:cs="仿宋"/>
          <w:color w:val="auto"/>
          <w:sz w:val="32"/>
          <w:szCs w:val="32"/>
        </w:rPr>
        <w:t>上年结转0万元，合计一般公共预算拨款收入</w:t>
      </w:r>
      <w:r>
        <w:rPr>
          <w:rFonts w:hint="eastAsia" w:ascii="仿宋_GB2312" w:eastAsia="仿宋_GB2312"/>
          <w:color w:val="auto"/>
          <w:sz w:val="32"/>
          <w:szCs w:val="32"/>
          <w:lang w:val="en-US" w:eastAsia="zh-CN"/>
        </w:rPr>
        <w:t>539.07</w:t>
      </w:r>
      <w:r>
        <w:rPr>
          <w:rFonts w:hint="eastAsia" w:ascii="仿宋_GB2312" w:hAnsi="仿宋" w:eastAsia="仿宋_GB2312" w:cs="仿宋"/>
          <w:color w:val="auto"/>
          <w:sz w:val="32"/>
          <w:szCs w:val="32"/>
        </w:rPr>
        <w:t>万元</w:t>
      </w:r>
      <w:r>
        <w:rPr>
          <w:rFonts w:hint="eastAsia" w:ascii="仿宋_GB2312" w:eastAsia="仿宋_GB2312"/>
          <w:color w:val="auto"/>
          <w:sz w:val="32"/>
          <w:szCs w:val="32"/>
        </w:rPr>
        <w:t>；支出包括：</w:t>
      </w:r>
      <w:r>
        <w:rPr>
          <w:rFonts w:hint="eastAsia" w:ascii="仿宋_GB2312" w:eastAsia="仿宋_GB2312"/>
          <w:color w:val="auto"/>
          <w:sz w:val="32"/>
          <w:szCs w:val="32"/>
          <w:lang w:val="en-US" w:eastAsia="zh-CN"/>
        </w:rPr>
        <w:t>基本</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442.67</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96.40</w:t>
      </w:r>
      <w:r>
        <w:rPr>
          <w:rFonts w:hint="eastAsia" w:ascii="仿宋_GB2312" w:eastAsia="仿宋_GB2312"/>
          <w:color w:val="auto"/>
          <w:sz w:val="32"/>
          <w:szCs w:val="32"/>
        </w:rPr>
        <w:t>万元。中共汶川县委党校</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w:t>
      </w:r>
      <w:r>
        <w:rPr>
          <w:rFonts w:hint="eastAsia" w:ascii="仿宋_GB2312" w:eastAsia="仿宋_GB2312"/>
          <w:color w:val="auto"/>
          <w:sz w:val="32"/>
          <w:szCs w:val="32"/>
        </w:rPr>
        <w:t>收支总预算</w:t>
      </w:r>
      <w:r>
        <w:rPr>
          <w:rFonts w:hint="eastAsia" w:ascii="仿宋_GB2312" w:eastAsia="仿宋_GB2312"/>
          <w:color w:val="auto"/>
          <w:sz w:val="32"/>
          <w:szCs w:val="32"/>
          <w:lang w:val="en-US" w:eastAsia="zh-CN"/>
        </w:rPr>
        <w:t>539.07</w:t>
      </w:r>
      <w:r>
        <w:rPr>
          <w:rFonts w:hint="eastAsia" w:ascii="仿宋_GB2312" w:eastAsia="仿宋_GB2312"/>
          <w:color w:val="auto"/>
          <w:sz w:val="32"/>
          <w:szCs w:val="32"/>
        </w:rPr>
        <w:t>万元,比202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年收支预算总数</w:t>
      </w:r>
      <w:r>
        <w:rPr>
          <w:rFonts w:hint="eastAsia" w:ascii="仿宋_GB2312" w:eastAsia="仿宋_GB2312"/>
          <w:color w:val="auto"/>
          <w:sz w:val="32"/>
          <w:szCs w:val="32"/>
          <w:lang w:val="en-US" w:eastAsia="zh-CN"/>
        </w:rPr>
        <w:t>减少10.5</w:t>
      </w:r>
      <w:r>
        <w:rPr>
          <w:rFonts w:hint="eastAsia" w:ascii="仿宋_GB2312" w:eastAsia="仿宋_GB2312"/>
          <w:color w:val="auto"/>
          <w:sz w:val="32"/>
          <w:szCs w:val="32"/>
        </w:rPr>
        <w:t>万元，主要原因:</w:t>
      </w:r>
      <w:r>
        <w:rPr>
          <w:rFonts w:hint="eastAsia" w:ascii="仿宋_GB2312" w:eastAsia="仿宋_GB2312"/>
          <w:color w:val="auto"/>
          <w:sz w:val="32"/>
          <w:szCs w:val="32"/>
          <w:lang w:val="en-US" w:eastAsia="zh-CN"/>
        </w:rPr>
        <w:t>无新增</w:t>
      </w:r>
      <w:r>
        <w:rPr>
          <w:rFonts w:hint="eastAsia" w:ascii="仿宋_GB2312" w:eastAsia="仿宋_GB2312"/>
          <w:color w:val="000000" w:themeColor="text1"/>
          <w:sz w:val="32"/>
          <w:szCs w:val="32"/>
          <w:lang w:val="en-US" w:eastAsia="zh-CN"/>
        </w:rPr>
        <w:t>新引进“硕博进阿坝”研究生，人员经费减少</w:t>
      </w:r>
      <w:r>
        <w:rPr>
          <w:rFonts w:hint="eastAsia" w:ascii="仿宋_GB2312" w:eastAsia="仿宋_GB2312"/>
          <w:color w:val="auto"/>
          <w:sz w:val="32"/>
          <w:szCs w:val="32"/>
        </w:rPr>
        <w:t>。</w:t>
      </w:r>
    </w:p>
    <w:p w14:paraId="5B6931F3">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（一）收入预算情况</w:t>
      </w:r>
    </w:p>
    <w:p w14:paraId="77FBE2E4">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auto"/>
          <w:sz w:val="32"/>
          <w:szCs w:val="32"/>
        </w:rPr>
        <w:t>中共汶川县委党校</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w:t>
      </w:r>
      <w:r>
        <w:rPr>
          <w:rFonts w:hint="eastAsia" w:ascii="仿宋_GB2312" w:eastAsia="仿宋_GB2312"/>
          <w:color w:val="auto"/>
          <w:sz w:val="32"/>
          <w:szCs w:val="32"/>
        </w:rPr>
        <w:t>收入预算</w:t>
      </w:r>
      <w:r>
        <w:rPr>
          <w:rFonts w:hint="eastAsia" w:ascii="仿宋_GB2312" w:eastAsia="仿宋_GB2312"/>
          <w:color w:val="auto"/>
          <w:sz w:val="32"/>
          <w:szCs w:val="32"/>
          <w:lang w:val="en-US" w:eastAsia="zh-CN"/>
        </w:rPr>
        <w:t>539.07</w:t>
      </w:r>
      <w:r>
        <w:rPr>
          <w:rFonts w:hint="eastAsia" w:ascii="仿宋_GB2312" w:eastAsia="仿宋_GB2312"/>
          <w:color w:val="auto"/>
          <w:sz w:val="32"/>
          <w:szCs w:val="32"/>
        </w:rPr>
        <w:t>万元，其中：一般公共预算拨款收入</w:t>
      </w:r>
      <w:r>
        <w:rPr>
          <w:rFonts w:hint="eastAsia" w:ascii="仿宋_GB2312" w:eastAsia="仿宋_GB2312"/>
          <w:color w:val="auto"/>
          <w:sz w:val="32"/>
          <w:szCs w:val="32"/>
          <w:lang w:val="en-US" w:eastAsia="zh-CN"/>
        </w:rPr>
        <w:t>539.07</w:t>
      </w:r>
      <w:r>
        <w:rPr>
          <w:rFonts w:hint="eastAsia" w:ascii="仿宋_GB2312" w:eastAsia="仿宋_GB2312"/>
          <w:color w:val="auto"/>
          <w:sz w:val="32"/>
          <w:szCs w:val="32"/>
        </w:rPr>
        <w:t>万元，占100%。</w:t>
      </w:r>
    </w:p>
    <w:p w14:paraId="5F41E6EC">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 xml:space="preserve">（二）支出预算情况 </w:t>
      </w:r>
    </w:p>
    <w:p w14:paraId="6F035B07">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中共汶川县委党校</w:t>
      </w: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支出</w:t>
      </w:r>
      <w:r>
        <w:rPr>
          <w:rFonts w:hint="eastAsia" w:ascii="仿宋_GB2312" w:eastAsia="仿宋_GB2312"/>
          <w:color w:val="auto"/>
          <w:sz w:val="32"/>
          <w:szCs w:val="32"/>
        </w:rPr>
        <w:t>预算</w:t>
      </w:r>
      <w:r>
        <w:rPr>
          <w:rFonts w:hint="eastAsia" w:ascii="仿宋_GB2312" w:eastAsia="仿宋_GB2312"/>
          <w:color w:val="auto"/>
          <w:sz w:val="32"/>
          <w:szCs w:val="32"/>
          <w:lang w:val="en-US" w:eastAsia="zh-CN"/>
        </w:rPr>
        <w:t>539.07</w:t>
      </w:r>
      <w:r>
        <w:rPr>
          <w:rFonts w:hint="eastAsia" w:ascii="仿宋_GB2312" w:eastAsia="仿宋_GB2312"/>
          <w:color w:val="auto"/>
          <w:sz w:val="32"/>
          <w:szCs w:val="32"/>
        </w:rPr>
        <w:t>万元，其中：基本支出</w:t>
      </w:r>
      <w:r>
        <w:rPr>
          <w:rFonts w:hint="eastAsia" w:ascii="仿宋_GB2312" w:eastAsia="仿宋_GB2312"/>
          <w:color w:val="auto"/>
          <w:sz w:val="32"/>
          <w:szCs w:val="32"/>
          <w:lang w:val="en-US" w:eastAsia="zh-CN"/>
        </w:rPr>
        <w:t>442.67</w:t>
      </w:r>
      <w:r>
        <w:rPr>
          <w:rFonts w:hint="eastAsia" w:ascii="仿宋_GB2312" w:eastAsia="仿宋_GB2312"/>
          <w:color w:val="auto"/>
          <w:sz w:val="32"/>
          <w:szCs w:val="32"/>
        </w:rPr>
        <w:t>万元</w:t>
      </w:r>
      <w:r>
        <w:rPr>
          <w:rFonts w:hint="eastAsia" w:ascii="仿宋_GB2312" w:eastAsia="仿宋_GB2312"/>
          <w:color w:val="000000" w:themeColor="text1"/>
          <w:sz w:val="32"/>
          <w:szCs w:val="32"/>
        </w:rPr>
        <w:t>，占</w:t>
      </w:r>
      <w:r>
        <w:rPr>
          <w:rFonts w:hint="eastAsia" w:ascii="仿宋_GB2312" w:eastAsia="仿宋_GB2312"/>
          <w:color w:val="000000" w:themeColor="text1"/>
          <w:sz w:val="32"/>
          <w:szCs w:val="32"/>
          <w:lang w:val="en-US" w:eastAsia="zh-CN"/>
        </w:rPr>
        <w:t>82.12</w:t>
      </w:r>
      <w:r>
        <w:rPr>
          <w:rFonts w:hint="eastAsia" w:ascii="仿宋_GB2312" w:eastAsia="仿宋_GB2312"/>
          <w:color w:val="000000" w:themeColor="text1"/>
          <w:sz w:val="32"/>
          <w:szCs w:val="32"/>
        </w:rPr>
        <w:t>%；项目支出</w:t>
      </w:r>
      <w:r>
        <w:rPr>
          <w:rFonts w:hint="eastAsia" w:ascii="仿宋_GB2312" w:eastAsia="仿宋_GB2312"/>
          <w:color w:val="auto"/>
          <w:sz w:val="32"/>
          <w:szCs w:val="32"/>
          <w:lang w:val="en-US" w:eastAsia="zh-CN"/>
        </w:rPr>
        <w:t>96.40</w:t>
      </w:r>
      <w:r>
        <w:rPr>
          <w:rFonts w:hint="eastAsia" w:ascii="仿宋_GB2312" w:eastAsia="仿宋_GB2312"/>
          <w:color w:val="000000" w:themeColor="text1"/>
          <w:sz w:val="32"/>
          <w:szCs w:val="32"/>
        </w:rPr>
        <w:t>万元，占</w:t>
      </w:r>
      <w:r>
        <w:rPr>
          <w:rFonts w:hint="eastAsia" w:ascii="仿宋_GB2312" w:eastAsia="仿宋_GB2312"/>
          <w:color w:val="000000" w:themeColor="text1"/>
          <w:sz w:val="32"/>
          <w:szCs w:val="32"/>
          <w:lang w:val="en-US" w:eastAsia="zh-CN"/>
        </w:rPr>
        <w:t>17.88</w:t>
      </w:r>
      <w:r>
        <w:rPr>
          <w:rFonts w:hint="eastAsia" w:ascii="仿宋_GB2312" w:eastAsia="仿宋_GB2312"/>
          <w:color w:val="000000" w:themeColor="text1"/>
          <w:sz w:val="32"/>
          <w:szCs w:val="32"/>
        </w:rPr>
        <w:t>%　。</w:t>
      </w:r>
    </w:p>
    <w:p w14:paraId="61E413B1">
      <w:pPr>
        <w:spacing w:line="560" w:lineRule="exact"/>
        <w:ind w:firstLine="640" w:firstLineChars="200"/>
        <w:rPr>
          <w:rFonts w:hint="eastAsia" w:ascii="黑体" w:hAnsi="黑体" w:eastAsia="黑体"/>
          <w:color w:val="000000" w:themeColor="text1"/>
          <w:sz w:val="32"/>
          <w:szCs w:val="32"/>
        </w:rPr>
      </w:pPr>
      <w:r>
        <w:rPr>
          <w:rFonts w:hint="eastAsia" w:ascii="黑体" w:hAnsi="黑体" w:eastAsia="黑体"/>
          <w:color w:val="000000" w:themeColor="text1"/>
          <w:sz w:val="32"/>
          <w:szCs w:val="32"/>
        </w:rPr>
        <w:t>四、财政拨款收支预算情况说明</w:t>
      </w:r>
    </w:p>
    <w:p w14:paraId="0646EF46">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中共汶川县委党校单位</w:t>
      </w: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财政拨款收支总预算</w:t>
      </w:r>
      <w:r>
        <w:rPr>
          <w:rFonts w:hint="eastAsia" w:ascii="仿宋_GB2312" w:eastAsia="仿宋_GB2312"/>
          <w:color w:val="auto"/>
          <w:sz w:val="32"/>
          <w:szCs w:val="32"/>
          <w:lang w:val="en-US" w:eastAsia="zh-CN"/>
        </w:rPr>
        <w:t>539.07</w:t>
      </w:r>
      <w:r>
        <w:rPr>
          <w:rFonts w:hint="eastAsia" w:ascii="仿宋_GB2312" w:eastAsia="仿宋_GB2312"/>
          <w:color w:val="000000" w:themeColor="text1"/>
          <w:sz w:val="32"/>
          <w:szCs w:val="32"/>
        </w:rPr>
        <w:t>万元,比202</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年财政拨款收支总预算</w:t>
      </w:r>
      <w:r>
        <w:rPr>
          <w:rFonts w:hint="eastAsia" w:ascii="仿宋_GB2312" w:eastAsia="仿宋_GB2312"/>
          <w:color w:val="000000" w:themeColor="text1"/>
          <w:sz w:val="32"/>
          <w:szCs w:val="32"/>
          <w:lang w:val="en-US" w:eastAsia="zh-CN"/>
        </w:rPr>
        <w:t>减少10.5</w:t>
      </w:r>
      <w:r>
        <w:rPr>
          <w:rFonts w:hint="eastAsia" w:ascii="仿宋_GB2312" w:eastAsia="仿宋_GB2312"/>
          <w:color w:val="000000" w:themeColor="text1"/>
          <w:sz w:val="32"/>
          <w:szCs w:val="32"/>
        </w:rPr>
        <w:t>万元，主要原因:</w:t>
      </w:r>
      <w:r>
        <w:rPr>
          <w:rFonts w:hint="eastAsia" w:ascii="仿宋_GB2312" w:eastAsia="仿宋_GB2312"/>
          <w:color w:val="000000" w:themeColor="text1"/>
          <w:sz w:val="32"/>
          <w:szCs w:val="32"/>
          <w:lang w:val="en-US" w:eastAsia="zh-CN"/>
        </w:rPr>
        <w:t>无新增新引进“硕博进阿坝”研究生，人员经费减少。</w:t>
      </w:r>
    </w:p>
    <w:p w14:paraId="1149C570">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收入包括：本年一般公共预算拨款收入</w:t>
      </w:r>
      <w:r>
        <w:rPr>
          <w:rFonts w:hint="eastAsia" w:ascii="仿宋_GB2312" w:eastAsia="仿宋_GB2312"/>
          <w:color w:val="000000" w:themeColor="text1"/>
          <w:sz w:val="32"/>
          <w:szCs w:val="32"/>
          <w:lang w:val="en-US" w:eastAsia="zh-CN"/>
        </w:rPr>
        <w:t>539.07</w:t>
      </w:r>
      <w:r>
        <w:rPr>
          <w:rFonts w:hint="eastAsia" w:ascii="仿宋_GB2312" w:eastAsia="仿宋_GB2312"/>
          <w:color w:val="000000" w:themeColor="text1"/>
          <w:sz w:val="32"/>
          <w:szCs w:val="32"/>
        </w:rPr>
        <w:t>万元；</w:t>
      </w:r>
    </w:p>
    <w:p w14:paraId="3E1E3213">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支出包括：</w:t>
      </w:r>
      <w:r>
        <w:rPr>
          <w:rFonts w:hint="eastAsia" w:ascii="仿宋_GB2312" w:eastAsia="仿宋_GB2312"/>
          <w:color w:val="000000" w:themeColor="text1"/>
          <w:sz w:val="32"/>
          <w:szCs w:val="32"/>
          <w:lang w:val="en-US" w:eastAsia="zh-CN"/>
        </w:rPr>
        <w:t>干部</w:t>
      </w:r>
      <w:r>
        <w:rPr>
          <w:rFonts w:hint="eastAsia" w:ascii="仿宋_GB2312" w:eastAsia="仿宋_GB2312"/>
          <w:color w:val="000000" w:themeColor="text1"/>
          <w:sz w:val="32"/>
          <w:szCs w:val="32"/>
        </w:rPr>
        <w:t>教育支出</w:t>
      </w:r>
      <w:r>
        <w:rPr>
          <w:rFonts w:hint="eastAsia" w:ascii="仿宋_GB2312" w:eastAsia="仿宋_GB2312"/>
          <w:color w:val="000000" w:themeColor="text1"/>
          <w:sz w:val="32"/>
          <w:szCs w:val="32"/>
          <w:lang w:val="en-US" w:eastAsia="zh-CN"/>
        </w:rPr>
        <w:t>539.07</w:t>
      </w:r>
      <w:r>
        <w:rPr>
          <w:rFonts w:hint="eastAsia" w:ascii="仿宋_GB2312" w:eastAsia="仿宋_GB2312"/>
          <w:color w:val="000000" w:themeColor="text1"/>
          <w:sz w:val="32"/>
          <w:szCs w:val="32"/>
        </w:rPr>
        <w:t>万元。</w:t>
      </w:r>
    </w:p>
    <w:p w14:paraId="08613CBE">
      <w:pPr>
        <w:spacing w:line="560" w:lineRule="exact"/>
        <w:ind w:firstLine="640" w:firstLineChars="200"/>
        <w:rPr>
          <w:rFonts w:hint="eastAsia" w:ascii="黑体" w:hAnsi="黑体" w:eastAsia="黑体"/>
          <w:color w:val="000000" w:themeColor="text1"/>
          <w:sz w:val="32"/>
          <w:szCs w:val="32"/>
        </w:rPr>
      </w:pPr>
      <w:r>
        <w:rPr>
          <w:rFonts w:hint="eastAsia" w:ascii="黑体" w:hAnsi="黑体" w:eastAsia="黑体"/>
          <w:color w:val="000000" w:themeColor="text1"/>
          <w:sz w:val="32"/>
          <w:szCs w:val="32"/>
        </w:rPr>
        <w:t>五、一般公共预算当年拨款情况说明</w:t>
      </w:r>
    </w:p>
    <w:p w14:paraId="2E022040">
      <w:pPr>
        <w:spacing w:line="560" w:lineRule="exact"/>
        <w:ind w:firstLine="643" w:firstLineChars="200"/>
        <w:rPr>
          <w:rFonts w:ascii="楷体_GB2312" w:eastAsia="楷体_GB2312"/>
          <w:b/>
          <w:color w:val="000000" w:themeColor="text1"/>
          <w:sz w:val="32"/>
          <w:szCs w:val="32"/>
        </w:rPr>
      </w:pPr>
      <w:r>
        <w:rPr>
          <w:rFonts w:hint="eastAsia" w:ascii="楷体_GB2312" w:eastAsia="楷体_GB2312"/>
          <w:b/>
          <w:color w:val="000000" w:themeColor="text1"/>
          <w:sz w:val="32"/>
          <w:szCs w:val="32"/>
        </w:rPr>
        <w:t>（一）一般公共预算当年拨款规模变化情况　</w:t>
      </w:r>
    </w:p>
    <w:p w14:paraId="05821979">
      <w:pPr>
        <w:spacing w:line="560" w:lineRule="exact"/>
        <w:ind w:firstLine="640" w:firstLineChars="200"/>
        <w:rPr>
          <w:rFonts w:hint="eastAsia" w:ascii="仿宋_GB2312" w:eastAsia="仿宋_GB2312"/>
          <w:color w:val="000000" w:themeColor="text1"/>
          <w:sz w:val="32"/>
          <w:szCs w:val="32"/>
          <w:lang w:eastAsia="zh-CN"/>
        </w:rPr>
      </w:pPr>
      <w:r>
        <w:rPr>
          <w:rFonts w:hint="eastAsia" w:ascii="仿宋_GB2312" w:eastAsia="仿宋_GB2312"/>
          <w:color w:val="000000" w:themeColor="text1"/>
          <w:sz w:val="32"/>
          <w:szCs w:val="32"/>
        </w:rPr>
        <w:t>中共汶川县委党校单位</w:t>
      </w: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一般公共预算当年拨款</w:t>
      </w:r>
      <w:r>
        <w:rPr>
          <w:rFonts w:hint="eastAsia" w:ascii="仿宋_GB2312" w:eastAsia="仿宋_GB2312"/>
          <w:color w:val="000000" w:themeColor="text1"/>
          <w:sz w:val="32"/>
          <w:szCs w:val="32"/>
          <w:lang w:val="en-US" w:eastAsia="zh-CN"/>
        </w:rPr>
        <w:t>539.07</w:t>
      </w:r>
      <w:r>
        <w:rPr>
          <w:rFonts w:hint="eastAsia" w:ascii="仿宋_GB2312" w:eastAsia="仿宋_GB2312"/>
          <w:color w:val="000000" w:themeColor="text1"/>
          <w:sz w:val="32"/>
          <w:szCs w:val="32"/>
        </w:rPr>
        <w:t>万元，比202</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年预算数</w:t>
      </w:r>
      <w:r>
        <w:rPr>
          <w:rFonts w:hint="eastAsia" w:ascii="仿宋_GB2312" w:eastAsia="仿宋_GB2312"/>
          <w:color w:val="000000" w:themeColor="text1"/>
          <w:sz w:val="32"/>
          <w:szCs w:val="32"/>
          <w:lang w:val="en-US" w:eastAsia="zh-CN"/>
        </w:rPr>
        <w:t>减少10.5</w:t>
      </w:r>
      <w:r>
        <w:rPr>
          <w:rFonts w:hint="eastAsia" w:ascii="仿宋_GB2312" w:eastAsia="仿宋_GB2312"/>
          <w:color w:val="000000" w:themeColor="text1"/>
          <w:sz w:val="32"/>
          <w:szCs w:val="32"/>
        </w:rPr>
        <w:t>万元，主要是：基本支出</w:t>
      </w:r>
      <w:r>
        <w:rPr>
          <w:rFonts w:hint="eastAsia" w:ascii="仿宋_GB2312" w:eastAsia="仿宋_GB2312"/>
          <w:color w:val="000000" w:themeColor="text1"/>
          <w:sz w:val="32"/>
          <w:szCs w:val="32"/>
          <w:lang w:val="en-US" w:eastAsia="zh-CN"/>
        </w:rPr>
        <w:t>减少10.5</w:t>
      </w:r>
      <w:r>
        <w:rPr>
          <w:rFonts w:hint="eastAsia" w:ascii="仿宋_GB2312" w:eastAsia="仿宋_GB2312"/>
          <w:color w:val="000000" w:themeColor="text1"/>
          <w:sz w:val="32"/>
          <w:szCs w:val="32"/>
        </w:rPr>
        <w:t xml:space="preserve">万元，主要原因: </w:t>
      </w:r>
      <w:r>
        <w:rPr>
          <w:rFonts w:hint="eastAsia" w:ascii="仿宋_GB2312" w:eastAsia="仿宋_GB2312"/>
          <w:color w:val="000000" w:themeColor="text1"/>
          <w:sz w:val="32"/>
          <w:szCs w:val="32"/>
          <w:lang w:val="en-US" w:eastAsia="zh-CN"/>
        </w:rPr>
        <w:t>无新增新引进“硕博进阿坝”研究生，人员经费减少</w:t>
      </w:r>
      <w:r>
        <w:rPr>
          <w:rFonts w:hint="eastAsia" w:ascii="仿宋_GB2312" w:eastAsia="仿宋_GB2312"/>
          <w:color w:val="000000" w:themeColor="text1"/>
          <w:sz w:val="32"/>
          <w:szCs w:val="32"/>
          <w:lang w:eastAsia="zh-CN"/>
        </w:rPr>
        <w:t>。</w:t>
      </w:r>
    </w:p>
    <w:p w14:paraId="7A5B3F85">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（二）一般公共预算当年拨款结构情况</w:t>
      </w:r>
    </w:p>
    <w:p w14:paraId="72B4B76F">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val="en-US" w:eastAsia="zh-CN"/>
        </w:rPr>
        <w:t>一般公共预算拨款基本</w:t>
      </w:r>
      <w:r>
        <w:rPr>
          <w:rFonts w:hint="eastAsia"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539.07</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其中：人员经费406.73万元，占75.45%；公用经费35.94万元，</w:t>
      </w:r>
      <w:r>
        <w:rPr>
          <w:rFonts w:hint="eastAsia" w:ascii="仿宋_GB2312" w:eastAsia="仿宋_GB2312"/>
          <w:color w:val="000000" w:themeColor="text1"/>
          <w:sz w:val="32"/>
          <w:szCs w:val="32"/>
        </w:rPr>
        <w:t>占</w:t>
      </w:r>
      <w:r>
        <w:rPr>
          <w:rFonts w:hint="eastAsia" w:ascii="仿宋_GB2312" w:eastAsia="仿宋_GB2312"/>
          <w:color w:val="000000" w:themeColor="text1"/>
          <w:sz w:val="32"/>
          <w:szCs w:val="32"/>
          <w:lang w:val="en-US" w:eastAsia="zh-CN"/>
        </w:rPr>
        <w:t>0.67</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项目支出96.40</w:t>
      </w:r>
      <w:r>
        <w:rPr>
          <w:rFonts w:hint="eastAsia" w:ascii="仿宋_GB2312" w:eastAsia="仿宋_GB2312"/>
          <w:color w:val="000000" w:themeColor="text1"/>
          <w:sz w:val="32"/>
          <w:szCs w:val="32"/>
        </w:rPr>
        <w:t>万元，占</w:t>
      </w:r>
      <w:r>
        <w:rPr>
          <w:rFonts w:hint="eastAsia" w:ascii="仿宋_GB2312" w:eastAsia="仿宋_GB2312"/>
          <w:color w:val="000000" w:themeColor="text1"/>
          <w:sz w:val="32"/>
          <w:szCs w:val="32"/>
          <w:lang w:val="en-US" w:eastAsia="zh-CN"/>
        </w:rPr>
        <w:t>17.89</w:t>
      </w:r>
      <w:r>
        <w:rPr>
          <w:rFonts w:hint="eastAsia" w:ascii="仿宋_GB2312" w:eastAsia="仿宋_GB2312"/>
          <w:color w:val="000000" w:themeColor="text1"/>
          <w:sz w:val="32"/>
          <w:szCs w:val="32"/>
        </w:rPr>
        <w:t>%。</w:t>
      </w:r>
    </w:p>
    <w:p w14:paraId="528C1EA7">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（三）一般公共预算当年拨款具体使用情况</w:t>
      </w:r>
    </w:p>
    <w:p w14:paraId="08AD008F">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w:t>
      </w:r>
      <w:r>
        <w:rPr>
          <w:rFonts w:hint="eastAsia" w:ascii="仿宋_GB2312" w:eastAsia="仿宋_GB2312"/>
          <w:color w:val="000000" w:themeColor="text1"/>
          <w:sz w:val="32"/>
          <w:szCs w:val="32"/>
          <w:lang w:val="en-US" w:eastAsia="zh-CN"/>
        </w:rPr>
        <w:t>.</w:t>
      </w:r>
      <w:r>
        <w:rPr>
          <w:rFonts w:hint="eastAsia" w:ascii="仿宋_GB2312" w:eastAsia="仿宋_GB2312"/>
          <w:color w:val="000000" w:themeColor="text1"/>
          <w:sz w:val="32"/>
          <w:szCs w:val="32"/>
        </w:rPr>
        <w:t>2050802</w:t>
      </w:r>
      <w:r>
        <w:rPr>
          <w:rFonts w:hint="eastAsia" w:ascii="仿宋_GB2312" w:eastAsia="仿宋_GB2312"/>
          <w:color w:val="000000" w:themeColor="text1"/>
          <w:sz w:val="32"/>
          <w:szCs w:val="32"/>
          <w:lang w:val="en-US" w:eastAsia="zh-CN"/>
        </w:rPr>
        <w:t xml:space="preserve">  </w:t>
      </w:r>
      <w:r>
        <w:rPr>
          <w:rFonts w:hint="eastAsia" w:ascii="仿宋_GB2312" w:eastAsia="仿宋_GB2312"/>
          <w:color w:val="000000" w:themeColor="text1"/>
          <w:sz w:val="32"/>
          <w:szCs w:val="32"/>
        </w:rPr>
        <w:t>干部教育：</w:t>
      </w:r>
      <w:r>
        <w:rPr>
          <w:rFonts w:hint="eastAsia" w:ascii="仿宋_GB2312" w:eastAsia="仿宋_GB2312"/>
          <w:color w:val="auto"/>
          <w:sz w:val="32"/>
          <w:szCs w:val="32"/>
          <w:lang w:val="en-US" w:eastAsia="zh-CN"/>
        </w:rPr>
        <w:t>418.63</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比2025年预算数减少130.92万元，主要是：无新增新引进“硕博进阿坝”研究生。用于</w:t>
      </w:r>
      <w:r>
        <w:rPr>
          <w:rFonts w:hint="eastAsia" w:ascii="仿宋_GB2312" w:eastAsia="仿宋_GB2312"/>
          <w:color w:val="000000" w:themeColor="text1"/>
          <w:sz w:val="32"/>
          <w:szCs w:val="32"/>
        </w:rPr>
        <w:t>基本工资、津贴补贴、奖金、绩效工资、其他社会保障缴费、离休费、生活补助。办公费、邮电费、取暖费、维修（护）费、会议费、培训费、公务接待费、福利费、公务用车运行维护费、其他商品和服务支出、其他资本性支出。</w:t>
      </w:r>
    </w:p>
    <w:p w14:paraId="277C5B49">
      <w:pPr>
        <w:spacing w:line="560" w:lineRule="exact"/>
        <w:ind w:firstLine="640" w:firstLineChars="200"/>
        <w:rPr>
          <w:rFonts w:hint="default" w:ascii="仿宋_GB2312" w:eastAsia="仿宋_GB2312"/>
          <w:color w:val="auto"/>
          <w:sz w:val="32"/>
          <w:szCs w:val="32"/>
          <w:lang w:val="en-US"/>
        </w:rPr>
      </w:pPr>
      <w:r>
        <w:rPr>
          <w:rFonts w:hint="eastAsia" w:ascii="仿宋_GB2312" w:eastAsia="仿宋_GB2312"/>
          <w:color w:val="000000" w:themeColor="text1"/>
          <w:sz w:val="32"/>
          <w:szCs w:val="32"/>
        </w:rPr>
        <w:t>2.2080505  机关事业单位基本养老保险缴费支出：</w:t>
      </w:r>
      <w:r>
        <w:rPr>
          <w:rFonts w:hint="eastAsia" w:ascii="仿宋_GB2312" w:eastAsia="仿宋_GB2312"/>
          <w:color w:val="auto"/>
          <w:sz w:val="32"/>
          <w:szCs w:val="32"/>
          <w:lang w:val="en-US" w:eastAsia="zh-CN"/>
        </w:rPr>
        <w:t>41.16</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比2025年预算数减少0.29万元，主要是：</w:t>
      </w:r>
      <w:r>
        <w:rPr>
          <w:rFonts w:hint="eastAsia" w:ascii="仿宋_GB2312" w:eastAsia="仿宋_GB2312"/>
          <w:color w:val="000000" w:themeColor="text1"/>
          <w:sz w:val="32"/>
          <w:szCs w:val="32"/>
          <w:lang w:val="en-US" w:eastAsia="zh-CN"/>
        </w:rPr>
        <w:t>人员变动和人员职务职级变动。</w:t>
      </w:r>
    </w:p>
    <w:p w14:paraId="2DD323E9">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rPr>
        <w:t>3.2080506  机关事业单位职业年金缴费支出：</w:t>
      </w:r>
      <w:r>
        <w:rPr>
          <w:rFonts w:hint="eastAsia" w:ascii="仿宋_GB2312" w:eastAsia="仿宋_GB2312"/>
          <w:color w:val="auto"/>
          <w:sz w:val="32"/>
          <w:szCs w:val="32"/>
          <w:lang w:val="en-US" w:eastAsia="zh-CN"/>
        </w:rPr>
        <w:t>20.58</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比2025年预算数减少0.14万元，主要是：人员变动和人员职务职级变动。</w:t>
      </w:r>
    </w:p>
    <w:p w14:paraId="473169C3">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rPr>
        <w:t>4.2101102  事业单位医疗：</w:t>
      </w:r>
      <w:r>
        <w:rPr>
          <w:rFonts w:hint="eastAsia" w:ascii="仿宋_GB2312" w:eastAsia="仿宋_GB2312"/>
          <w:color w:val="auto"/>
          <w:sz w:val="32"/>
          <w:szCs w:val="32"/>
          <w:lang w:val="en-US" w:eastAsia="zh-CN"/>
        </w:rPr>
        <w:t>20.07</w:t>
      </w:r>
      <w:r>
        <w:rPr>
          <w:rFonts w:hint="eastAsia" w:ascii="仿宋_GB2312" w:eastAsia="仿宋_GB2312"/>
          <w:color w:val="000000" w:themeColor="text1"/>
          <w:sz w:val="32"/>
          <w:szCs w:val="32"/>
        </w:rPr>
        <w:t>万元，在职人员医疗保险费</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比2025年预算数减少0.79万元，主要是：人员变动和人员职务职级变动。</w:t>
      </w:r>
    </w:p>
    <w:p w14:paraId="5E81B2E4">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rPr>
        <w:t>5.21011</w:t>
      </w:r>
      <w:r>
        <w:rPr>
          <w:rFonts w:hint="eastAsia" w:ascii="仿宋_GB2312" w:eastAsia="仿宋_GB2312"/>
          <w:color w:val="000000" w:themeColor="text1"/>
          <w:sz w:val="32"/>
          <w:szCs w:val="32"/>
          <w:lang w:val="en-US" w:eastAsia="zh-CN"/>
        </w:rPr>
        <w:t>99</w:t>
      </w:r>
      <w:r>
        <w:rPr>
          <w:rFonts w:hint="eastAsia" w:ascii="仿宋_GB2312" w:eastAsia="仿宋_GB2312"/>
          <w:color w:val="000000" w:themeColor="text1"/>
          <w:sz w:val="32"/>
          <w:szCs w:val="32"/>
        </w:rPr>
        <w:t xml:space="preserve"> </w:t>
      </w:r>
      <w:r>
        <w:rPr>
          <w:rFonts w:hint="eastAsia" w:ascii="仿宋_GB2312" w:eastAsia="仿宋_GB2312"/>
          <w:color w:val="000000" w:themeColor="text1"/>
          <w:sz w:val="32"/>
          <w:szCs w:val="32"/>
          <w:lang w:val="en-US" w:eastAsia="zh-CN"/>
        </w:rPr>
        <w:t xml:space="preserve"> 其他行政</w:t>
      </w:r>
      <w:r>
        <w:rPr>
          <w:rFonts w:hint="eastAsia" w:ascii="仿宋_GB2312" w:eastAsia="仿宋_GB2312"/>
          <w:color w:val="000000" w:themeColor="text1"/>
          <w:sz w:val="32"/>
          <w:szCs w:val="32"/>
        </w:rPr>
        <w:t>事业单位医疗：</w:t>
      </w:r>
      <w:r>
        <w:rPr>
          <w:rFonts w:hint="eastAsia" w:ascii="仿宋_GB2312" w:eastAsia="仿宋_GB2312"/>
          <w:color w:val="auto"/>
          <w:sz w:val="32"/>
          <w:szCs w:val="32"/>
          <w:lang w:val="en-US" w:eastAsia="zh-CN"/>
        </w:rPr>
        <w:t>5.23</w:t>
      </w:r>
      <w:r>
        <w:rPr>
          <w:rFonts w:hint="eastAsia" w:ascii="仿宋_GB2312" w:eastAsia="仿宋_GB2312"/>
          <w:color w:val="000000" w:themeColor="text1"/>
          <w:sz w:val="32"/>
          <w:szCs w:val="32"/>
        </w:rPr>
        <w:t>万元，公务员医疗补助</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比2025年预算数减少0.96万元，主要是：人员变动和人员职务职级变动。</w:t>
      </w:r>
    </w:p>
    <w:p w14:paraId="6F9544A0">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rPr>
        <w:t xml:space="preserve">6.2210201 </w:t>
      </w:r>
      <w:r>
        <w:rPr>
          <w:rFonts w:hint="eastAsia" w:ascii="仿宋_GB2312" w:eastAsia="仿宋_GB2312"/>
          <w:color w:val="000000" w:themeColor="text1"/>
          <w:sz w:val="32"/>
          <w:szCs w:val="32"/>
          <w:lang w:val="en-US" w:eastAsia="zh-CN"/>
        </w:rPr>
        <w:t xml:space="preserve"> </w:t>
      </w:r>
      <w:r>
        <w:rPr>
          <w:rFonts w:hint="eastAsia" w:ascii="仿宋_GB2312" w:eastAsia="仿宋_GB2312"/>
          <w:color w:val="000000" w:themeColor="text1"/>
          <w:sz w:val="32"/>
          <w:szCs w:val="32"/>
        </w:rPr>
        <w:t>住房公积金：</w:t>
      </w:r>
      <w:r>
        <w:rPr>
          <w:rFonts w:hint="eastAsia" w:ascii="仿宋_GB2312" w:eastAsia="仿宋_GB2312"/>
          <w:color w:val="auto"/>
          <w:sz w:val="32"/>
          <w:szCs w:val="32"/>
          <w:lang w:val="en-US" w:eastAsia="zh-CN"/>
        </w:rPr>
        <w:t>33.39</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比2025年预算数减少0.56万元，主要是：人员变动和人员职务职级变动。</w:t>
      </w:r>
    </w:p>
    <w:p w14:paraId="2DA03116">
      <w:pPr>
        <w:spacing w:line="560" w:lineRule="exact"/>
        <w:ind w:firstLine="640" w:firstLineChars="200"/>
        <w:rPr>
          <w:rFonts w:hint="eastAsia" w:ascii="黑体" w:hAnsi="黑体" w:eastAsia="黑体"/>
          <w:color w:val="000000" w:themeColor="text1"/>
          <w:sz w:val="32"/>
          <w:szCs w:val="32"/>
        </w:rPr>
      </w:pPr>
      <w:r>
        <w:rPr>
          <w:rFonts w:hint="eastAsia" w:ascii="黑体" w:hAnsi="黑体" w:eastAsia="黑体"/>
          <w:color w:val="000000" w:themeColor="text1"/>
          <w:sz w:val="32"/>
          <w:szCs w:val="32"/>
        </w:rPr>
        <w:t>六、一般公共预算基本支出情况说明　</w:t>
      </w:r>
    </w:p>
    <w:p w14:paraId="5D09CDD5">
      <w:pPr>
        <w:spacing w:line="560" w:lineRule="exact"/>
        <w:ind w:firstLine="640" w:firstLineChars="200"/>
        <w:rPr>
          <w:rFonts w:hint="default" w:ascii="仿宋_GB2312" w:eastAsia="仿宋_GB2312"/>
          <w:color w:val="000000" w:themeColor="text1"/>
          <w:sz w:val="32"/>
          <w:szCs w:val="32"/>
          <w:lang w:val="en-US" w:eastAsia="zh-CN"/>
        </w:rPr>
      </w:pPr>
      <w:r>
        <w:rPr>
          <w:rFonts w:hint="eastAsia" w:ascii="仿宋_GB2312" w:eastAsia="仿宋_GB2312"/>
          <w:color w:val="000000" w:themeColor="text1"/>
          <w:sz w:val="32"/>
          <w:szCs w:val="32"/>
        </w:rPr>
        <w:t>中共汶川县委党校</w:t>
      </w: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一般公共预算基本支出</w:t>
      </w:r>
      <w:r>
        <w:rPr>
          <w:rFonts w:hint="eastAsia" w:ascii="仿宋_GB2312" w:eastAsia="仿宋_GB2312"/>
          <w:color w:val="auto"/>
          <w:sz w:val="32"/>
          <w:szCs w:val="32"/>
          <w:lang w:val="en-US" w:eastAsia="zh-CN"/>
        </w:rPr>
        <w:t>442.67</w:t>
      </w:r>
      <w:r>
        <w:rPr>
          <w:rFonts w:hint="eastAsia" w:ascii="仿宋_GB2312" w:eastAsia="仿宋_GB2312"/>
          <w:color w:val="000000" w:themeColor="text1"/>
          <w:sz w:val="32"/>
          <w:szCs w:val="32"/>
        </w:rPr>
        <w:t>万元，其中：人员经费</w:t>
      </w:r>
      <w:r>
        <w:rPr>
          <w:rFonts w:hint="eastAsia" w:ascii="仿宋_GB2312" w:eastAsia="仿宋_GB2312"/>
          <w:color w:val="000000" w:themeColor="text1"/>
          <w:sz w:val="32"/>
          <w:szCs w:val="32"/>
          <w:lang w:val="en-US" w:eastAsia="zh-CN"/>
        </w:rPr>
        <w:t>406.73</w:t>
      </w:r>
      <w:r>
        <w:rPr>
          <w:rFonts w:hint="eastAsia" w:ascii="仿宋_GB2312" w:eastAsia="仿宋_GB2312"/>
          <w:color w:val="000000" w:themeColor="text1"/>
          <w:sz w:val="32"/>
          <w:szCs w:val="32"/>
        </w:rPr>
        <w:t>万元，主要包括：基本工资、津贴补贴、奖金、其他社会保障缴费、绩效工资、机关事业单位基本养老保险缴费、职业年金缴费、城镇职工医疗保险、公务员医疗补助、离休费、生活补助、住房公积金。公用经费</w:t>
      </w:r>
      <w:r>
        <w:rPr>
          <w:rFonts w:hint="eastAsia" w:ascii="仿宋_GB2312" w:eastAsia="仿宋_GB2312"/>
          <w:color w:val="auto"/>
          <w:sz w:val="32"/>
          <w:szCs w:val="32"/>
          <w:lang w:val="en-US" w:eastAsia="zh-CN"/>
        </w:rPr>
        <w:t>35.94</w:t>
      </w:r>
      <w:r>
        <w:rPr>
          <w:rFonts w:hint="eastAsia" w:ascii="仿宋_GB2312" w:eastAsia="仿宋_GB2312"/>
          <w:color w:val="000000" w:themeColor="text1"/>
          <w:sz w:val="32"/>
          <w:szCs w:val="32"/>
        </w:rPr>
        <w:t>万元，主要包括：办公费、取暖费、邮电费、维修（护）费、会议费、培训费、公务接待费、福利费、公务用车运行维护费、其他商品和服务支出、其他资本性支出。</w:t>
      </w:r>
      <w:r>
        <w:rPr>
          <w:rFonts w:hint="eastAsia" w:ascii="仿宋_GB2312" w:eastAsia="仿宋_GB2312"/>
          <w:color w:val="000000" w:themeColor="text1"/>
          <w:sz w:val="32"/>
          <w:szCs w:val="32"/>
          <w:lang w:val="en-US" w:eastAsia="zh-CN"/>
        </w:rPr>
        <w:t>部门项目96.40万元，主要包括：科研、基础设施维修维护、设施设备维护维保及绿化养护、图书馆建设、交流培训及学术研讨、映秀爱国主义教育基地软实力提升、红色讲解员培养培训。</w:t>
      </w:r>
    </w:p>
    <w:p w14:paraId="7473F671">
      <w:pPr>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七、“三公”经费财政拨款预算安排情况说明　　</w:t>
      </w:r>
    </w:p>
    <w:p w14:paraId="67216CED">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中共汶川县委党校</w:t>
      </w: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“三公”经费财政拨款预算数</w:t>
      </w:r>
      <w:r>
        <w:rPr>
          <w:rFonts w:hint="eastAsia" w:ascii="仿宋_GB2312" w:eastAsia="仿宋_GB2312"/>
          <w:color w:val="auto"/>
          <w:sz w:val="32"/>
          <w:szCs w:val="32"/>
          <w:lang w:val="en-US" w:eastAsia="zh-CN"/>
        </w:rPr>
        <w:t>4.40</w:t>
      </w:r>
      <w:r>
        <w:rPr>
          <w:rFonts w:hint="eastAsia" w:ascii="仿宋_GB2312" w:eastAsia="仿宋_GB2312"/>
          <w:color w:val="000000" w:themeColor="text1"/>
          <w:sz w:val="32"/>
          <w:szCs w:val="32"/>
        </w:rPr>
        <w:t>万元，其中：因公出国（境）经费0万元，公务接待费</w:t>
      </w:r>
      <w:r>
        <w:rPr>
          <w:rFonts w:hint="eastAsia" w:ascii="仿宋_GB2312" w:eastAsia="仿宋_GB2312"/>
          <w:color w:val="auto"/>
          <w:sz w:val="32"/>
          <w:szCs w:val="32"/>
          <w:lang w:val="en-US" w:eastAsia="zh-CN"/>
        </w:rPr>
        <w:t>0.40</w:t>
      </w:r>
      <w:r>
        <w:rPr>
          <w:rFonts w:hint="eastAsia" w:ascii="仿宋_GB2312" w:eastAsia="仿宋_GB2312"/>
          <w:color w:val="000000" w:themeColor="text1"/>
          <w:sz w:val="32"/>
          <w:szCs w:val="32"/>
        </w:rPr>
        <w:t>万元，公务用车购置及运行维护费</w:t>
      </w:r>
      <w:r>
        <w:rPr>
          <w:rFonts w:hint="eastAsia" w:ascii="仿宋_GB2312" w:eastAsia="仿宋_GB2312"/>
          <w:color w:val="auto"/>
          <w:sz w:val="32"/>
          <w:szCs w:val="32"/>
          <w:lang w:val="en-US" w:eastAsia="zh-CN"/>
        </w:rPr>
        <w:t>4</w:t>
      </w:r>
      <w:r>
        <w:rPr>
          <w:rFonts w:hint="eastAsia" w:ascii="仿宋_GB2312" w:eastAsia="仿宋_GB2312"/>
          <w:color w:val="000000" w:themeColor="text1"/>
          <w:sz w:val="32"/>
          <w:szCs w:val="32"/>
        </w:rPr>
        <w:t>万元。</w:t>
      </w:r>
    </w:p>
    <w:p w14:paraId="1C964034">
      <w:pPr>
        <w:spacing w:line="560" w:lineRule="exact"/>
        <w:ind w:firstLine="643" w:firstLineChars="200"/>
        <w:rPr>
          <w:rFonts w:ascii="仿宋_GB2312" w:eastAsia="仿宋_GB2312"/>
          <w:color w:val="000000" w:themeColor="text1"/>
          <w:sz w:val="32"/>
          <w:szCs w:val="32"/>
        </w:rPr>
      </w:pPr>
      <w:r>
        <w:rPr>
          <w:rFonts w:hint="eastAsia" w:ascii="楷体_GB2312" w:eastAsia="楷体_GB2312"/>
          <w:b/>
          <w:color w:val="000000" w:themeColor="text1"/>
          <w:sz w:val="32"/>
          <w:szCs w:val="32"/>
        </w:rPr>
        <w:t>（一）</w:t>
      </w:r>
      <w:r>
        <w:rPr>
          <w:rFonts w:hint="eastAsia" w:ascii="楷体_GB2312" w:eastAsia="楷体_GB2312"/>
          <w:b/>
          <w:color w:val="000000" w:themeColor="text1"/>
          <w:sz w:val="32"/>
          <w:szCs w:val="32"/>
          <w:lang w:eastAsia="zh-CN"/>
        </w:rPr>
        <w:t>202</w:t>
      </w:r>
      <w:r>
        <w:rPr>
          <w:rFonts w:hint="eastAsia" w:ascii="楷体_GB2312" w:eastAsia="楷体_GB2312"/>
          <w:b/>
          <w:color w:val="000000" w:themeColor="text1"/>
          <w:sz w:val="32"/>
          <w:szCs w:val="32"/>
          <w:lang w:val="en-US" w:eastAsia="zh-CN"/>
        </w:rPr>
        <w:t>6</w:t>
      </w:r>
      <w:r>
        <w:rPr>
          <w:rFonts w:hint="eastAsia" w:ascii="楷体_GB2312" w:eastAsia="楷体_GB2312"/>
          <w:b/>
          <w:color w:val="000000" w:themeColor="text1"/>
          <w:sz w:val="32"/>
          <w:szCs w:val="32"/>
          <w:lang w:eastAsia="zh-CN"/>
        </w:rPr>
        <w:t>年</w:t>
      </w:r>
      <w:r>
        <w:rPr>
          <w:rFonts w:hint="eastAsia" w:ascii="楷体_GB2312" w:eastAsia="楷体_GB2312"/>
          <w:b/>
          <w:color w:val="000000" w:themeColor="text1"/>
          <w:sz w:val="32"/>
          <w:szCs w:val="32"/>
        </w:rPr>
        <w:t>未安排因公出国（境）经费</w:t>
      </w:r>
      <w:r>
        <w:rPr>
          <w:rFonts w:hint="eastAsia" w:ascii="仿宋_GB2312" w:eastAsia="仿宋_GB2312"/>
          <w:color w:val="000000" w:themeColor="text1"/>
          <w:sz w:val="32"/>
          <w:szCs w:val="32"/>
        </w:rPr>
        <w:t>。</w:t>
      </w:r>
    </w:p>
    <w:p w14:paraId="0FDF6580">
      <w:pPr>
        <w:spacing w:line="560" w:lineRule="exact"/>
        <w:ind w:firstLine="643" w:firstLineChars="200"/>
        <w:rPr>
          <w:rFonts w:ascii="仿宋_GB2312" w:eastAsia="仿宋_GB2312"/>
          <w:color w:val="000000" w:themeColor="text1"/>
          <w:sz w:val="32"/>
          <w:szCs w:val="32"/>
        </w:rPr>
      </w:pPr>
      <w:r>
        <w:rPr>
          <w:rFonts w:hint="eastAsia" w:ascii="楷体_GB2312" w:eastAsia="楷体_GB2312"/>
          <w:b/>
          <w:color w:val="000000" w:themeColor="text1"/>
          <w:sz w:val="32"/>
          <w:szCs w:val="32"/>
        </w:rPr>
        <w:t>（二）</w:t>
      </w:r>
      <w:r>
        <w:rPr>
          <w:rFonts w:hint="eastAsia" w:ascii="楷体_GB2312" w:eastAsia="楷体_GB2312"/>
          <w:b/>
          <w:color w:val="000000" w:themeColor="text1"/>
          <w:sz w:val="32"/>
          <w:szCs w:val="32"/>
          <w:lang w:eastAsia="zh-CN"/>
        </w:rPr>
        <w:t>202</w:t>
      </w:r>
      <w:r>
        <w:rPr>
          <w:rFonts w:hint="eastAsia" w:ascii="楷体_GB2312" w:eastAsia="楷体_GB2312"/>
          <w:b/>
          <w:color w:val="000000" w:themeColor="text1"/>
          <w:sz w:val="32"/>
          <w:szCs w:val="32"/>
          <w:lang w:val="en-US" w:eastAsia="zh-CN"/>
        </w:rPr>
        <w:t>6</w:t>
      </w:r>
      <w:r>
        <w:rPr>
          <w:rFonts w:hint="eastAsia" w:ascii="楷体_GB2312" w:eastAsia="楷体_GB2312"/>
          <w:b/>
          <w:color w:val="000000" w:themeColor="text1"/>
          <w:sz w:val="32"/>
          <w:szCs w:val="32"/>
          <w:lang w:eastAsia="zh-CN"/>
        </w:rPr>
        <w:t>年</w:t>
      </w:r>
      <w:r>
        <w:rPr>
          <w:rFonts w:hint="eastAsia" w:ascii="楷体_GB2312" w:eastAsia="楷体_GB2312"/>
          <w:b/>
          <w:color w:val="000000" w:themeColor="text1"/>
          <w:sz w:val="32"/>
          <w:szCs w:val="32"/>
        </w:rPr>
        <w:t>公务接待经费</w:t>
      </w:r>
      <w:r>
        <w:rPr>
          <w:rFonts w:hint="eastAsia" w:ascii="楷体_GB2312" w:eastAsia="楷体_GB2312"/>
          <w:b/>
          <w:color w:val="000000" w:themeColor="text1"/>
          <w:sz w:val="32"/>
          <w:szCs w:val="32"/>
          <w:lang w:val="en-US" w:eastAsia="zh-CN"/>
        </w:rPr>
        <w:t>0.40</w:t>
      </w:r>
      <w:r>
        <w:rPr>
          <w:rFonts w:hint="eastAsia" w:ascii="楷体_GB2312" w:eastAsia="楷体_GB2312"/>
          <w:b/>
          <w:color w:val="000000" w:themeColor="text1"/>
          <w:sz w:val="32"/>
          <w:szCs w:val="32"/>
        </w:rPr>
        <w:t>万元。</w:t>
      </w:r>
      <w:r>
        <w:rPr>
          <w:rFonts w:hint="eastAsia" w:ascii="仿宋_GB2312" w:eastAsia="仿宋_GB2312"/>
          <w:color w:val="000000" w:themeColor="text1"/>
          <w:sz w:val="32"/>
          <w:szCs w:val="32"/>
        </w:rPr>
        <w:t>较202</w:t>
      </w:r>
      <w:r>
        <w:rPr>
          <w:rFonts w:hint="eastAsia" w:ascii="仿宋_GB2312" w:eastAsia="仿宋_GB2312"/>
          <w:color w:val="000000" w:themeColor="text1"/>
          <w:sz w:val="32"/>
          <w:szCs w:val="32"/>
          <w:lang w:val="en-US" w:eastAsia="zh-CN"/>
        </w:rPr>
        <w:t>4</w:t>
      </w:r>
      <w:r>
        <w:rPr>
          <w:rFonts w:hint="eastAsia" w:ascii="仿宋_GB2312" w:eastAsia="仿宋_GB2312"/>
          <w:color w:val="000000" w:themeColor="text1"/>
          <w:sz w:val="32"/>
          <w:szCs w:val="32"/>
        </w:rPr>
        <w:t>年预算经费</w:t>
      </w:r>
      <w:r>
        <w:rPr>
          <w:rFonts w:hint="eastAsia" w:ascii="仿宋_GB2312" w:eastAsia="仿宋_GB2312"/>
          <w:color w:val="auto"/>
          <w:sz w:val="32"/>
          <w:szCs w:val="32"/>
          <w:lang w:val="en-US" w:eastAsia="zh-CN"/>
        </w:rPr>
        <w:t>0.42</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减少4.76</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人员变动和人员职务职级变动</w:t>
      </w:r>
      <w:r>
        <w:rPr>
          <w:rFonts w:hint="eastAsia" w:ascii="仿宋_GB2312" w:eastAsia="仿宋_GB2312"/>
          <w:color w:val="auto"/>
          <w:sz w:val="32"/>
          <w:szCs w:val="32"/>
        </w:rPr>
        <w:t>。</w:t>
      </w:r>
      <w:r>
        <w:rPr>
          <w:rFonts w:hint="eastAsia" w:ascii="仿宋_GB2312" w:eastAsia="仿宋_GB2312"/>
          <w:color w:val="000000" w:themeColor="text1"/>
          <w:sz w:val="32"/>
          <w:szCs w:val="32"/>
        </w:rPr>
        <w:t xml:space="preserve">　　  </w:t>
      </w:r>
    </w:p>
    <w:p w14:paraId="767FBD93">
      <w:pPr>
        <w:spacing w:line="560" w:lineRule="exact"/>
        <w:ind w:firstLine="643" w:firstLineChars="200"/>
        <w:rPr>
          <w:rFonts w:ascii="仿宋_GB2312" w:eastAsia="仿宋_GB2312"/>
          <w:color w:val="000000" w:themeColor="text1"/>
          <w:sz w:val="32"/>
          <w:szCs w:val="32"/>
        </w:rPr>
      </w:pPr>
      <w:r>
        <w:rPr>
          <w:rFonts w:hint="eastAsia" w:ascii="楷体_GB2312" w:eastAsia="楷体_GB2312"/>
          <w:b/>
          <w:color w:val="000000" w:themeColor="text1"/>
          <w:sz w:val="32"/>
          <w:szCs w:val="32"/>
        </w:rPr>
        <w:t>（三）</w:t>
      </w:r>
      <w:r>
        <w:rPr>
          <w:rFonts w:hint="eastAsia" w:ascii="楷体_GB2312" w:eastAsia="楷体_GB2312"/>
          <w:b/>
          <w:color w:val="000000" w:themeColor="text1"/>
          <w:sz w:val="32"/>
          <w:szCs w:val="32"/>
          <w:lang w:eastAsia="zh-CN"/>
        </w:rPr>
        <w:t>202</w:t>
      </w:r>
      <w:r>
        <w:rPr>
          <w:rFonts w:hint="eastAsia" w:ascii="楷体_GB2312" w:eastAsia="楷体_GB2312"/>
          <w:b/>
          <w:color w:val="000000" w:themeColor="text1"/>
          <w:sz w:val="32"/>
          <w:szCs w:val="32"/>
          <w:lang w:val="en-US" w:eastAsia="zh-CN"/>
        </w:rPr>
        <w:t>6</w:t>
      </w:r>
      <w:r>
        <w:rPr>
          <w:rFonts w:hint="eastAsia" w:ascii="楷体_GB2312" w:eastAsia="楷体_GB2312"/>
          <w:b/>
          <w:color w:val="000000" w:themeColor="text1"/>
          <w:sz w:val="32"/>
          <w:szCs w:val="32"/>
          <w:lang w:eastAsia="zh-CN"/>
        </w:rPr>
        <w:t>年</w:t>
      </w:r>
      <w:r>
        <w:rPr>
          <w:rFonts w:hint="eastAsia" w:ascii="楷体_GB2312" w:eastAsia="楷体_GB2312"/>
          <w:b/>
          <w:color w:val="000000" w:themeColor="text1"/>
          <w:sz w:val="32"/>
          <w:szCs w:val="32"/>
        </w:rPr>
        <w:t>公务用车购置及运行维护费</w:t>
      </w:r>
      <w:r>
        <w:rPr>
          <w:rFonts w:hint="eastAsia" w:ascii="楷体_GB2312" w:eastAsia="楷体_GB2312"/>
          <w:b/>
          <w:color w:val="000000" w:themeColor="text1"/>
          <w:sz w:val="32"/>
          <w:szCs w:val="32"/>
          <w:lang w:val="en-US" w:eastAsia="zh-CN"/>
        </w:rPr>
        <w:t>4</w:t>
      </w:r>
      <w:r>
        <w:rPr>
          <w:rFonts w:hint="eastAsia" w:ascii="楷体_GB2312" w:eastAsia="楷体_GB2312"/>
          <w:b/>
          <w:color w:val="000000" w:themeColor="text1"/>
          <w:sz w:val="32"/>
          <w:szCs w:val="32"/>
        </w:rPr>
        <w:t>万元</w:t>
      </w:r>
      <w:r>
        <w:rPr>
          <w:rFonts w:hint="eastAsia" w:ascii="楷体_GB2312" w:eastAsia="楷体_GB2312"/>
          <w:b/>
          <w:color w:val="000000" w:themeColor="text1"/>
          <w:sz w:val="32"/>
          <w:szCs w:val="32"/>
          <w:lang w:eastAsia="zh-CN"/>
        </w:rPr>
        <w:t>，</w:t>
      </w:r>
      <w:r>
        <w:rPr>
          <w:rFonts w:hint="eastAsia" w:ascii="仿宋_GB2312" w:eastAsia="仿宋_GB2312"/>
          <w:color w:val="auto"/>
          <w:sz w:val="32"/>
          <w:szCs w:val="32"/>
          <w:lang w:val="en-US" w:eastAsia="zh-CN"/>
        </w:rPr>
        <w:t>比</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年预算经费</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万</w:t>
      </w:r>
      <w:r>
        <w:rPr>
          <w:rFonts w:hint="eastAsia" w:ascii="仿宋_GB2312" w:eastAsia="仿宋_GB2312"/>
          <w:color w:val="000000" w:themeColor="text1"/>
          <w:sz w:val="32"/>
          <w:szCs w:val="32"/>
        </w:rPr>
        <w:t>元</w:t>
      </w:r>
      <w:r>
        <w:rPr>
          <w:rFonts w:hint="eastAsia" w:ascii="仿宋_GB2312" w:eastAsia="仿宋_GB2312"/>
          <w:color w:val="000000" w:themeColor="text1"/>
          <w:sz w:val="32"/>
          <w:szCs w:val="32"/>
          <w:lang w:val="en-US" w:eastAsia="zh-CN"/>
        </w:rPr>
        <w:t>减少4万元，主要原因是：无公务用车购置安排和公务用车为前年新购，维修维护费用预算减少</w:t>
      </w:r>
      <w:r>
        <w:rPr>
          <w:rFonts w:hint="eastAsia" w:ascii="仿宋_GB2312" w:eastAsia="仿宋_GB2312"/>
          <w:color w:val="000000" w:themeColor="text1"/>
          <w:sz w:val="32"/>
          <w:szCs w:val="32"/>
        </w:rPr>
        <w:t>。其中：</w:t>
      </w: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无公务用车购置安排，公务用车购置0万元</w:t>
      </w:r>
      <w:r>
        <w:rPr>
          <w:rFonts w:hint="eastAsia" w:ascii="仿宋_GB2312" w:eastAsia="仿宋_GB2312"/>
          <w:color w:val="000000" w:themeColor="text1"/>
          <w:sz w:val="32"/>
          <w:szCs w:val="32"/>
          <w:lang w:val="en-US" w:eastAsia="zh-CN"/>
        </w:rPr>
        <w:t>与上年持平</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公务用车运行维护费</w:t>
      </w:r>
      <w:r>
        <w:rPr>
          <w:rFonts w:hint="eastAsia" w:ascii="仿宋_GB2312" w:eastAsia="仿宋_GB2312"/>
          <w:color w:val="000000" w:themeColor="text1"/>
          <w:sz w:val="32"/>
          <w:szCs w:val="32"/>
          <w:lang w:val="en-US" w:eastAsia="zh-CN"/>
        </w:rPr>
        <w:t>4</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较上年减少4万元</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主要用于：公务用车燃油、维修、保险等方面支出。主要保障管理事务及其他等工作。</w:t>
      </w:r>
    </w:p>
    <w:p w14:paraId="35C09E9E">
      <w:pPr>
        <w:spacing w:line="560" w:lineRule="exact"/>
        <w:ind w:firstLine="640" w:firstLineChars="200"/>
        <w:rPr>
          <w:rFonts w:hint="eastAsia" w:ascii="黑体" w:hAnsi="黑体" w:eastAsia="黑体"/>
          <w:color w:val="000000" w:themeColor="text1"/>
          <w:sz w:val="32"/>
          <w:szCs w:val="32"/>
        </w:rPr>
      </w:pPr>
      <w:r>
        <w:rPr>
          <w:rFonts w:hint="eastAsia" w:ascii="黑体" w:hAnsi="黑体" w:eastAsia="黑体"/>
          <w:color w:val="000000" w:themeColor="text1"/>
          <w:sz w:val="32"/>
          <w:szCs w:val="32"/>
        </w:rPr>
        <w:t>八、政府性基金预算支出情况说明</w:t>
      </w:r>
    </w:p>
    <w:p w14:paraId="3976155E">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未安排政府性基金预算。</w:t>
      </w:r>
    </w:p>
    <w:p w14:paraId="49F0A6F9">
      <w:pPr>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九、其他重要事项的情况说明　</w:t>
      </w:r>
    </w:p>
    <w:p w14:paraId="349F5736">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（一）机关运行经费</w:t>
      </w:r>
    </w:p>
    <w:p w14:paraId="7126CDAD">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auto"/>
          <w:sz w:val="32"/>
          <w:szCs w:val="32"/>
        </w:rPr>
        <w:t>中共汶川县委党校</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w:t>
      </w:r>
      <w:r>
        <w:rPr>
          <w:rFonts w:hint="eastAsia" w:ascii="仿宋_GB2312" w:eastAsia="仿宋_GB2312"/>
          <w:color w:val="auto"/>
          <w:sz w:val="32"/>
          <w:szCs w:val="32"/>
        </w:rPr>
        <w:t>机关运行经费财政拨款预算为</w:t>
      </w:r>
      <w:r>
        <w:rPr>
          <w:rFonts w:hint="eastAsia" w:ascii="仿宋_GB2312" w:eastAsia="仿宋_GB2312"/>
          <w:color w:val="auto"/>
          <w:sz w:val="32"/>
          <w:szCs w:val="32"/>
          <w:lang w:val="en-US" w:eastAsia="zh-CN"/>
        </w:rPr>
        <w:t>35.94</w:t>
      </w:r>
      <w:r>
        <w:rPr>
          <w:rFonts w:hint="eastAsia" w:ascii="仿宋_GB2312" w:eastAsia="仿宋_GB2312"/>
          <w:color w:val="auto"/>
          <w:sz w:val="32"/>
          <w:szCs w:val="32"/>
        </w:rPr>
        <w:t>万元，比202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年预算</w:t>
      </w:r>
      <w:r>
        <w:rPr>
          <w:rFonts w:hint="eastAsia" w:ascii="仿宋_GB2312" w:eastAsia="仿宋_GB2312"/>
          <w:color w:val="auto"/>
          <w:sz w:val="32"/>
          <w:szCs w:val="32"/>
          <w:lang w:val="en-US" w:eastAsia="zh-CN"/>
        </w:rPr>
        <w:t>减少1.21</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减少3.26</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主要原因：人员变动和人员职务职级变动。</w:t>
      </w:r>
    </w:p>
    <w:p w14:paraId="4717C2AD">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（二）政府采购情况</w:t>
      </w:r>
    </w:p>
    <w:p w14:paraId="62D4A30A">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未安排政府采购预算。</w:t>
      </w:r>
    </w:p>
    <w:p w14:paraId="26D0B463">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（三）国有资产占有使用情况</w:t>
      </w:r>
    </w:p>
    <w:p w14:paraId="1D7EEF40">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国有资产占用和使</w:t>
      </w:r>
      <w:bookmarkStart w:id="0" w:name="_GoBack"/>
      <w:bookmarkEnd w:id="0"/>
      <w:r>
        <w:rPr>
          <w:rFonts w:hint="eastAsia" w:ascii="仿宋_GB2312" w:eastAsia="仿宋_GB2312"/>
          <w:color w:val="000000" w:themeColor="text1"/>
          <w:sz w:val="32"/>
          <w:szCs w:val="32"/>
        </w:rPr>
        <w:t>用为</w:t>
      </w:r>
      <w:r>
        <w:rPr>
          <w:rFonts w:hint="eastAsia" w:ascii="仿宋_GB2312" w:hAnsi="仿宋_GB2312" w:eastAsia="仿宋_GB2312" w:cs="仿宋_GB2312"/>
          <w:color w:val="auto"/>
          <w:sz w:val="32"/>
          <w:szCs w:val="32"/>
          <w:shd w:val="clear" w:color="auto" w:fill="FFFFFF"/>
          <w:lang w:val="en-US" w:eastAsia="zh-CN"/>
        </w:rPr>
        <w:t>3210.67</w:t>
      </w:r>
      <w:r>
        <w:rPr>
          <w:rFonts w:hint="eastAsia" w:ascii="仿宋_GB2312" w:eastAsia="仿宋_GB2312"/>
          <w:color w:val="000000" w:themeColor="text1"/>
          <w:sz w:val="32"/>
          <w:szCs w:val="32"/>
        </w:rPr>
        <w:t>万元。</w:t>
      </w:r>
    </w:p>
    <w:p w14:paraId="5D12339E">
      <w:pPr>
        <w:spacing w:line="560" w:lineRule="exact"/>
        <w:ind w:firstLine="643" w:firstLineChars="200"/>
        <w:rPr>
          <w:rFonts w:hint="eastAsia" w:ascii="楷体_GB2312" w:eastAsia="楷体_GB2312"/>
          <w:b/>
          <w:color w:val="000000" w:themeColor="text1"/>
          <w:sz w:val="32"/>
          <w:szCs w:val="32"/>
        </w:rPr>
      </w:pPr>
      <w:r>
        <w:rPr>
          <w:rFonts w:hint="eastAsia" w:ascii="楷体_GB2312" w:eastAsia="楷体_GB2312"/>
          <w:b/>
          <w:color w:val="000000" w:themeColor="text1"/>
          <w:sz w:val="32"/>
          <w:szCs w:val="32"/>
        </w:rPr>
        <w:t>（四）绩效目标设置情况</w:t>
      </w:r>
    </w:p>
    <w:p w14:paraId="7C625BBF">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中共汶川县委党校</w:t>
      </w:r>
      <w:r>
        <w:rPr>
          <w:rFonts w:hint="eastAsia" w:ascii="仿宋_GB2312" w:eastAsia="仿宋_GB2312"/>
          <w:color w:val="000000" w:themeColor="text1"/>
          <w:sz w:val="32"/>
          <w:szCs w:val="32"/>
          <w:lang w:val="en-US" w:eastAsia="zh-CN"/>
        </w:rPr>
        <w:t>申报部门整体资金539.07万元（含特定目标7个），资金主要用于县级党校分类建设工作、抓细教育教学培训重点任务、抓牢科研咨政一体化建设和抓好县委政府交办的其他工作和保障机构正常运转等，均按照绩效管理要求，设置了绩效目标。</w:t>
      </w:r>
    </w:p>
    <w:p w14:paraId="00899092">
      <w:pPr>
        <w:spacing w:line="560" w:lineRule="exact"/>
        <w:ind w:firstLine="640" w:firstLineChars="200"/>
        <w:rPr>
          <w:rFonts w:hint="eastAsia" w:ascii="仿宋_GB2312" w:eastAsia="仿宋_GB2312"/>
          <w:color w:val="000000" w:themeColor="text1"/>
          <w:sz w:val="32"/>
          <w:szCs w:val="32"/>
          <w:lang w:val="en-US" w:eastAsia="zh-CN"/>
        </w:rPr>
      </w:pPr>
      <w:r>
        <w:rPr>
          <w:rFonts w:hint="eastAsia" w:ascii="仿宋_GB2312" w:eastAsia="仿宋_GB2312"/>
          <w:color w:val="000000" w:themeColor="text1"/>
          <w:sz w:val="32"/>
          <w:szCs w:val="32"/>
          <w:lang w:eastAsia="zh-CN"/>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lang w:eastAsia="zh-CN"/>
        </w:rPr>
        <w:t>年</w:t>
      </w:r>
      <w:r>
        <w:rPr>
          <w:rFonts w:hint="eastAsia" w:ascii="仿宋_GB2312" w:eastAsia="仿宋_GB2312"/>
          <w:color w:val="000000" w:themeColor="text1"/>
          <w:sz w:val="32"/>
          <w:szCs w:val="32"/>
        </w:rPr>
        <w:t>中共汶川县委党校</w:t>
      </w:r>
      <w:r>
        <w:rPr>
          <w:rFonts w:hint="eastAsia" w:ascii="仿宋_GB2312" w:eastAsia="仿宋_GB2312"/>
          <w:color w:val="000000" w:themeColor="text1"/>
          <w:sz w:val="32"/>
          <w:szCs w:val="32"/>
          <w:lang w:val="en-US" w:eastAsia="zh-CN"/>
        </w:rPr>
        <w:t>申报特定类项目7个，</w:t>
      </w:r>
      <w:r>
        <w:rPr>
          <w:rFonts w:hint="eastAsia" w:ascii="仿宋_GB2312" w:eastAsia="仿宋_GB2312"/>
          <w:color w:val="000000" w:themeColor="text1"/>
          <w:sz w:val="32"/>
          <w:szCs w:val="32"/>
        </w:rPr>
        <w:t>涉及</w:t>
      </w:r>
      <w:r>
        <w:rPr>
          <w:rFonts w:hint="eastAsia" w:ascii="仿宋_GB2312" w:eastAsia="仿宋_GB2312"/>
          <w:color w:val="000000" w:themeColor="text1"/>
          <w:sz w:val="32"/>
          <w:szCs w:val="32"/>
          <w:lang w:val="en-US" w:eastAsia="zh-CN"/>
        </w:rPr>
        <w:t>资金</w:t>
      </w:r>
      <w:r>
        <w:rPr>
          <w:rFonts w:hint="eastAsia" w:ascii="仿宋_GB2312" w:eastAsia="仿宋_GB2312"/>
          <w:color w:val="auto"/>
          <w:sz w:val="32"/>
          <w:szCs w:val="32"/>
          <w:lang w:val="en-US" w:eastAsia="zh-CN"/>
        </w:rPr>
        <w:t>96.40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资金主要用于</w:t>
      </w:r>
      <w:r>
        <w:rPr>
          <w:rFonts w:hint="eastAsia" w:ascii="仿宋_GB2312" w:hAnsi="??" w:eastAsia="仿宋_GB2312" w:cs="宋体"/>
          <w:color w:val="000000" w:themeColor="text1"/>
          <w:kern w:val="0"/>
          <w:sz w:val="32"/>
          <w:szCs w:val="32"/>
        </w:rPr>
        <w:t>映秀爱国主义教育基地软实力建设</w:t>
      </w:r>
      <w:r>
        <w:rPr>
          <w:rFonts w:hint="eastAsia" w:ascii="仿宋_GB2312" w:hAnsi="??" w:eastAsia="仿宋_GB2312" w:cs="宋体"/>
          <w:color w:val="000000" w:themeColor="text1"/>
          <w:kern w:val="0"/>
          <w:sz w:val="32"/>
          <w:szCs w:val="32"/>
          <w:lang w:eastAsia="zh-CN"/>
        </w:rPr>
        <w:t>、</w:t>
      </w:r>
      <w:r>
        <w:rPr>
          <w:rFonts w:hint="eastAsia" w:ascii="仿宋_GB2312" w:hAnsi="??" w:eastAsia="仿宋_GB2312" w:cs="宋体"/>
          <w:color w:val="000000" w:themeColor="text1"/>
          <w:kern w:val="0"/>
          <w:sz w:val="32"/>
          <w:szCs w:val="32"/>
          <w:lang w:val="en-US" w:eastAsia="zh-CN"/>
        </w:rPr>
        <w:t>科研、图书馆建设等，</w:t>
      </w:r>
      <w:r>
        <w:rPr>
          <w:rFonts w:hint="eastAsia" w:ascii="仿宋_GB2312" w:eastAsia="仿宋_GB2312"/>
          <w:color w:val="000000" w:themeColor="text1"/>
          <w:sz w:val="32"/>
          <w:szCs w:val="32"/>
          <w:lang w:val="en-US" w:eastAsia="zh-CN"/>
        </w:rPr>
        <w:t>均按照绩效管理要求，设置了绩效目标。</w:t>
      </w:r>
    </w:p>
    <w:p w14:paraId="3AF32AAF">
      <w:pPr>
        <w:spacing w:line="560" w:lineRule="exact"/>
        <w:ind w:firstLine="640" w:firstLineChars="200"/>
        <w:rPr>
          <w:rFonts w:hint="eastAsia" w:ascii="黑体" w:hAnsi="黑体" w:eastAsia="黑体"/>
          <w:color w:val="000000" w:themeColor="text1"/>
          <w:sz w:val="32"/>
          <w:szCs w:val="32"/>
        </w:rPr>
      </w:pPr>
      <w:r>
        <w:rPr>
          <w:rFonts w:hint="eastAsia" w:ascii="黑体" w:hAnsi="黑体" w:eastAsia="黑体"/>
          <w:color w:val="000000" w:themeColor="text1"/>
          <w:sz w:val="32"/>
          <w:szCs w:val="32"/>
        </w:rPr>
        <w:t>十、名称解释</w:t>
      </w:r>
    </w:p>
    <w:p w14:paraId="71ACAAC9">
      <w:pPr>
        <w:pStyle w:val="12"/>
        <w:spacing w:before="0" w:line="360" w:lineRule="auto"/>
        <w:ind w:firstLine="320" w:firstLineChars="100"/>
        <w:rPr>
          <w:rFonts w:hAnsiTheme="minorHAnsi" w:cstheme="minorBidi"/>
          <w:color w:val="000000" w:themeColor="text1"/>
          <w:kern w:val="2"/>
          <w:sz w:val="32"/>
          <w:szCs w:val="32"/>
        </w:rPr>
      </w:pPr>
      <w:r>
        <w:rPr>
          <w:rFonts w:hAnsiTheme="minorHAnsi" w:cstheme="minorBidi"/>
          <w:color w:val="000000" w:themeColor="text1"/>
          <w:kern w:val="2"/>
          <w:sz w:val="32"/>
          <w:szCs w:val="32"/>
        </w:rPr>
        <w:t>　</w:t>
      </w:r>
      <w:r>
        <w:rPr>
          <w:rFonts w:hint="eastAsia" w:ascii="楷体_GB2312" w:eastAsia="楷体_GB2312" w:hAnsiTheme="minorHAnsi" w:cstheme="minorBidi"/>
          <w:b/>
          <w:color w:val="000000" w:themeColor="text1"/>
          <w:kern w:val="2"/>
          <w:sz w:val="32"/>
          <w:szCs w:val="32"/>
          <w:lang w:val="en-US" w:eastAsia="zh-CN" w:bidi="ar-SA"/>
        </w:rPr>
        <w:t>（一）财政拨款收入</w:t>
      </w:r>
      <w:r>
        <w:rPr>
          <w:rFonts w:hAnsiTheme="minorHAnsi" w:cstheme="minorBidi"/>
          <w:color w:val="000000" w:themeColor="text1"/>
          <w:kern w:val="2"/>
          <w:sz w:val="32"/>
          <w:szCs w:val="32"/>
        </w:rPr>
        <w:t>：指由财政拨款形成的部门收入。按现行管理制度，部门预算中反映的财政拨款仅包括一般公共预算拨款和政府性基金预算拨款。</w:t>
      </w:r>
      <w:r>
        <w:rPr>
          <w:rFonts w:hAnsiTheme="minorHAnsi" w:cstheme="minorBidi"/>
          <w:color w:val="000000" w:themeColor="text1"/>
          <w:kern w:val="2"/>
          <w:sz w:val="32"/>
          <w:szCs w:val="32"/>
        </w:rPr>
        <w:br w:type="textWrapping"/>
      </w:r>
      <w:r>
        <w:rPr>
          <w:rFonts w:hAnsiTheme="minorHAnsi" w:cstheme="minorBidi"/>
          <w:color w:val="000000" w:themeColor="text1"/>
          <w:kern w:val="2"/>
          <w:sz w:val="32"/>
          <w:szCs w:val="32"/>
        </w:rPr>
        <w:t>　</w:t>
      </w:r>
      <w:r>
        <w:rPr>
          <w:rFonts w:hint="eastAsia" w:ascii="楷体_GB2312" w:eastAsia="楷体_GB2312" w:hAnsiTheme="minorHAnsi" w:cstheme="minorBidi"/>
          <w:b/>
          <w:color w:val="000000" w:themeColor="text1"/>
          <w:kern w:val="2"/>
          <w:sz w:val="32"/>
          <w:szCs w:val="32"/>
          <w:lang w:val="en-US" w:eastAsia="zh-CN" w:bidi="ar-SA"/>
        </w:rPr>
        <w:t>　（二）事业收入</w:t>
      </w:r>
      <w:r>
        <w:rPr>
          <w:rFonts w:hAnsiTheme="minorHAnsi" w:cstheme="minorBidi"/>
          <w:color w:val="000000" w:themeColor="text1"/>
          <w:kern w:val="2"/>
          <w:sz w:val="32"/>
          <w:szCs w:val="32"/>
        </w:rPr>
        <w:t>：指所属事业单位开展专业业务活动及辅助活动所取得的收入。</w:t>
      </w:r>
      <w:r>
        <w:rPr>
          <w:rFonts w:hAnsiTheme="minorHAnsi" w:cstheme="minorBidi"/>
          <w:color w:val="000000" w:themeColor="text1"/>
          <w:kern w:val="2"/>
          <w:sz w:val="32"/>
          <w:szCs w:val="32"/>
        </w:rPr>
        <w:br w:type="textWrapping"/>
      </w:r>
      <w:r>
        <w:rPr>
          <w:rFonts w:hAnsiTheme="minorHAnsi" w:cstheme="minorBidi"/>
          <w:color w:val="000000" w:themeColor="text1"/>
          <w:kern w:val="2"/>
          <w:sz w:val="32"/>
          <w:szCs w:val="32"/>
        </w:rPr>
        <w:t>　　</w:t>
      </w:r>
      <w:r>
        <w:rPr>
          <w:rFonts w:hint="eastAsia" w:ascii="楷体_GB2312" w:eastAsia="楷体_GB2312" w:hAnsiTheme="minorHAnsi" w:cstheme="minorBidi"/>
          <w:b/>
          <w:color w:val="000000" w:themeColor="text1"/>
          <w:kern w:val="2"/>
          <w:sz w:val="32"/>
          <w:szCs w:val="32"/>
          <w:lang w:val="en-US" w:eastAsia="zh-CN" w:bidi="ar-SA"/>
        </w:rPr>
        <w:t>（三）事业单位经营收入</w:t>
      </w:r>
      <w:r>
        <w:rPr>
          <w:rFonts w:hAnsiTheme="minorHAnsi" w:cstheme="minorBidi"/>
          <w:color w:val="000000" w:themeColor="text1"/>
          <w:kern w:val="2"/>
          <w:sz w:val="32"/>
          <w:szCs w:val="32"/>
        </w:rPr>
        <w:t>：指所属事业单位在专业业务活动及其辅助活动之外开展非独立核算经营活动取得的收入。</w:t>
      </w:r>
      <w:r>
        <w:rPr>
          <w:rFonts w:hAnsiTheme="minorHAnsi" w:cstheme="minorBidi"/>
          <w:color w:val="000000" w:themeColor="text1"/>
          <w:kern w:val="2"/>
          <w:sz w:val="32"/>
          <w:szCs w:val="32"/>
        </w:rPr>
        <w:br w:type="textWrapping"/>
      </w:r>
      <w:r>
        <w:rPr>
          <w:rFonts w:hAnsiTheme="minorHAnsi" w:cstheme="minorBidi"/>
          <w:color w:val="000000" w:themeColor="text1"/>
          <w:kern w:val="2"/>
          <w:sz w:val="32"/>
          <w:szCs w:val="32"/>
        </w:rPr>
        <w:t>　　</w:t>
      </w:r>
      <w:r>
        <w:rPr>
          <w:rFonts w:hint="eastAsia" w:ascii="楷体_GB2312" w:eastAsia="楷体_GB2312" w:hAnsiTheme="minorHAnsi" w:cstheme="minorBidi"/>
          <w:b/>
          <w:color w:val="000000" w:themeColor="text1"/>
          <w:kern w:val="2"/>
          <w:sz w:val="32"/>
          <w:szCs w:val="32"/>
          <w:lang w:val="en-US" w:eastAsia="zh-CN" w:bidi="ar-SA"/>
        </w:rPr>
        <w:t>（四）其他收入</w:t>
      </w:r>
      <w:r>
        <w:rPr>
          <w:rFonts w:hAnsiTheme="minorHAnsi" w:cstheme="minorBidi"/>
          <w:color w:val="000000" w:themeColor="text1"/>
          <w:kern w:val="2"/>
          <w:sz w:val="32"/>
          <w:szCs w:val="32"/>
        </w:rPr>
        <w:t>：指除上述</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财政拨款收入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事业收入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事业单位经营收入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等以外的收入，主要是所属行政事业单位按规定动用的售房收入、存款利息收入等。</w:t>
      </w:r>
      <w:r>
        <w:rPr>
          <w:rFonts w:hAnsiTheme="minorHAnsi" w:cstheme="minorBidi"/>
          <w:color w:val="000000" w:themeColor="text1"/>
          <w:kern w:val="2"/>
          <w:sz w:val="32"/>
          <w:szCs w:val="32"/>
        </w:rPr>
        <w:br w:type="textWrapping"/>
      </w:r>
      <w:r>
        <w:rPr>
          <w:rFonts w:hAnsiTheme="minorHAnsi" w:cstheme="minorBidi"/>
          <w:color w:val="000000" w:themeColor="text1"/>
          <w:kern w:val="2"/>
          <w:sz w:val="32"/>
          <w:szCs w:val="32"/>
        </w:rPr>
        <w:t>　　</w:t>
      </w:r>
      <w:r>
        <w:rPr>
          <w:rFonts w:hint="eastAsia" w:ascii="楷体_GB2312" w:eastAsia="楷体_GB2312" w:hAnsiTheme="minorHAnsi" w:cstheme="minorBidi"/>
          <w:b/>
          <w:color w:val="000000" w:themeColor="text1"/>
          <w:kern w:val="2"/>
          <w:sz w:val="32"/>
          <w:szCs w:val="32"/>
          <w:lang w:val="en-US" w:eastAsia="zh-CN" w:bidi="ar-SA"/>
        </w:rPr>
        <w:t>（五）用事业基金弥补收支差额</w:t>
      </w:r>
      <w:r>
        <w:rPr>
          <w:rFonts w:hAnsiTheme="minorHAnsi" w:cstheme="minorBidi"/>
          <w:color w:val="000000" w:themeColor="text1"/>
          <w:kern w:val="2"/>
          <w:sz w:val="32"/>
          <w:szCs w:val="32"/>
        </w:rPr>
        <w:t>：指所属事业单位在预计用当年的</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财政拨款收入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事业收入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事业单位经营收入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其他收入</w:t>
      </w:r>
      <w:r>
        <w:rPr>
          <w:rFonts w:hint="eastAsia" w:hAnsiTheme="minorHAnsi" w:cstheme="minorBidi"/>
          <w:color w:val="000000" w:themeColor="text1"/>
          <w:kern w:val="2"/>
          <w:sz w:val="32"/>
          <w:szCs w:val="32"/>
          <w:lang w:eastAsia="zh-CN"/>
        </w:rPr>
        <w:t>”</w:t>
      </w:r>
      <w:r>
        <w:rPr>
          <w:rFonts w:hAnsiTheme="minorHAnsi" w:cstheme="minorBidi"/>
          <w:color w:val="000000" w:themeColor="text1"/>
          <w:kern w:val="2"/>
          <w:sz w:val="32"/>
          <w:szCs w:val="32"/>
        </w:rPr>
        <w:t>不足以安排当年支出的情况下，使用以前年度积累的事业基金弥补本年度收支缺口的资金。</w:t>
      </w:r>
      <w:r>
        <w:rPr>
          <w:rFonts w:hAnsiTheme="minorHAnsi" w:cstheme="minorBidi"/>
          <w:color w:val="000000" w:themeColor="text1"/>
          <w:kern w:val="2"/>
          <w:sz w:val="32"/>
          <w:szCs w:val="32"/>
        </w:rPr>
        <w:br w:type="textWrapping"/>
      </w:r>
      <w:r>
        <w:rPr>
          <w:rFonts w:hAnsiTheme="minorHAnsi" w:cstheme="minorBidi"/>
          <w:color w:val="000000" w:themeColor="text1"/>
          <w:kern w:val="2"/>
          <w:sz w:val="32"/>
          <w:szCs w:val="32"/>
        </w:rPr>
        <w:t>　</w:t>
      </w:r>
      <w:r>
        <w:rPr>
          <w:rFonts w:hint="eastAsia" w:ascii="楷体_GB2312" w:eastAsia="楷体_GB2312" w:hAnsiTheme="minorHAnsi" w:cstheme="minorBidi"/>
          <w:b/>
          <w:color w:val="000000" w:themeColor="text1"/>
          <w:kern w:val="2"/>
          <w:sz w:val="32"/>
          <w:szCs w:val="32"/>
          <w:lang w:val="en-US" w:eastAsia="zh-CN" w:bidi="ar-SA"/>
        </w:rPr>
        <w:t>　（六）上年结转</w:t>
      </w:r>
      <w:r>
        <w:rPr>
          <w:rFonts w:hAnsiTheme="minorHAnsi" w:cstheme="minorBidi"/>
          <w:color w:val="000000" w:themeColor="text1"/>
          <w:kern w:val="2"/>
          <w:sz w:val="32"/>
          <w:szCs w:val="32"/>
        </w:rPr>
        <w:t>：指所属行政事业单位以前年度尚未完成、结转至本年按原规定用途继续使用的资金和以前年度已完成项目剩余资金经批准用于新用途使用的资金。</w:t>
      </w:r>
    </w:p>
    <w:p w14:paraId="76881B3C">
      <w:pPr>
        <w:rPr>
          <w:rFonts w:ascii="黑体" w:hAnsi="黑体" w:eastAsia="黑体"/>
          <w:color w:val="000000" w:themeColor="text1"/>
          <w:sz w:val="32"/>
          <w:szCs w:val="32"/>
        </w:rPr>
      </w:pPr>
    </w:p>
    <w:p w14:paraId="30D84AF3">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3216C3C0">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3E291B05">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6811A168">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297BE57E">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7B8F6BF8">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39BABA4C">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38DF4A4C">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3FBE8D4F">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0496572E">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09E6CE46">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p w14:paraId="5A4F944C">
      <w:pPr>
        <w:widowControl/>
        <w:shd w:val="clear" w:color="auto" w:fill="FFFFFF"/>
        <w:spacing w:before="100" w:beforeAutospacing="1" w:after="100" w:afterAutospacing="1" w:line="290" w:lineRule="atLeast"/>
        <w:ind w:right="300"/>
        <w:jc w:val="left"/>
        <w:rPr>
          <w:rFonts w:hint="eastAsia" w:ascii="ˎ̥" w:hAnsi="ˎ̥" w:eastAsia="宋体" w:cs="宋体"/>
          <w:color w:val="000000" w:themeColor="text1"/>
          <w:kern w:val="0"/>
          <w:sz w:val="12"/>
          <w:szCs w:val="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60665">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207F998">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06B35"/>
    <w:rsid w:val="000442C4"/>
    <w:rsid w:val="00052747"/>
    <w:rsid w:val="00085137"/>
    <w:rsid w:val="00094FDA"/>
    <w:rsid w:val="000A2A0A"/>
    <w:rsid w:val="000C0B63"/>
    <w:rsid w:val="000D2026"/>
    <w:rsid w:val="001031A7"/>
    <w:rsid w:val="001039F4"/>
    <w:rsid w:val="001064E6"/>
    <w:rsid w:val="00122067"/>
    <w:rsid w:val="00131909"/>
    <w:rsid w:val="00150657"/>
    <w:rsid w:val="001531C7"/>
    <w:rsid w:val="0017095C"/>
    <w:rsid w:val="001759A6"/>
    <w:rsid w:val="001863C1"/>
    <w:rsid w:val="001C24B9"/>
    <w:rsid w:val="001C61A5"/>
    <w:rsid w:val="001F0BD0"/>
    <w:rsid w:val="001F7024"/>
    <w:rsid w:val="00221353"/>
    <w:rsid w:val="00230753"/>
    <w:rsid w:val="002371C1"/>
    <w:rsid w:val="00243BAF"/>
    <w:rsid w:val="00257CD9"/>
    <w:rsid w:val="00260E80"/>
    <w:rsid w:val="00270D46"/>
    <w:rsid w:val="00287E18"/>
    <w:rsid w:val="002B746A"/>
    <w:rsid w:val="002C3A7B"/>
    <w:rsid w:val="002D3EF4"/>
    <w:rsid w:val="002E3A0B"/>
    <w:rsid w:val="002F03F3"/>
    <w:rsid w:val="0031711C"/>
    <w:rsid w:val="00352854"/>
    <w:rsid w:val="003762A5"/>
    <w:rsid w:val="00382F79"/>
    <w:rsid w:val="003935D9"/>
    <w:rsid w:val="003A00F1"/>
    <w:rsid w:val="003A6935"/>
    <w:rsid w:val="003D2C94"/>
    <w:rsid w:val="003E6938"/>
    <w:rsid w:val="00403F01"/>
    <w:rsid w:val="004073AD"/>
    <w:rsid w:val="004150C8"/>
    <w:rsid w:val="00420C6B"/>
    <w:rsid w:val="004437A2"/>
    <w:rsid w:val="00461B20"/>
    <w:rsid w:val="00473FE8"/>
    <w:rsid w:val="004771D5"/>
    <w:rsid w:val="004C1795"/>
    <w:rsid w:val="004D28E5"/>
    <w:rsid w:val="005047BE"/>
    <w:rsid w:val="00505D3A"/>
    <w:rsid w:val="00514A51"/>
    <w:rsid w:val="0053166D"/>
    <w:rsid w:val="005350B6"/>
    <w:rsid w:val="005400D7"/>
    <w:rsid w:val="00555D36"/>
    <w:rsid w:val="00573217"/>
    <w:rsid w:val="00581682"/>
    <w:rsid w:val="005B0262"/>
    <w:rsid w:val="005C115E"/>
    <w:rsid w:val="005C4B2E"/>
    <w:rsid w:val="005C5B07"/>
    <w:rsid w:val="005E2778"/>
    <w:rsid w:val="005F2B67"/>
    <w:rsid w:val="0061635D"/>
    <w:rsid w:val="00620516"/>
    <w:rsid w:val="00624955"/>
    <w:rsid w:val="00630122"/>
    <w:rsid w:val="006313AF"/>
    <w:rsid w:val="00641462"/>
    <w:rsid w:val="0064184D"/>
    <w:rsid w:val="00655518"/>
    <w:rsid w:val="00656971"/>
    <w:rsid w:val="00667ED7"/>
    <w:rsid w:val="006806C1"/>
    <w:rsid w:val="006B4E6F"/>
    <w:rsid w:val="006B668E"/>
    <w:rsid w:val="006C6DAC"/>
    <w:rsid w:val="006C7A6D"/>
    <w:rsid w:val="006D1CEF"/>
    <w:rsid w:val="006D34B9"/>
    <w:rsid w:val="006F5114"/>
    <w:rsid w:val="0073459B"/>
    <w:rsid w:val="00741F22"/>
    <w:rsid w:val="0074260A"/>
    <w:rsid w:val="00747972"/>
    <w:rsid w:val="00765BC5"/>
    <w:rsid w:val="0077464C"/>
    <w:rsid w:val="00797C12"/>
    <w:rsid w:val="007B3677"/>
    <w:rsid w:val="007B518E"/>
    <w:rsid w:val="007C0EA4"/>
    <w:rsid w:val="007C7B3B"/>
    <w:rsid w:val="007D2ABB"/>
    <w:rsid w:val="007D6A2E"/>
    <w:rsid w:val="00814DAB"/>
    <w:rsid w:val="00841F35"/>
    <w:rsid w:val="00845BEC"/>
    <w:rsid w:val="008476B1"/>
    <w:rsid w:val="0087578C"/>
    <w:rsid w:val="008861F0"/>
    <w:rsid w:val="00886749"/>
    <w:rsid w:val="008871BC"/>
    <w:rsid w:val="008A33F7"/>
    <w:rsid w:val="008A44D9"/>
    <w:rsid w:val="008B66E7"/>
    <w:rsid w:val="008D148B"/>
    <w:rsid w:val="008E12BB"/>
    <w:rsid w:val="008F63EB"/>
    <w:rsid w:val="00900D6C"/>
    <w:rsid w:val="00917C4F"/>
    <w:rsid w:val="00925CB8"/>
    <w:rsid w:val="00942899"/>
    <w:rsid w:val="00953798"/>
    <w:rsid w:val="009578F6"/>
    <w:rsid w:val="00964916"/>
    <w:rsid w:val="00965137"/>
    <w:rsid w:val="009668AD"/>
    <w:rsid w:val="00970286"/>
    <w:rsid w:val="00975594"/>
    <w:rsid w:val="00982B9B"/>
    <w:rsid w:val="00987B5A"/>
    <w:rsid w:val="009950D4"/>
    <w:rsid w:val="009A25DB"/>
    <w:rsid w:val="009B2314"/>
    <w:rsid w:val="009C5E33"/>
    <w:rsid w:val="009E2378"/>
    <w:rsid w:val="009E46B3"/>
    <w:rsid w:val="009E6B8C"/>
    <w:rsid w:val="00A04415"/>
    <w:rsid w:val="00A11CED"/>
    <w:rsid w:val="00A17514"/>
    <w:rsid w:val="00A23F3E"/>
    <w:rsid w:val="00A53245"/>
    <w:rsid w:val="00A65117"/>
    <w:rsid w:val="00A70F3A"/>
    <w:rsid w:val="00A90220"/>
    <w:rsid w:val="00A94225"/>
    <w:rsid w:val="00AB6FB8"/>
    <w:rsid w:val="00AB7A39"/>
    <w:rsid w:val="00AD4CA0"/>
    <w:rsid w:val="00AE0838"/>
    <w:rsid w:val="00AE0C71"/>
    <w:rsid w:val="00AE3BA0"/>
    <w:rsid w:val="00B124EF"/>
    <w:rsid w:val="00B15FB3"/>
    <w:rsid w:val="00B17EA9"/>
    <w:rsid w:val="00B21764"/>
    <w:rsid w:val="00B310AE"/>
    <w:rsid w:val="00B3796E"/>
    <w:rsid w:val="00B5377D"/>
    <w:rsid w:val="00B610BD"/>
    <w:rsid w:val="00B62000"/>
    <w:rsid w:val="00B7290F"/>
    <w:rsid w:val="00B8583E"/>
    <w:rsid w:val="00B8667E"/>
    <w:rsid w:val="00B954BE"/>
    <w:rsid w:val="00BA7DD3"/>
    <w:rsid w:val="00BD0B4F"/>
    <w:rsid w:val="00BD1DD3"/>
    <w:rsid w:val="00BD657B"/>
    <w:rsid w:val="00BD6EB0"/>
    <w:rsid w:val="00BF3494"/>
    <w:rsid w:val="00C04818"/>
    <w:rsid w:val="00C330B6"/>
    <w:rsid w:val="00C418D8"/>
    <w:rsid w:val="00C4665E"/>
    <w:rsid w:val="00C476AD"/>
    <w:rsid w:val="00C51C41"/>
    <w:rsid w:val="00C60D98"/>
    <w:rsid w:val="00C6146A"/>
    <w:rsid w:val="00C73F22"/>
    <w:rsid w:val="00C8183B"/>
    <w:rsid w:val="00C82D81"/>
    <w:rsid w:val="00C83D15"/>
    <w:rsid w:val="00C972C9"/>
    <w:rsid w:val="00CB080B"/>
    <w:rsid w:val="00CB6D0A"/>
    <w:rsid w:val="00CC25E7"/>
    <w:rsid w:val="00CD1A99"/>
    <w:rsid w:val="00CF66E6"/>
    <w:rsid w:val="00CF743D"/>
    <w:rsid w:val="00D00BD0"/>
    <w:rsid w:val="00D0201B"/>
    <w:rsid w:val="00D02465"/>
    <w:rsid w:val="00D051BA"/>
    <w:rsid w:val="00D06D78"/>
    <w:rsid w:val="00D1229E"/>
    <w:rsid w:val="00D1280B"/>
    <w:rsid w:val="00D21C97"/>
    <w:rsid w:val="00D22091"/>
    <w:rsid w:val="00D22494"/>
    <w:rsid w:val="00D30510"/>
    <w:rsid w:val="00D805A6"/>
    <w:rsid w:val="00D8500F"/>
    <w:rsid w:val="00D90372"/>
    <w:rsid w:val="00DB12F9"/>
    <w:rsid w:val="00DB25ED"/>
    <w:rsid w:val="00DE1561"/>
    <w:rsid w:val="00DE15D2"/>
    <w:rsid w:val="00E07C57"/>
    <w:rsid w:val="00E117C0"/>
    <w:rsid w:val="00E261F5"/>
    <w:rsid w:val="00E41590"/>
    <w:rsid w:val="00E666EF"/>
    <w:rsid w:val="00E75846"/>
    <w:rsid w:val="00EA76B3"/>
    <w:rsid w:val="00EB370F"/>
    <w:rsid w:val="00EB5AFC"/>
    <w:rsid w:val="00ED0FD4"/>
    <w:rsid w:val="00EE5ABD"/>
    <w:rsid w:val="00EE61A8"/>
    <w:rsid w:val="00F21E09"/>
    <w:rsid w:val="00F34FD9"/>
    <w:rsid w:val="00F40C09"/>
    <w:rsid w:val="00F50EDD"/>
    <w:rsid w:val="00F743F0"/>
    <w:rsid w:val="00F82D9D"/>
    <w:rsid w:val="00F970DA"/>
    <w:rsid w:val="00FA49C8"/>
    <w:rsid w:val="00FB3489"/>
    <w:rsid w:val="00FB3D67"/>
    <w:rsid w:val="00FB436A"/>
    <w:rsid w:val="00FE461B"/>
    <w:rsid w:val="00FE4D0F"/>
    <w:rsid w:val="00FF11B9"/>
    <w:rsid w:val="00FF4835"/>
    <w:rsid w:val="00FF6A4C"/>
    <w:rsid w:val="01B24AFD"/>
    <w:rsid w:val="01F90CAD"/>
    <w:rsid w:val="02922C89"/>
    <w:rsid w:val="03345AEF"/>
    <w:rsid w:val="0341020B"/>
    <w:rsid w:val="05922FA0"/>
    <w:rsid w:val="0675556D"/>
    <w:rsid w:val="06C07699"/>
    <w:rsid w:val="08297BEC"/>
    <w:rsid w:val="08602DD3"/>
    <w:rsid w:val="08876B0D"/>
    <w:rsid w:val="09317BC9"/>
    <w:rsid w:val="09B47989"/>
    <w:rsid w:val="0A522CFE"/>
    <w:rsid w:val="0A7E1D45"/>
    <w:rsid w:val="0B2C19BD"/>
    <w:rsid w:val="0C000C64"/>
    <w:rsid w:val="0D5C45C0"/>
    <w:rsid w:val="0D957AD2"/>
    <w:rsid w:val="0DBA12E6"/>
    <w:rsid w:val="0DEA1BCB"/>
    <w:rsid w:val="0F4470B9"/>
    <w:rsid w:val="0F51793C"/>
    <w:rsid w:val="0F611659"/>
    <w:rsid w:val="125E4936"/>
    <w:rsid w:val="139B74C4"/>
    <w:rsid w:val="139D1924"/>
    <w:rsid w:val="14881128"/>
    <w:rsid w:val="15455939"/>
    <w:rsid w:val="16223ECC"/>
    <w:rsid w:val="1628375A"/>
    <w:rsid w:val="18133ACD"/>
    <w:rsid w:val="18E23ED6"/>
    <w:rsid w:val="18F54FAA"/>
    <w:rsid w:val="193559DC"/>
    <w:rsid w:val="19AD1CFF"/>
    <w:rsid w:val="1B2B6997"/>
    <w:rsid w:val="1B502C32"/>
    <w:rsid w:val="1BD21EF1"/>
    <w:rsid w:val="1D1272B8"/>
    <w:rsid w:val="1D9C6312"/>
    <w:rsid w:val="1DEE237B"/>
    <w:rsid w:val="1E641526"/>
    <w:rsid w:val="1ED63AA6"/>
    <w:rsid w:val="1F680FFB"/>
    <w:rsid w:val="20645889"/>
    <w:rsid w:val="22550BDA"/>
    <w:rsid w:val="22A068A5"/>
    <w:rsid w:val="2393640A"/>
    <w:rsid w:val="24280900"/>
    <w:rsid w:val="25203CCD"/>
    <w:rsid w:val="25BD776E"/>
    <w:rsid w:val="25E20F82"/>
    <w:rsid w:val="27983FEE"/>
    <w:rsid w:val="285C326E"/>
    <w:rsid w:val="29D84B76"/>
    <w:rsid w:val="2A5E32CD"/>
    <w:rsid w:val="2B4A6FB7"/>
    <w:rsid w:val="2BE8413E"/>
    <w:rsid w:val="2C363DD6"/>
    <w:rsid w:val="2CDD4252"/>
    <w:rsid w:val="2D145EC5"/>
    <w:rsid w:val="2D297497"/>
    <w:rsid w:val="2D6D7CCB"/>
    <w:rsid w:val="2E156399"/>
    <w:rsid w:val="2E2C69E4"/>
    <w:rsid w:val="2FD8767E"/>
    <w:rsid w:val="305E56A9"/>
    <w:rsid w:val="30E20088"/>
    <w:rsid w:val="328F2071"/>
    <w:rsid w:val="34833930"/>
    <w:rsid w:val="348F0527"/>
    <w:rsid w:val="36545584"/>
    <w:rsid w:val="37070849"/>
    <w:rsid w:val="38F92413"/>
    <w:rsid w:val="39337686"/>
    <w:rsid w:val="399D7648"/>
    <w:rsid w:val="3A19526E"/>
    <w:rsid w:val="3A6B7341"/>
    <w:rsid w:val="3B4734EC"/>
    <w:rsid w:val="3CCE7ECE"/>
    <w:rsid w:val="3D204A2C"/>
    <w:rsid w:val="3D2739F3"/>
    <w:rsid w:val="3D344362"/>
    <w:rsid w:val="3E3A62CF"/>
    <w:rsid w:val="3E7E3AE6"/>
    <w:rsid w:val="3E921340"/>
    <w:rsid w:val="3F8A0269"/>
    <w:rsid w:val="4016502D"/>
    <w:rsid w:val="40D40856"/>
    <w:rsid w:val="41F50A33"/>
    <w:rsid w:val="424E1A22"/>
    <w:rsid w:val="42D55C9F"/>
    <w:rsid w:val="43DD4E0B"/>
    <w:rsid w:val="43F16B09"/>
    <w:rsid w:val="43FC6A95"/>
    <w:rsid w:val="449D459A"/>
    <w:rsid w:val="45124F88"/>
    <w:rsid w:val="45CA7611"/>
    <w:rsid w:val="463D6035"/>
    <w:rsid w:val="46506CEC"/>
    <w:rsid w:val="46F030A7"/>
    <w:rsid w:val="477733B9"/>
    <w:rsid w:val="47A22AD5"/>
    <w:rsid w:val="47AA14A8"/>
    <w:rsid w:val="484F02A2"/>
    <w:rsid w:val="48F0738F"/>
    <w:rsid w:val="496D6C31"/>
    <w:rsid w:val="49B06B1E"/>
    <w:rsid w:val="4B771FE9"/>
    <w:rsid w:val="4BB5041C"/>
    <w:rsid w:val="4BD25472"/>
    <w:rsid w:val="4C07336D"/>
    <w:rsid w:val="4C3103EA"/>
    <w:rsid w:val="4C983FC5"/>
    <w:rsid w:val="4D096C71"/>
    <w:rsid w:val="4D0C050F"/>
    <w:rsid w:val="4D4C3002"/>
    <w:rsid w:val="4D53613E"/>
    <w:rsid w:val="4D665E71"/>
    <w:rsid w:val="4DF9241F"/>
    <w:rsid w:val="4E197388"/>
    <w:rsid w:val="4EEF4EC0"/>
    <w:rsid w:val="4FDC0F3A"/>
    <w:rsid w:val="505A77E4"/>
    <w:rsid w:val="510F05CE"/>
    <w:rsid w:val="52456C21"/>
    <w:rsid w:val="525E180D"/>
    <w:rsid w:val="53C51418"/>
    <w:rsid w:val="5441014C"/>
    <w:rsid w:val="54505185"/>
    <w:rsid w:val="545D5AF4"/>
    <w:rsid w:val="548D0188"/>
    <w:rsid w:val="5512068D"/>
    <w:rsid w:val="5520724E"/>
    <w:rsid w:val="58FC3B2E"/>
    <w:rsid w:val="5B0E18F6"/>
    <w:rsid w:val="5D6D4FFA"/>
    <w:rsid w:val="5DC11D63"/>
    <w:rsid w:val="5E455DA7"/>
    <w:rsid w:val="5F0674B4"/>
    <w:rsid w:val="5F1F2324"/>
    <w:rsid w:val="5F4578E7"/>
    <w:rsid w:val="5FC367C7"/>
    <w:rsid w:val="60363DC9"/>
    <w:rsid w:val="60AE7E03"/>
    <w:rsid w:val="60FF065F"/>
    <w:rsid w:val="61291238"/>
    <w:rsid w:val="634265E1"/>
    <w:rsid w:val="63DF2257"/>
    <w:rsid w:val="64370110"/>
    <w:rsid w:val="643A042B"/>
    <w:rsid w:val="653E102A"/>
    <w:rsid w:val="65752C9E"/>
    <w:rsid w:val="690A5DF3"/>
    <w:rsid w:val="69855479"/>
    <w:rsid w:val="69927EB9"/>
    <w:rsid w:val="6A3F2944"/>
    <w:rsid w:val="6BD759D2"/>
    <w:rsid w:val="6C1A459F"/>
    <w:rsid w:val="6C8574C7"/>
    <w:rsid w:val="6FCB2761"/>
    <w:rsid w:val="706E71F6"/>
    <w:rsid w:val="70EC3F3B"/>
    <w:rsid w:val="715F4802"/>
    <w:rsid w:val="716B31A7"/>
    <w:rsid w:val="71CA25C3"/>
    <w:rsid w:val="71E52F59"/>
    <w:rsid w:val="71EC078C"/>
    <w:rsid w:val="74546174"/>
    <w:rsid w:val="74B530B7"/>
    <w:rsid w:val="779266CD"/>
    <w:rsid w:val="77CB6F6A"/>
    <w:rsid w:val="780B56E4"/>
    <w:rsid w:val="79200D1B"/>
    <w:rsid w:val="7A2465E9"/>
    <w:rsid w:val="7A543372"/>
    <w:rsid w:val="7B1623D5"/>
    <w:rsid w:val="7BD0027A"/>
    <w:rsid w:val="7C1D2C2F"/>
    <w:rsid w:val="7CBB1486"/>
    <w:rsid w:val="7DC425BD"/>
    <w:rsid w:val="7E0B01EB"/>
    <w:rsid w:val="7E153B4B"/>
    <w:rsid w:val="7EF62DE2"/>
    <w:rsid w:val="7EFE5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semiHidden/>
    <w:unhideWhenUsed/>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3">
    <w:name w:val="toc 5"/>
    <w:basedOn w:val="1"/>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 w:type="paragraph" w:styleId="4">
    <w:name w:val="Normal Indent"/>
    <w:basedOn w:val="1"/>
    <w:qFormat/>
    <w:uiPriority w:val="0"/>
    <w:pPr>
      <w:ind w:firstLine="420"/>
    </w:pPr>
    <w:rPr>
      <w:rFonts w:ascii="Times New Roman" w:hAnsi="Times New Roman" w:eastAsia="宋体" w:cs="Times New Roman"/>
    </w:r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Emphasis"/>
    <w:basedOn w:val="8"/>
    <w:qFormat/>
    <w:uiPriority w:val="20"/>
  </w:style>
  <w:style w:type="character" w:customStyle="1" w:styleId="10">
    <w:name w:val="页眉 Char"/>
    <w:basedOn w:val="8"/>
    <w:link w:val="6"/>
    <w:semiHidden/>
    <w:qFormat/>
    <w:uiPriority w:val="99"/>
    <w:rPr>
      <w:sz w:val="18"/>
      <w:szCs w:val="18"/>
    </w:rPr>
  </w:style>
  <w:style w:type="character" w:customStyle="1" w:styleId="11">
    <w:name w:val="页脚 Char"/>
    <w:basedOn w:val="8"/>
    <w:link w:val="5"/>
    <w:semiHidden/>
    <w:qFormat/>
    <w:uiPriority w:val="99"/>
    <w:rPr>
      <w:sz w:val="18"/>
      <w:szCs w:val="18"/>
    </w:rPr>
  </w:style>
  <w:style w:type="paragraph" w:customStyle="1" w:styleId="12">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3">
    <w:name w:val="默认段落字体1"/>
    <w:qFormat/>
    <w:uiPriority w:val="0"/>
    <w:rPr>
      <w:sz w:val="22"/>
    </w:rPr>
  </w:style>
  <w:style w:type="paragraph" w:styleId="14">
    <w:name w:val="List Paragraph"/>
    <w:basedOn w:val="1"/>
    <w:qFormat/>
    <w:uiPriority w:val="34"/>
    <w:pPr>
      <w:ind w:firstLine="420" w:firstLineChars="200"/>
    </w:pPr>
  </w:style>
  <w:style w:type="character" w:customStyle="1" w:styleId="15">
    <w:name w:val="正文文本 Char"/>
    <w:basedOn w:val="8"/>
    <w:link w:val="2"/>
    <w:semiHidden/>
    <w:qFormat/>
    <w:uiPriority w:val="99"/>
    <w:rPr>
      <w:rFonts w:ascii="宋体" w:hAnsi="宋体" w:eastAsia="宋体" w:cs="宋体"/>
      <w:color w:val="000000"/>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3835</Words>
  <Characters>4236</Characters>
  <Lines>39</Lines>
  <Paragraphs>11</Paragraphs>
  <TotalTime>7</TotalTime>
  <ScaleCrop>false</ScaleCrop>
  <LinksUpToDate>false</LinksUpToDate>
  <CharactersWithSpaces>4279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凌寒暗香</cp:lastModifiedBy>
  <dcterms:modified xsi:type="dcterms:W3CDTF">2026-02-04T13:29:01Z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eyJoZGlkIjoiNDQ5MDM3ODA5NGMwZmU5NWM1ZmVkZTg5NmRlOGY4NmQiLCJ1c2VySWQiOiI3MjE4MjU1MzUifQ==</vt:lpwstr>
  </property>
  <property fmtid="{D5CDD505-2E9C-101B-9397-08002B2CF9AE}" pid="3" name="KSOProductBuildVer">
    <vt:lpwstr>2052-12.1.0.24657</vt:lpwstr>
  </property>
  <property fmtid="{D5CDD505-2E9C-101B-9397-08002B2CF9AE}" pid="4" name="ICV">
    <vt:lpwstr>EBF79E2123DA44C2BBC9FC156A631973_12</vt:lpwstr>
  </property>
</Properties>
</file>