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240" w:lineRule="auto"/>
        <w:ind w:left="0" w:right="0" w:firstLine="0"/>
        <w:rPr>
          <w:rFonts w:ascii="Calibri" w:hAnsi="Calibri"/>
          <w:b w:val="0"/>
          <w:bCs w:val="0"/>
          <w:i w:val="0"/>
          <w:iCs w:val="0"/>
          <w:caps w:val="0"/>
          <w:smallCaps w:val="0"/>
          <w:vanish w:val="0"/>
          <w:color w:val="000000"/>
          <w:spacing w:val="0"/>
          <w:sz w:val="21"/>
          <w:szCs w:val="21"/>
        </w:rPr>
      </w:pPr>
      <w:r>
        <w:rPr>
          <w:rFonts w:ascii="Calibri" w:hAnsi="Calibri"/>
          <w:b w:val="0"/>
          <w:bCs w:val="0"/>
          <w:i w:val="0"/>
          <w:iCs w:val="0"/>
          <w:caps w:val="0"/>
          <w:smallCaps w:val="0"/>
          <w:vanish w:val="0"/>
          <w:color w:val="auto"/>
          <w:spacing w:val="0"/>
          <w:sz w:val="21"/>
          <w:szCs w:val="21"/>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240" w:lineRule="auto"/>
        <w:ind w:left="0" w:right="0" w:firstLine="0"/>
        <w:rPr>
          <w:rFonts w:ascii="Calibri" w:hAnsi="Calibri"/>
          <w:b w:val="0"/>
          <w:bCs w:val="0"/>
          <w:i w:val="0"/>
          <w:iCs w:val="0"/>
          <w:caps w:val="0"/>
          <w:smallCaps w:val="0"/>
          <w:vanish w:val="0"/>
          <w:color w:val="000000"/>
          <w:spacing w:val="0"/>
          <w:sz w:val="21"/>
          <w:szCs w:val="21"/>
        </w:rPr>
      </w:pPr>
      <w:r>
        <w:rPr>
          <w:rFonts w:ascii="Calibri" w:hAnsi="Calibri"/>
          <w:b w:val="0"/>
          <w:bCs w:val="0"/>
          <w:i w:val="0"/>
          <w:iCs w:val="0"/>
          <w:caps w:val="0"/>
          <w:smallCaps w:val="0"/>
          <w:vanish w:val="0"/>
          <w:color w:val="auto"/>
          <w:spacing w:val="0"/>
          <w:sz w:val="21"/>
          <w:szCs w:val="21"/>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240" w:lineRule="auto"/>
        <w:ind w:left="0" w:right="0" w:firstLine="0"/>
        <w:rPr>
          <w:rFonts w:ascii="Calibri" w:hAnsi="Calibri"/>
          <w:b w:val="0"/>
          <w:bCs w:val="0"/>
          <w:i w:val="0"/>
          <w:iCs w:val="0"/>
          <w:caps w:val="0"/>
          <w:smallCaps w:val="0"/>
          <w:vanish w:val="0"/>
          <w:color w:val="000000"/>
          <w:spacing w:val="0"/>
          <w:sz w:val="21"/>
          <w:szCs w:val="21"/>
        </w:rPr>
      </w:pPr>
      <w:r>
        <w:rPr>
          <w:rFonts w:ascii="Calibri" w:hAnsi="Calibri"/>
          <w:b w:val="0"/>
          <w:bCs w:val="0"/>
          <w:i w:val="0"/>
          <w:iCs w:val="0"/>
          <w:caps w:val="0"/>
          <w:smallCaps w:val="0"/>
          <w:vanish w:val="0"/>
          <w:color w:val="auto"/>
          <w:spacing w:val="0"/>
          <w:sz w:val="21"/>
          <w:szCs w:val="21"/>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240" w:lineRule="auto"/>
        <w:ind w:left="0" w:right="0" w:firstLine="0"/>
        <w:rPr>
          <w:rFonts w:ascii="Calibri" w:hAnsi="Calibri"/>
          <w:b w:val="0"/>
          <w:bCs w:val="0"/>
          <w:i w:val="0"/>
          <w:iCs w:val="0"/>
          <w:caps w:val="0"/>
          <w:smallCaps w:val="0"/>
          <w:vanish w:val="0"/>
          <w:color w:val="000000"/>
          <w:spacing w:val="0"/>
          <w:sz w:val="21"/>
          <w:szCs w:val="21"/>
        </w:rPr>
      </w:pPr>
      <w:r>
        <w:rPr>
          <w:rFonts w:ascii="Calibri" w:hAnsi="Calibri"/>
          <w:b w:val="0"/>
          <w:bCs w:val="0"/>
          <w:i w:val="0"/>
          <w:iCs w:val="0"/>
          <w:caps w:val="0"/>
          <w:smallCaps w:val="0"/>
          <w:vanish w:val="0"/>
          <w:color w:val="auto"/>
          <w:spacing w:val="0"/>
          <w:sz w:val="21"/>
          <w:szCs w:val="21"/>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240" w:lineRule="auto"/>
        <w:ind w:left="0" w:right="0" w:firstLine="1050"/>
        <w:rPr>
          <w:rFonts w:ascii="Calibri" w:hAnsi="Calibri"/>
          <w:b w:val="0"/>
          <w:bCs w:val="0"/>
          <w:i w:val="0"/>
          <w:iCs w:val="0"/>
          <w:caps w:val="0"/>
          <w:smallCaps w:val="0"/>
          <w:vanish w:val="0"/>
          <w:color w:val="000000"/>
          <w:spacing w:val="0"/>
          <w:sz w:val="21"/>
          <w:szCs w:val="21"/>
        </w:rPr>
      </w:pPr>
      <w:r>
        <w:rPr>
          <w:rFonts w:ascii="Calibri" w:hAnsi="Calibri"/>
          <w:b w:val="0"/>
          <w:bCs w:val="0"/>
          <w:i w:val="0"/>
          <w:iCs w:val="0"/>
          <w:caps w:val="0"/>
          <w:smallCaps w:val="0"/>
          <w:vanish w:val="0"/>
          <w:color w:val="auto"/>
          <w:spacing w:val="0"/>
          <w:sz w:val="21"/>
          <w:szCs w:val="21"/>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240" w:lineRule="auto"/>
        <w:ind w:left="0" w:right="0" w:firstLine="1050"/>
        <w:rPr>
          <w:rFonts w:ascii="Calibri" w:hAnsi="Calibri"/>
          <w:b w:val="0"/>
          <w:bCs w:val="0"/>
          <w:i w:val="0"/>
          <w:iCs w:val="0"/>
          <w:caps w:val="0"/>
          <w:smallCaps w:val="0"/>
          <w:vanish w:val="0"/>
          <w:color w:val="000000"/>
          <w:spacing w:val="0"/>
          <w:sz w:val="21"/>
          <w:szCs w:val="21"/>
        </w:rPr>
      </w:pPr>
      <w:r>
        <w:rPr>
          <w:rFonts w:ascii="Calibri" w:hAnsi="Calibri"/>
          <w:b w:val="0"/>
          <w:bCs w:val="0"/>
          <w:i w:val="0"/>
          <w:iCs w:val="0"/>
          <w:caps w:val="0"/>
          <w:smallCaps w:val="0"/>
          <w:vanish w:val="0"/>
          <w:color w:val="auto"/>
          <w:spacing w:val="0"/>
          <w:sz w:val="21"/>
          <w:szCs w:val="21"/>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240" w:lineRule="auto"/>
        <w:ind w:left="0" w:right="0" w:firstLine="176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240" w:lineRule="auto"/>
        <w:ind w:left="0" w:right="0" w:firstLine="176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240" w:lineRule="auto"/>
        <w:ind w:left="0" w:right="0" w:firstLine="0"/>
        <w:rPr>
          <w:rFonts w:ascii="方正小标宋简体" w:eastAsia="方正小标宋简体" w:hint="eastAsia"/>
          <w:b w:val="0"/>
          <w:bCs w:val="0"/>
          <w:i w:val="0"/>
          <w:iCs w:val="0"/>
          <w:caps w:val="0"/>
          <w:smallCaps w:val="0"/>
          <w:vanish w:val="0"/>
          <w:color w:val="auto"/>
          <w:spacing w:val="0"/>
          <w:sz w:val="44"/>
          <w:szCs w:val="44"/>
          <w:vertAlign w:val="baseline"/>
        </w:rPr>
      </w:pPr>
      <w:r>
        <w:rPr>
          <w:rFonts w:ascii="方正小标宋简体" w:eastAsia="方正小标宋简体" w:hint="eastAsia"/>
          <w:b w:val="0"/>
          <w:bCs w:val="0"/>
          <w:i w:val="0"/>
          <w:iCs w:val="0"/>
          <w:caps w:val="0"/>
          <w:smallCaps w:val="0"/>
          <w:vanish w:val="0"/>
          <w:color w:val="auto"/>
          <w:spacing w:val="0"/>
          <w:sz w:val="44"/>
          <w:szCs w:val="44"/>
          <w:vertAlign w:val="baseline"/>
        </w:rPr>
        <w:t>若尔盖县委党校教研室2026年部门预算</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240" w:lineRule="auto"/>
        <w:ind w:left="0" w:right="0" w:firstLine="176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240" w:lineRule="auto"/>
        <w:ind w:left="0" w:right="0" w:firstLine="176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240" w:lineRule="auto"/>
        <w:ind w:left="0" w:right="0" w:firstLine="176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240" w:lineRule="auto"/>
        <w:ind w:left="0" w:right="0" w:firstLine="176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240" w:lineRule="auto"/>
        <w:ind w:left="0" w:right="0" w:firstLine="176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240" w:lineRule="auto"/>
        <w:ind w:left="0" w:right="0" w:firstLine="176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240" w:lineRule="auto"/>
        <w:ind w:left="0" w:right="0" w:firstLine="176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240" w:lineRule="auto"/>
        <w:ind w:left="0" w:right="0" w:firstLine="176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240" w:lineRule="auto"/>
        <w:ind w:left="0" w:right="0" w:firstLine="256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2026年 1 月 28 日</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240" w:lineRule="auto"/>
        <w:ind w:left="0" w:right="0" w:firstLine="176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240" w:lineRule="auto"/>
        <w:ind w:left="0" w:right="0" w:firstLine="176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240" w:lineRule="auto"/>
        <w:ind w:left="0" w:right="0" w:firstLine="176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240" w:lineRule="auto"/>
        <w:ind w:left="0" w:right="0" w:firstLine="176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240" w:lineRule="auto"/>
        <w:ind w:left="0" w:right="0" w:firstLine="176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240" w:lineRule="auto"/>
        <w:ind w:left="0" w:right="0" w:firstLine="176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0"/>
        <w:jc w:val="center"/>
        <w:rPr>
          <w:rFonts w:ascii="方正小标宋简体" w:eastAsia="方正小标宋简体" w:hint="eastAsia"/>
          <w:b w:val="0"/>
          <w:bCs w:val="0"/>
          <w:i w:val="0"/>
          <w:iCs w:val="0"/>
          <w:caps w:val="0"/>
          <w:smallCaps w:val="0"/>
          <w:vanish w:val="0"/>
          <w:color w:val="auto"/>
          <w:spacing w:val="0"/>
          <w:sz w:val="52"/>
          <w:szCs w:val="52"/>
          <w:vertAlign w:val="baseline"/>
        </w:rPr>
      </w:pPr>
      <w:r>
        <w:rPr>
          <w:rFonts w:ascii="方正小标宋简体" w:eastAsia="方正小标宋简体" w:hint="eastAsia"/>
          <w:b w:val="0"/>
          <w:bCs w:val="0"/>
          <w:i w:val="0"/>
          <w:iCs w:val="0"/>
          <w:caps w:val="0"/>
          <w:smallCaps w:val="0"/>
          <w:vanish w:val="0"/>
          <w:color w:val="auto"/>
          <w:spacing w:val="0"/>
          <w:sz w:val="52"/>
          <w:szCs w:val="52"/>
          <w:vertAlign w:val="baseline"/>
        </w:rPr>
        <w:t>目 录</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1040"/>
        <w:jc w:val="center"/>
        <w:rPr>
          <w:rFonts w:ascii="Calibri" w:hAnsi="Calibri"/>
          <w:b w:val="0"/>
          <w:bCs w:val="0"/>
          <w:i w:val="0"/>
          <w:iCs w:val="0"/>
          <w:caps w:val="0"/>
          <w:smallCaps w:val="0"/>
          <w:vanish w:val="0"/>
          <w:color w:val="000000"/>
          <w:spacing w:val="0"/>
          <w:sz w:val="21"/>
          <w:szCs w:val="21"/>
        </w:rPr>
      </w:pPr>
      <w:r>
        <w:rPr>
          <w:rFonts w:ascii="方正小标宋简体" w:eastAsia="方正小标宋简体" w:hint="eastAsia"/>
          <w:b w:val="0"/>
          <w:bCs w:val="0"/>
          <w:i w:val="0"/>
          <w:iCs w:val="0"/>
          <w:caps w:val="0"/>
          <w:smallCaps w:val="0"/>
          <w:vanish w:val="0"/>
          <w:color w:val="auto"/>
          <w:spacing w:val="0"/>
          <w:sz w:val="52"/>
          <w:szCs w:val="52"/>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val="0"/>
          <w:bCs w:val="0"/>
          <w:i w:val="0"/>
          <w:iCs w:val="0"/>
          <w:caps w:val="0"/>
          <w:smallCaps w:val="0"/>
          <w:vanish w:val="0"/>
          <w:color w:val="auto"/>
          <w:spacing w:val="0"/>
          <w:sz w:val="32"/>
          <w:szCs w:val="32"/>
          <w:vertAlign w:val="baseline"/>
        </w:rPr>
      </w:pPr>
      <w:r>
        <w:rPr>
          <w:rFonts w:ascii="黑体" w:eastAsia="黑体" w:hint="eastAsia"/>
          <w:b w:val="0"/>
          <w:bCs w:val="0"/>
          <w:i w:val="0"/>
          <w:iCs w:val="0"/>
          <w:caps w:val="0"/>
          <w:smallCaps w:val="0"/>
          <w:vanish w:val="0"/>
          <w:color w:val="auto"/>
          <w:spacing w:val="0"/>
          <w:sz w:val="32"/>
          <w:szCs w:val="32"/>
          <w:vertAlign w:val="baseline"/>
        </w:rPr>
        <w:t>一、基本职能及主要工作</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val="0"/>
          <w:bCs w:val="0"/>
          <w:i w:val="0"/>
          <w:iCs w:val="0"/>
          <w:caps w:val="0"/>
          <w:smallCaps w:val="0"/>
          <w:vanish w:val="0"/>
          <w:color w:val="auto"/>
          <w:spacing w:val="0"/>
          <w:sz w:val="32"/>
          <w:szCs w:val="32"/>
          <w:vertAlign w:val="baseline"/>
        </w:rPr>
      </w:pPr>
      <w:r>
        <w:rPr>
          <w:rFonts w:ascii="楷体_GB2312" w:eastAsia="楷体_GB2312" w:hint="eastAsia"/>
          <w:b w:val="0"/>
          <w:bCs w:val="0"/>
          <w:i w:val="0"/>
          <w:iCs w:val="0"/>
          <w:caps w:val="0"/>
          <w:smallCaps w:val="0"/>
          <w:vanish w:val="0"/>
          <w:color w:val="auto"/>
          <w:spacing w:val="0"/>
          <w:sz w:val="32"/>
          <w:szCs w:val="32"/>
          <w:vertAlign w:val="baseline"/>
        </w:rPr>
        <w:t>（一）部门职能简介</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val="0"/>
          <w:bCs w:val="0"/>
          <w:i w:val="0"/>
          <w:iCs w:val="0"/>
          <w:caps w:val="0"/>
          <w:smallCaps w:val="0"/>
          <w:vanish w:val="0"/>
          <w:color w:val="auto"/>
          <w:spacing w:val="0"/>
          <w:sz w:val="32"/>
          <w:szCs w:val="32"/>
          <w:vertAlign w:val="baseline"/>
        </w:rPr>
      </w:pPr>
      <w:r>
        <w:rPr>
          <w:rFonts w:ascii="楷体_GB2312" w:eastAsia="楷体_GB2312" w:hint="eastAsia"/>
          <w:b w:val="0"/>
          <w:bCs w:val="0"/>
          <w:i w:val="0"/>
          <w:iCs w:val="0"/>
          <w:caps w:val="0"/>
          <w:smallCaps w:val="0"/>
          <w:vanish w:val="0"/>
          <w:color w:val="auto"/>
          <w:spacing w:val="0"/>
          <w:sz w:val="32"/>
          <w:szCs w:val="32"/>
          <w:vertAlign w:val="baseline"/>
        </w:rPr>
        <w:t>（二）2026年重点工作</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val="0"/>
          <w:bCs w:val="0"/>
          <w:i w:val="0"/>
          <w:iCs w:val="0"/>
          <w:caps w:val="0"/>
          <w:smallCaps w:val="0"/>
          <w:vanish w:val="0"/>
          <w:color w:val="auto"/>
          <w:spacing w:val="0"/>
          <w:sz w:val="32"/>
          <w:szCs w:val="32"/>
          <w:vertAlign w:val="baseline"/>
        </w:rPr>
      </w:pPr>
      <w:r>
        <w:rPr>
          <w:rFonts w:ascii="黑体" w:eastAsia="黑体" w:hint="eastAsia"/>
          <w:b w:val="0"/>
          <w:bCs w:val="0"/>
          <w:i w:val="0"/>
          <w:iCs w:val="0"/>
          <w:caps w:val="0"/>
          <w:smallCaps w:val="0"/>
          <w:vanish w:val="0"/>
          <w:color w:val="auto"/>
          <w:spacing w:val="0"/>
          <w:sz w:val="32"/>
          <w:szCs w:val="32"/>
          <w:vertAlign w:val="baseline"/>
        </w:rPr>
        <w:t>二、部门预算单位构成</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val="0"/>
          <w:bCs w:val="0"/>
          <w:i w:val="0"/>
          <w:iCs w:val="0"/>
          <w:caps w:val="0"/>
          <w:smallCaps w:val="0"/>
          <w:vanish w:val="0"/>
          <w:color w:val="auto"/>
          <w:spacing w:val="0"/>
          <w:sz w:val="32"/>
          <w:szCs w:val="32"/>
          <w:vertAlign w:val="baseline"/>
        </w:rPr>
      </w:pPr>
      <w:r>
        <w:rPr>
          <w:rFonts w:ascii="黑体" w:eastAsia="黑体" w:hint="eastAsia"/>
          <w:b w:val="0"/>
          <w:bCs w:val="0"/>
          <w:i w:val="0"/>
          <w:iCs w:val="0"/>
          <w:caps w:val="0"/>
          <w:smallCaps w:val="0"/>
          <w:vanish w:val="0"/>
          <w:color w:val="auto"/>
          <w:spacing w:val="0"/>
          <w:sz w:val="32"/>
          <w:szCs w:val="32"/>
          <w:vertAlign w:val="baseline"/>
        </w:rPr>
        <w:t>三、收支预算情况说明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val="0"/>
          <w:bCs w:val="0"/>
          <w:i w:val="0"/>
          <w:iCs w:val="0"/>
          <w:caps w:val="0"/>
          <w:smallCaps w:val="0"/>
          <w:vanish w:val="0"/>
          <w:color w:val="auto"/>
          <w:spacing w:val="0"/>
          <w:sz w:val="32"/>
          <w:szCs w:val="32"/>
          <w:vertAlign w:val="baseline"/>
        </w:rPr>
      </w:pPr>
      <w:r>
        <w:rPr>
          <w:rFonts w:ascii="楷体_GB2312" w:eastAsia="楷体_GB2312" w:hint="eastAsia"/>
          <w:b w:val="0"/>
          <w:bCs w:val="0"/>
          <w:i w:val="0"/>
          <w:iCs w:val="0"/>
          <w:caps w:val="0"/>
          <w:smallCaps w:val="0"/>
          <w:vanish w:val="0"/>
          <w:color w:val="auto"/>
          <w:spacing w:val="0"/>
          <w:sz w:val="32"/>
          <w:szCs w:val="32"/>
          <w:vertAlign w:val="baseline"/>
        </w:rPr>
        <w:t>（一）收入预算情况</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val="0"/>
          <w:bCs w:val="0"/>
          <w:i w:val="0"/>
          <w:iCs w:val="0"/>
          <w:caps w:val="0"/>
          <w:smallCaps w:val="0"/>
          <w:vanish w:val="0"/>
          <w:color w:val="auto"/>
          <w:spacing w:val="0"/>
          <w:sz w:val="32"/>
          <w:szCs w:val="32"/>
          <w:vertAlign w:val="baseline"/>
        </w:rPr>
      </w:pPr>
      <w:r>
        <w:rPr>
          <w:rFonts w:ascii="楷体_GB2312" w:eastAsia="楷体_GB2312" w:hint="eastAsia"/>
          <w:b w:val="0"/>
          <w:bCs w:val="0"/>
          <w:i w:val="0"/>
          <w:iCs w:val="0"/>
          <w:caps w:val="0"/>
          <w:smallCaps w:val="0"/>
          <w:vanish w:val="0"/>
          <w:color w:val="auto"/>
          <w:spacing w:val="0"/>
          <w:sz w:val="32"/>
          <w:szCs w:val="32"/>
          <w:vertAlign w:val="baseline"/>
        </w:rPr>
        <w:t>（二）支出预算情况</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val="0"/>
          <w:bCs w:val="0"/>
          <w:i w:val="0"/>
          <w:iCs w:val="0"/>
          <w:caps w:val="0"/>
          <w:smallCaps w:val="0"/>
          <w:vanish w:val="0"/>
          <w:color w:val="auto"/>
          <w:spacing w:val="0"/>
          <w:sz w:val="32"/>
          <w:szCs w:val="32"/>
          <w:vertAlign w:val="baseline"/>
        </w:rPr>
      </w:pPr>
      <w:r>
        <w:rPr>
          <w:rFonts w:ascii="黑体" w:eastAsia="黑体" w:hint="eastAsia"/>
          <w:b w:val="0"/>
          <w:bCs w:val="0"/>
          <w:i w:val="0"/>
          <w:iCs w:val="0"/>
          <w:caps w:val="0"/>
          <w:smallCaps w:val="0"/>
          <w:vanish w:val="0"/>
          <w:color w:val="auto"/>
          <w:spacing w:val="0"/>
          <w:sz w:val="32"/>
          <w:szCs w:val="32"/>
          <w:vertAlign w:val="baseline"/>
        </w:rPr>
        <w:t>四、财政拨款收支预算情况说明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val="0"/>
          <w:bCs w:val="0"/>
          <w:i w:val="0"/>
          <w:iCs w:val="0"/>
          <w:caps w:val="0"/>
          <w:smallCaps w:val="0"/>
          <w:vanish w:val="0"/>
          <w:color w:val="auto"/>
          <w:spacing w:val="0"/>
          <w:sz w:val="32"/>
          <w:szCs w:val="32"/>
          <w:vertAlign w:val="baseline"/>
        </w:rPr>
      </w:pPr>
      <w:r>
        <w:rPr>
          <w:rFonts w:ascii="黑体" w:eastAsia="黑体" w:hint="eastAsia"/>
          <w:b w:val="0"/>
          <w:bCs w:val="0"/>
          <w:i w:val="0"/>
          <w:iCs w:val="0"/>
          <w:caps w:val="0"/>
          <w:smallCaps w:val="0"/>
          <w:vanish w:val="0"/>
          <w:color w:val="auto"/>
          <w:spacing w:val="0"/>
          <w:sz w:val="32"/>
          <w:szCs w:val="32"/>
          <w:vertAlign w:val="baseline"/>
        </w:rPr>
        <w:t>五、一般公共预算当年拨款情况说明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val="0"/>
          <w:bCs w:val="0"/>
          <w:i w:val="0"/>
          <w:iCs w:val="0"/>
          <w:caps w:val="0"/>
          <w:smallCaps w:val="0"/>
          <w:vanish w:val="0"/>
          <w:color w:val="auto"/>
          <w:spacing w:val="0"/>
          <w:sz w:val="32"/>
          <w:szCs w:val="32"/>
          <w:vertAlign w:val="baseline"/>
        </w:rPr>
      </w:pPr>
      <w:r>
        <w:rPr>
          <w:rFonts w:ascii="楷体_GB2312" w:eastAsia="楷体_GB2312" w:hint="eastAsia"/>
          <w:b w:val="0"/>
          <w:bCs w:val="0"/>
          <w:i w:val="0"/>
          <w:iCs w:val="0"/>
          <w:caps w:val="0"/>
          <w:smallCaps w:val="0"/>
          <w:vanish w:val="0"/>
          <w:color w:val="auto"/>
          <w:spacing w:val="0"/>
          <w:sz w:val="32"/>
          <w:szCs w:val="32"/>
          <w:vertAlign w:val="baseline"/>
        </w:rPr>
        <w:t>（一）一般公共预算当年拨款规模变化情况</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val="0"/>
          <w:bCs w:val="0"/>
          <w:i w:val="0"/>
          <w:iCs w:val="0"/>
          <w:caps w:val="0"/>
          <w:smallCaps w:val="0"/>
          <w:vanish w:val="0"/>
          <w:color w:val="auto"/>
          <w:spacing w:val="0"/>
          <w:sz w:val="32"/>
          <w:szCs w:val="32"/>
          <w:vertAlign w:val="baseline"/>
        </w:rPr>
      </w:pPr>
      <w:r>
        <w:rPr>
          <w:rFonts w:ascii="楷体_GB2312" w:eastAsia="楷体_GB2312" w:hint="eastAsia"/>
          <w:b w:val="0"/>
          <w:bCs w:val="0"/>
          <w:i w:val="0"/>
          <w:iCs w:val="0"/>
          <w:caps w:val="0"/>
          <w:smallCaps w:val="0"/>
          <w:vanish w:val="0"/>
          <w:color w:val="auto"/>
          <w:spacing w:val="0"/>
          <w:sz w:val="32"/>
          <w:szCs w:val="32"/>
          <w:vertAlign w:val="baseline"/>
        </w:rPr>
        <w:t>（二）一般公共预算当年拨款结构情况</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val="0"/>
          <w:bCs w:val="0"/>
          <w:i w:val="0"/>
          <w:iCs w:val="0"/>
          <w:caps w:val="0"/>
          <w:smallCaps w:val="0"/>
          <w:vanish w:val="0"/>
          <w:color w:val="auto"/>
          <w:spacing w:val="0"/>
          <w:sz w:val="32"/>
          <w:szCs w:val="32"/>
          <w:vertAlign w:val="baseline"/>
        </w:rPr>
      </w:pPr>
      <w:r>
        <w:rPr>
          <w:rFonts w:ascii="楷体_GB2312" w:eastAsia="楷体_GB2312" w:hint="eastAsia"/>
          <w:b w:val="0"/>
          <w:bCs w:val="0"/>
          <w:i w:val="0"/>
          <w:iCs w:val="0"/>
          <w:caps w:val="0"/>
          <w:smallCaps w:val="0"/>
          <w:vanish w:val="0"/>
          <w:color w:val="auto"/>
          <w:spacing w:val="0"/>
          <w:sz w:val="32"/>
          <w:szCs w:val="32"/>
          <w:vertAlign w:val="baseline"/>
        </w:rPr>
        <w:t>（三）一般公共预算当年拨款具体使用情况</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val="0"/>
          <w:bCs w:val="0"/>
          <w:i w:val="0"/>
          <w:iCs w:val="0"/>
          <w:caps w:val="0"/>
          <w:smallCaps w:val="0"/>
          <w:vanish w:val="0"/>
          <w:color w:val="auto"/>
          <w:spacing w:val="0"/>
          <w:sz w:val="32"/>
          <w:szCs w:val="32"/>
          <w:vertAlign w:val="baseline"/>
        </w:rPr>
      </w:pPr>
      <w:r>
        <w:rPr>
          <w:rFonts w:ascii="黑体" w:eastAsia="黑体" w:hint="eastAsia"/>
          <w:b w:val="0"/>
          <w:bCs w:val="0"/>
          <w:i w:val="0"/>
          <w:iCs w:val="0"/>
          <w:caps w:val="0"/>
          <w:smallCaps w:val="0"/>
          <w:vanish w:val="0"/>
          <w:color w:val="auto"/>
          <w:spacing w:val="0"/>
          <w:sz w:val="32"/>
          <w:szCs w:val="32"/>
          <w:vertAlign w:val="baseline"/>
        </w:rPr>
        <w:t>六、一般公共预算基本支出情况说明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val="0"/>
          <w:bCs w:val="0"/>
          <w:i w:val="0"/>
          <w:iCs w:val="0"/>
          <w:caps w:val="0"/>
          <w:smallCaps w:val="0"/>
          <w:vanish w:val="0"/>
          <w:color w:val="auto"/>
          <w:spacing w:val="0"/>
          <w:sz w:val="32"/>
          <w:szCs w:val="32"/>
          <w:vertAlign w:val="baseline"/>
        </w:rPr>
      </w:pPr>
      <w:r>
        <w:rPr>
          <w:rFonts w:ascii="黑体" w:eastAsia="黑体" w:hint="eastAsia"/>
          <w:b w:val="0"/>
          <w:bCs w:val="0"/>
          <w:i w:val="0"/>
          <w:iCs w:val="0"/>
          <w:caps w:val="0"/>
          <w:smallCaps w:val="0"/>
          <w:vanish w:val="0"/>
          <w:color w:val="auto"/>
          <w:spacing w:val="0"/>
          <w:sz w:val="32"/>
          <w:szCs w:val="32"/>
          <w:vertAlign w:val="baseline"/>
        </w:rPr>
        <w:t>七、“三公”经费财政拨款预算安排情况说明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val="0"/>
          <w:bCs w:val="0"/>
          <w:i w:val="0"/>
          <w:iCs w:val="0"/>
          <w:caps w:val="0"/>
          <w:smallCaps w:val="0"/>
          <w:vanish w:val="0"/>
          <w:color w:val="auto"/>
          <w:spacing w:val="0"/>
          <w:sz w:val="32"/>
          <w:szCs w:val="32"/>
          <w:vertAlign w:val="baseline"/>
        </w:rPr>
      </w:pPr>
      <w:r>
        <w:rPr>
          <w:rFonts w:ascii="黑体" w:eastAsia="黑体" w:hint="eastAsia"/>
          <w:b w:val="0"/>
          <w:bCs w:val="0"/>
          <w:i w:val="0"/>
          <w:iCs w:val="0"/>
          <w:caps w:val="0"/>
          <w:smallCaps w:val="0"/>
          <w:vanish w:val="0"/>
          <w:color w:val="auto"/>
          <w:spacing w:val="0"/>
          <w:sz w:val="32"/>
          <w:szCs w:val="32"/>
          <w:vertAlign w:val="baseline"/>
        </w:rPr>
        <w:t>八、政府性基金预算支出情况说明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val="0"/>
          <w:bCs w:val="0"/>
          <w:i w:val="0"/>
          <w:iCs w:val="0"/>
          <w:caps w:val="0"/>
          <w:smallCaps w:val="0"/>
          <w:vanish w:val="0"/>
          <w:color w:val="auto"/>
          <w:spacing w:val="0"/>
          <w:sz w:val="32"/>
          <w:szCs w:val="32"/>
          <w:vertAlign w:val="baseline"/>
        </w:rPr>
      </w:pPr>
      <w:r>
        <w:rPr>
          <w:rFonts w:ascii="黑体" w:eastAsia="黑体" w:hint="eastAsia"/>
          <w:b w:val="0"/>
          <w:bCs w:val="0"/>
          <w:i w:val="0"/>
          <w:iCs w:val="0"/>
          <w:caps w:val="0"/>
          <w:smallCaps w:val="0"/>
          <w:vanish w:val="0"/>
          <w:color w:val="auto"/>
          <w:spacing w:val="0"/>
          <w:sz w:val="32"/>
          <w:szCs w:val="32"/>
          <w:vertAlign w:val="baseline"/>
        </w:rPr>
        <w:t>九、国有资本经营预算支出情况说明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val="0"/>
          <w:bCs w:val="0"/>
          <w:i w:val="0"/>
          <w:iCs w:val="0"/>
          <w:caps w:val="0"/>
          <w:smallCaps w:val="0"/>
          <w:vanish w:val="0"/>
          <w:color w:val="auto"/>
          <w:spacing w:val="0"/>
          <w:sz w:val="32"/>
          <w:szCs w:val="32"/>
          <w:vertAlign w:val="baseline"/>
        </w:rPr>
      </w:pPr>
      <w:r>
        <w:rPr>
          <w:rFonts w:ascii="黑体" w:eastAsia="黑体" w:hint="eastAsia"/>
          <w:b w:val="0"/>
          <w:bCs w:val="0"/>
          <w:i w:val="0"/>
          <w:iCs w:val="0"/>
          <w:caps w:val="0"/>
          <w:smallCaps w:val="0"/>
          <w:vanish w:val="0"/>
          <w:color w:val="auto"/>
          <w:spacing w:val="0"/>
          <w:sz w:val="32"/>
          <w:szCs w:val="32"/>
          <w:vertAlign w:val="baseline"/>
        </w:rPr>
        <w:t>十、其他重要事项的情况说明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val="0"/>
          <w:bCs w:val="0"/>
          <w:i w:val="0"/>
          <w:iCs w:val="0"/>
          <w:caps w:val="0"/>
          <w:smallCaps w:val="0"/>
          <w:vanish w:val="0"/>
          <w:color w:val="auto"/>
          <w:spacing w:val="0"/>
          <w:sz w:val="32"/>
          <w:szCs w:val="32"/>
          <w:vertAlign w:val="baseline"/>
        </w:rPr>
      </w:pPr>
      <w:r>
        <w:rPr>
          <w:rFonts w:ascii="黑体" w:eastAsia="黑体" w:hint="eastAsia"/>
          <w:b w:val="0"/>
          <w:bCs w:val="0"/>
          <w:i w:val="0"/>
          <w:iCs w:val="0"/>
          <w:caps w:val="0"/>
          <w:smallCaps w:val="0"/>
          <w:vanish w:val="0"/>
          <w:color w:val="auto"/>
          <w:spacing w:val="0"/>
          <w:sz w:val="32"/>
          <w:szCs w:val="32"/>
          <w:vertAlign w:val="baseline"/>
        </w:rPr>
        <w:t>十一、名称解释</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32"/>
          <w:szCs w:val="32"/>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32"/>
          <w:szCs w:val="32"/>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32"/>
          <w:szCs w:val="32"/>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32"/>
          <w:szCs w:val="32"/>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方正黑体_GBK" w:eastAsia="方正黑体_GBK" w:hint="eastAsia"/>
          <w:b w:val="0"/>
          <w:bCs w:val="0"/>
          <w:i w:val="0"/>
          <w:iCs w:val="0"/>
          <w:caps w:val="0"/>
          <w:smallCaps w:val="0"/>
          <w:vanish w:val="0"/>
          <w:color w:val="auto"/>
          <w:spacing w:val="0"/>
          <w:sz w:val="32"/>
          <w:szCs w:val="32"/>
          <w:vertAlign w:val="baseline"/>
        </w:rPr>
      </w:pPr>
      <w:r>
        <w:rPr>
          <w:rFonts w:ascii="方正黑体_GBK" w:eastAsia="方正黑体_GBK" w:hint="eastAsia"/>
          <w:b w:val="0"/>
          <w:bCs w:val="0"/>
          <w:i w:val="0"/>
          <w:iCs w:val="0"/>
          <w:caps w:val="0"/>
          <w:smallCaps w:val="0"/>
          <w:vanish w:val="0"/>
          <w:color w:val="000000"/>
          <w:spacing w:val="0"/>
          <w:sz w:val="32"/>
          <w:szCs w:val="32"/>
        </w:rPr>
        <w:t>一、</w:t>
      </w:r>
      <w:r>
        <w:rPr>
          <w:rFonts w:ascii="方正黑体_GBK" w:eastAsia="方正黑体_GBK" w:hint="eastAsia"/>
          <w:b/>
          <w:bCs/>
          <w:i w:val="0"/>
          <w:iCs w:val="0"/>
          <w:caps w:val="0"/>
          <w:smallCaps w:val="0"/>
          <w:vanish w:val="0"/>
          <w:color w:val="auto"/>
          <w:spacing w:val="0"/>
          <w:sz w:val="32"/>
          <w:szCs w:val="32"/>
          <w:vertAlign w:val="baseline"/>
        </w:rPr>
        <w:t>基本职能及主要工作</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bCs/>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auto"/>
          <w:spacing w:val="0"/>
          <w:sz w:val="32"/>
          <w:szCs w:val="32"/>
          <w:vertAlign w:val="baseline"/>
        </w:rPr>
        <w:t>（一）单位职能简介</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若尔盖县委党校是党委的职能部门。根据县委、县政府关于2026年全县工作的总体部署,为在职干部提供教育和培训服务，承办党委和政府举办的专题研讨班。</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bCs/>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auto"/>
          <w:spacing w:val="0"/>
          <w:sz w:val="32"/>
          <w:szCs w:val="32"/>
          <w:vertAlign w:val="baseline"/>
        </w:rPr>
        <w:t>（二）单位2026年重点工作</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1.充实教学内容及形式。在教学路线上，增设教学点与点间的车载教学，根据情况适量开展体验式教学（如过草地）。构建完善“专职+外聘+乡土”的多元化师资体系，将本土教学专家、特色教师纳入兼职教师库。继续完成一年最少60期培训班和长征干部学员班培训，以及微党课的教学任务。</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2.继续抓好“建设”。一是认真抓好党校基础设施建设，积极争取第二期资金，不断提升我校在硬件设施方面的水平。同时加强监管，严把质量关，确保把县委党校新校区建设成为精品工程、样板工程。二是完善工作模式和教学方法，规范教学流程，探索“课堂+基地”实训模式，充分发挥信息化网络优势，不断拓展办学思路，在开放办学中进一步发挥好党校的主题教育作用。立足当前，放眼长远，以勇争一流的精神，把发展与创建统一起来，切实发挥党校的理论教学作用。</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3.讲好若尔盖红色故事。</w:t>
      </w:r>
      <w:r>
        <w:rPr>
          <w:rFonts w:ascii="仿宋_GB2312" w:eastAsia="仿宋_GB2312" w:hint="eastAsia"/>
          <w:b/>
          <w:bCs/>
          <w:i w:val="0"/>
          <w:iCs w:val="0"/>
          <w:caps w:val="0"/>
          <w:smallCaps w:val="0"/>
          <w:vanish w:val="0"/>
          <w:color w:val="auto"/>
          <w:spacing w:val="0"/>
          <w:sz w:val="32"/>
          <w:szCs w:val="32"/>
          <w:vertAlign w:val="baseline"/>
        </w:rPr>
        <w:t>一要</w:t>
      </w:r>
      <w:r>
        <w:rPr>
          <w:rFonts w:ascii="仿宋_GB2312" w:eastAsia="仿宋_GB2312" w:hint="eastAsia"/>
          <w:b w:val="0"/>
          <w:bCs w:val="0"/>
          <w:i w:val="0"/>
          <w:iCs w:val="0"/>
          <w:caps w:val="0"/>
          <w:smallCaps w:val="0"/>
          <w:vanish w:val="0"/>
          <w:color w:val="auto"/>
          <w:spacing w:val="0"/>
          <w:sz w:val="32"/>
          <w:szCs w:val="32"/>
          <w:vertAlign w:val="baseline"/>
        </w:rPr>
        <w:t>利用好若尔盖红色资源，将发生在若尔盖的重大事件，进行收集、整理、考证，打造成为可以作为党校教师使用的教学资源。</w:t>
      </w:r>
      <w:r>
        <w:rPr>
          <w:rFonts w:ascii="仿宋_GB2312" w:eastAsia="仿宋_GB2312" w:hint="eastAsia"/>
          <w:b/>
          <w:bCs/>
          <w:i w:val="0"/>
          <w:iCs w:val="0"/>
          <w:caps w:val="0"/>
          <w:smallCaps w:val="0"/>
          <w:vanish w:val="0"/>
          <w:color w:val="auto"/>
          <w:spacing w:val="0"/>
          <w:sz w:val="32"/>
          <w:szCs w:val="32"/>
          <w:vertAlign w:val="baseline"/>
        </w:rPr>
        <w:t>二要</w:t>
      </w:r>
      <w:r>
        <w:rPr>
          <w:rFonts w:ascii="仿宋_GB2312" w:eastAsia="仿宋_GB2312" w:hint="eastAsia"/>
          <w:b w:val="0"/>
          <w:bCs w:val="0"/>
          <w:i w:val="0"/>
          <w:iCs w:val="0"/>
          <w:caps w:val="0"/>
          <w:smallCaps w:val="0"/>
          <w:vanish w:val="0"/>
          <w:color w:val="auto"/>
          <w:spacing w:val="0"/>
          <w:sz w:val="32"/>
          <w:szCs w:val="32"/>
          <w:vertAlign w:val="baseline"/>
        </w:rPr>
        <w:t>讲好若尔盖红色重要人物事迹。既要秉承实事求是，又要创新文字表达，活用生动语言，融入真情实感，增强教学的感染力吸引力和渗透力，切实发挥党校党性教育基地作用。</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方正黑体_GBK" w:eastAsia="方正黑体_GBK" w:hint="eastAsia"/>
          <w:b/>
          <w:bCs/>
          <w:i w:val="0"/>
          <w:iCs w:val="0"/>
          <w:caps w:val="0"/>
          <w:smallCaps w:val="0"/>
          <w:vanish w:val="0"/>
          <w:color w:val="auto"/>
          <w:spacing w:val="0"/>
          <w:sz w:val="32"/>
          <w:szCs w:val="32"/>
          <w:vertAlign w:val="baseline"/>
        </w:rPr>
        <w:t>二、部门预算单位构成</w:t>
        <w:br/>
      </w:r>
      <w:r>
        <w:rPr>
          <w:rFonts w:ascii="仿宋_GB2312" w:eastAsia="仿宋_GB2312" w:hint="eastAsia"/>
          <w:b w:val="0"/>
          <w:bCs w:val="0"/>
          <w:i w:val="0"/>
          <w:iCs w:val="0"/>
          <w:caps w:val="0"/>
          <w:smallCaps w:val="0"/>
          <w:vanish w:val="0"/>
          <w:color w:val="auto"/>
          <w:spacing w:val="0"/>
          <w:sz w:val="32"/>
          <w:szCs w:val="32"/>
          <w:vertAlign w:val="baseline"/>
        </w:rPr>
        <w:t>若尔盖县委党校教研室属二级预算单位，本单位编制数为事业人员6名，现有人员事业人员6名，股级领导干部一名。</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方正黑体_GBK" w:eastAsia="方正黑体_GBK" w:hint="eastAsia"/>
          <w:b/>
          <w:bCs/>
          <w:i w:val="0"/>
          <w:iCs w:val="0"/>
          <w:caps w:val="0"/>
          <w:smallCaps w:val="0"/>
          <w:vanish w:val="0"/>
          <w:color w:val="auto"/>
          <w:spacing w:val="0"/>
          <w:sz w:val="32"/>
          <w:szCs w:val="32"/>
          <w:vertAlign w:val="baseline"/>
        </w:rPr>
        <w:t>三、收支预算情况说明</w:t>
        <w:br/>
      </w:r>
      <w:r>
        <w:rPr>
          <w:rFonts w:ascii="宋体" w:eastAsia="宋体" w:hint="eastAsia"/>
          <w:b w:val="0"/>
          <w:bCs w:val="0"/>
          <w:i w:val="0"/>
          <w:iCs w:val="0"/>
          <w:caps w:val="0"/>
          <w:smallCaps w:val="0"/>
          <w:vanish w:val="0"/>
          <w:color w:val="auto"/>
          <w:spacing w:val="0"/>
          <w:sz w:val="32"/>
          <w:szCs w:val="32"/>
          <w:vertAlign w:val="baseline"/>
        </w:rPr>
        <w:t>　　</w:t>
      </w:r>
      <w:r>
        <w:rPr>
          <w:rFonts w:ascii="仿宋_GB2312" w:eastAsia="仿宋_GB2312" w:hint="eastAsia"/>
          <w:b w:val="0"/>
          <w:bCs w:val="0"/>
          <w:i w:val="0"/>
          <w:iCs w:val="0"/>
          <w:caps w:val="0"/>
          <w:smallCaps w:val="0"/>
          <w:vanish w:val="0"/>
          <w:color w:val="auto"/>
          <w:spacing w:val="0"/>
          <w:sz w:val="32"/>
          <w:szCs w:val="32"/>
          <w:vertAlign w:val="baseline"/>
        </w:rPr>
        <w:t>按照综合预算的原则，党校单位所有收入和支出均纳入部门预算管理。收入包括：一般公共预算拨款收入142.39万元，事业收入0万元，其他收入0万元，上年结转0万元；支出包括：一般公共服务支出0万元，教育支出100.18万元，文化体育与传媒支出0万元，社会保障和就业支出21.73万元，医疗卫生与计划生育支出8.46万元，住房保障支出12.03万元。党校单位2026年收支总预算142.39万元,　比2025年收支预算总数增加2.98万元，主要原因: 职工晋级晋升、调资增资。</w:t>
        <w:br/>
      </w:r>
      <w:r>
        <w:rPr>
          <w:rFonts w:ascii="楷体_GB2312" w:eastAsia="楷体_GB2312" w:hint="eastAsia"/>
          <w:b/>
          <w:bCs/>
          <w:i w:val="0"/>
          <w:iCs w:val="0"/>
          <w:caps w:val="0"/>
          <w:smallCaps w:val="0"/>
          <w:vanish w:val="0"/>
          <w:color w:val="auto"/>
          <w:spacing w:val="0"/>
          <w:sz w:val="32"/>
          <w:szCs w:val="32"/>
          <w:vertAlign w:val="baseline"/>
        </w:rPr>
        <w:t>　　（一）收入预算情况</w:t>
      </w:r>
      <w:r>
        <w:rPr>
          <w:rFonts w:ascii="仿宋_GB2312" w:eastAsia="仿宋_GB2312" w:hint="eastAsia"/>
          <w:b w:val="0"/>
          <w:bCs w:val="0"/>
          <w:i w:val="0"/>
          <w:iCs w:val="0"/>
          <w:caps w:val="0"/>
          <w:smallCaps w:val="0"/>
          <w:vanish w:val="0"/>
          <w:color w:val="auto"/>
          <w:spacing w:val="0"/>
          <w:sz w:val="32"/>
          <w:szCs w:val="32"/>
          <w:vertAlign w:val="baseline"/>
        </w:rPr>
        <w:br/>
      </w:r>
      <w:r>
        <w:rPr>
          <w:rFonts w:ascii="宋体" w:eastAsia="宋体" w:hint="eastAsia"/>
          <w:b w:val="0"/>
          <w:bCs w:val="0"/>
          <w:i w:val="0"/>
          <w:iCs w:val="0"/>
          <w:caps w:val="0"/>
          <w:smallCaps w:val="0"/>
          <w:vanish w:val="0"/>
          <w:color w:val="auto"/>
          <w:spacing w:val="0"/>
          <w:sz w:val="32"/>
          <w:szCs w:val="32"/>
          <w:vertAlign w:val="baseline"/>
        </w:rPr>
        <w:t>　　</w:t>
      </w:r>
      <w:r>
        <w:rPr>
          <w:rFonts w:ascii="仿宋_GB2312" w:eastAsia="仿宋_GB2312" w:hint="eastAsia"/>
          <w:b w:val="0"/>
          <w:bCs w:val="0"/>
          <w:i w:val="0"/>
          <w:iCs w:val="0"/>
          <w:caps w:val="0"/>
          <w:smallCaps w:val="0"/>
          <w:vanish w:val="0"/>
          <w:color w:val="auto"/>
          <w:spacing w:val="0"/>
          <w:sz w:val="32"/>
          <w:szCs w:val="32"/>
          <w:vertAlign w:val="baseline"/>
        </w:rPr>
        <w:t>党校单位2026年收入预算142.39万元，其中：上年结转0万元，占0%；一般公共预算拨款收入142.39万元，占100%；事业收入0万元，占0%；其他收入0万元，占0%。</w:t>
        <w:br/>
      </w:r>
      <w:r>
        <w:rPr>
          <w:rFonts w:ascii="楷体_GB2312" w:eastAsia="楷体_GB2312" w:hint="eastAsia"/>
          <w:b/>
          <w:bCs/>
          <w:i w:val="0"/>
          <w:iCs w:val="0"/>
          <w:caps w:val="0"/>
          <w:smallCaps w:val="0"/>
          <w:vanish w:val="0"/>
          <w:color w:val="auto"/>
          <w:spacing w:val="0"/>
          <w:sz w:val="32"/>
          <w:szCs w:val="32"/>
          <w:vertAlign w:val="baseline"/>
        </w:rPr>
        <w:t>　　（二）支出预算情况</w:t>
      </w:r>
      <w:r>
        <w:rPr>
          <w:rFonts w:ascii="仿宋_GB2312" w:eastAsia="仿宋_GB2312" w:hint="eastAsia"/>
          <w:b w:val="0"/>
          <w:bCs w:val="0"/>
          <w:i w:val="0"/>
          <w:iCs w:val="0"/>
          <w:caps w:val="0"/>
          <w:smallCaps w:val="0"/>
          <w:vanish w:val="0"/>
          <w:color w:val="auto"/>
          <w:spacing w:val="0"/>
          <w:sz w:val="32"/>
          <w:szCs w:val="32"/>
          <w:vertAlign w:val="baseline"/>
        </w:rPr>
        <w:br/>
        <w:t>    党校单位2026年支出预算142.39万元，其中：基本支出142.39万元，占100%；项目支出0万元，占0%。</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方正黑体_GBK" w:eastAsia="方正黑体_GBK" w:hint="eastAsia"/>
          <w:b/>
          <w:bCs/>
          <w:i w:val="0"/>
          <w:iCs w:val="0"/>
          <w:caps w:val="0"/>
          <w:smallCaps w:val="0"/>
          <w:vanish w:val="0"/>
          <w:color w:val="auto"/>
          <w:spacing w:val="0"/>
          <w:sz w:val="32"/>
          <w:szCs w:val="32"/>
          <w:vertAlign w:val="baseline"/>
        </w:rPr>
        <w:t>四、财政拨款收支预算情况说明</w:t>
        <w:br/>
      </w:r>
      <w:r>
        <w:rPr>
          <w:rFonts w:ascii="宋体" w:eastAsia="宋体" w:hint="eastAsia"/>
          <w:b w:val="0"/>
          <w:bCs w:val="0"/>
          <w:i w:val="0"/>
          <w:iCs w:val="0"/>
          <w:caps w:val="0"/>
          <w:smallCaps w:val="0"/>
          <w:vanish w:val="0"/>
          <w:color w:val="auto"/>
          <w:spacing w:val="0"/>
          <w:sz w:val="32"/>
          <w:szCs w:val="32"/>
          <w:vertAlign w:val="baseline"/>
        </w:rPr>
        <w:t>　　</w:t>
      </w:r>
      <w:r>
        <w:rPr>
          <w:rFonts w:ascii="仿宋_GB2312" w:eastAsia="仿宋_GB2312" w:hint="eastAsia"/>
          <w:b w:val="0"/>
          <w:bCs w:val="0"/>
          <w:i w:val="0"/>
          <w:iCs w:val="0"/>
          <w:caps w:val="0"/>
          <w:smallCaps w:val="0"/>
          <w:vanish w:val="0"/>
          <w:color w:val="auto"/>
          <w:spacing w:val="0"/>
          <w:sz w:val="32"/>
          <w:szCs w:val="32"/>
          <w:vertAlign w:val="baseline"/>
        </w:rPr>
        <w:t>党校单位2026年财政拨款收支总预算142.39万元,比2025年财政拨款收支总预算增加2.98万元，主要原因:职工晋级晋升、调资增资。收入包括：本年一般公共预算拨款收入142.39万元，上年结转财政拨款资金0万元　；</w:t>
        <w:br/>
        <w:t>　　支出包括：一般公共服务支出0万元，教育支出100.18万元，文化体育与传媒支出0万元，社会保障和就业支出21.73万元，医疗卫生与计划生育支出8.46万元，住房保障支出12.03万元。</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方正黑体_GBK" w:eastAsia="方正黑体_GBK" w:hint="eastAsia"/>
          <w:b/>
          <w:bCs/>
          <w:i w:val="0"/>
          <w:iCs w:val="0"/>
          <w:caps w:val="0"/>
          <w:smallCaps w:val="0"/>
          <w:vanish w:val="0"/>
          <w:color w:val="auto"/>
          <w:spacing w:val="0"/>
          <w:sz w:val="32"/>
          <w:szCs w:val="32"/>
          <w:vertAlign w:val="baseline"/>
        </w:rPr>
      </w:pPr>
      <w:r>
        <w:rPr>
          <w:rFonts w:ascii="方正黑体_GBK" w:eastAsia="方正黑体_GBK" w:hint="eastAsia"/>
          <w:b/>
          <w:bCs/>
          <w:i w:val="0"/>
          <w:iCs w:val="0"/>
          <w:caps w:val="0"/>
          <w:smallCaps w:val="0"/>
          <w:vanish w:val="0"/>
          <w:color w:val="auto"/>
          <w:spacing w:val="0"/>
          <w:sz w:val="32"/>
          <w:szCs w:val="32"/>
          <w:vertAlign w:val="baseline"/>
        </w:rPr>
        <w:t>五、一般公共预算当年拨款情况说明</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auto"/>
          <w:spacing w:val="0"/>
          <w:sz w:val="32"/>
          <w:szCs w:val="32"/>
          <w:vertAlign w:val="baseline"/>
        </w:rPr>
        <w:t>（一）一般公共预算当年拨款规模变化情况</w:t>
      </w:r>
      <w:r>
        <w:rPr>
          <w:rFonts w:ascii="仿宋_GB2312" w:eastAsia="仿宋_GB2312" w:hint="eastAsia"/>
          <w:b w:val="0"/>
          <w:bCs w:val="0"/>
          <w:i w:val="0"/>
          <w:iCs w:val="0"/>
          <w:caps w:val="0"/>
          <w:smallCaps w:val="0"/>
          <w:vanish w:val="0"/>
          <w:color w:val="auto"/>
          <w:spacing w:val="0"/>
          <w:sz w:val="32"/>
          <w:szCs w:val="32"/>
          <w:vertAlign w:val="baseline"/>
        </w:rPr>
        <w:br/>
      </w:r>
      <w:r>
        <w:rPr>
          <w:rFonts w:ascii="宋体" w:eastAsia="宋体" w:hint="eastAsia"/>
          <w:b w:val="0"/>
          <w:bCs w:val="0"/>
          <w:i w:val="0"/>
          <w:iCs w:val="0"/>
          <w:caps w:val="0"/>
          <w:smallCaps w:val="0"/>
          <w:vanish w:val="0"/>
          <w:color w:val="auto"/>
          <w:spacing w:val="0"/>
          <w:sz w:val="32"/>
          <w:szCs w:val="32"/>
          <w:vertAlign w:val="baseline"/>
        </w:rPr>
        <w:t>　　</w:t>
      </w:r>
      <w:r>
        <w:rPr>
          <w:rFonts w:ascii="仿宋_GB2312" w:eastAsia="仿宋_GB2312" w:hint="eastAsia"/>
          <w:b w:val="0"/>
          <w:bCs w:val="0"/>
          <w:i w:val="0"/>
          <w:iCs w:val="0"/>
          <w:caps w:val="0"/>
          <w:smallCaps w:val="0"/>
          <w:vanish w:val="0"/>
          <w:color w:val="auto"/>
          <w:spacing w:val="0"/>
          <w:sz w:val="32"/>
          <w:szCs w:val="32"/>
          <w:vertAlign w:val="baseline"/>
        </w:rPr>
        <w:t>党校单位2026年一般公共预算当年拨款142.39万元，比2025年预算数增加2.98万元，主要是基本支出增加2.98万元，主要原因:职工晋级晋升、调资增资。</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auto"/>
          <w:spacing w:val="0"/>
          <w:sz w:val="32"/>
          <w:szCs w:val="32"/>
          <w:vertAlign w:val="baseline"/>
        </w:rPr>
        <w:t>（二）一般公共预算当年拨款结构情况</w:t>
      </w:r>
      <w:r>
        <w:rPr>
          <w:rFonts w:ascii="仿宋_GB2312" w:eastAsia="仿宋_GB2312" w:hint="eastAsia"/>
          <w:b w:val="0"/>
          <w:bCs w:val="0"/>
          <w:i w:val="0"/>
          <w:iCs w:val="0"/>
          <w:caps w:val="0"/>
          <w:smallCaps w:val="0"/>
          <w:vanish w:val="0"/>
          <w:color w:val="auto"/>
          <w:spacing w:val="0"/>
          <w:sz w:val="32"/>
          <w:szCs w:val="32"/>
          <w:vertAlign w:val="baseline"/>
        </w:rPr>
        <w:br/>
      </w:r>
      <w:r>
        <w:rPr>
          <w:rFonts w:ascii="宋体" w:eastAsia="宋体" w:hint="eastAsia"/>
          <w:b w:val="0"/>
          <w:bCs w:val="0"/>
          <w:i w:val="0"/>
          <w:iCs w:val="0"/>
          <w:caps w:val="0"/>
          <w:smallCaps w:val="0"/>
          <w:vanish w:val="0"/>
          <w:color w:val="auto"/>
          <w:spacing w:val="0"/>
          <w:sz w:val="32"/>
          <w:szCs w:val="32"/>
          <w:vertAlign w:val="baseline"/>
        </w:rPr>
        <w:t>　　</w:t>
      </w:r>
      <w:r>
        <w:rPr>
          <w:rFonts w:ascii="仿宋_GB2312" w:eastAsia="仿宋_GB2312" w:hint="eastAsia"/>
          <w:b w:val="0"/>
          <w:bCs w:val="0"/>
          <w:i w:val="0"/>
          <w:iCs w:val="0"/>
          <w:caps w:val="0"/>
          <w:smallCaps w:val="0"/>
          <w:vanish w:val="0"/>
          <w:color w:val="auto"/>
          <w:spacing w:val="0"/>
          <w:sz w:val="32"/>
          <w:szCs w:val="32"/>
          <w:vertAlign w:val="baseline"/>
        </w:rPr>
        <w:t>一般公共服务支出0万元，占0%；教育支出100.18万元，占70.36%；文化体育与传媒支出0万元，占0%；社会保障和就业支出21.73万元，占15.26%；医疗卫生与计划生育支出8.46万元，占5.94%；住房保障支出12.03万元，占8.44%。</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auto"/>
          <w:spacing w:val="0"/>
          <w:sz w:val="32"/>
          <w:szCs w:val="32"/>
          <w:vertAlign w:val="baseline"/>
        </w:rPr>
        <w:t>（三）一般公共预算当年拨款具体使用情况</w:t>
      </w:r>
      <w:r>
        <w:rPr>
          <w:rFonts w:ascii="仿宋_GB2312" w:eastAsia="仿宋_GB2312" w:hint="eastAsia"/>
          <w:b w:val="0"/>
          <w:bCs w:val="0"/>
          <w:i w:val="0"/>
          <w:iCs w:val="0"/>
          <w:caps w:val="0"/>
          <w:smallCaps w:val="0"/>
          <w:vanish w:val="0"/>
          <w:color w:val="auto"/>
          <w:spacing w:val="0"/>
          <w:sz w:val="32"/>
          <w:szCs w:val="32"/>
          <w:vertAlign w:val="baseline"/>
        </w:rPr>
        <w:br/>
      </w:r>
      <w:r>
        <w:rPr>
          <w:rFonts w:ascii="宋体" w:eastAsia="宋体" w:hint="eastAsia"/>
          <w:b w:val="0"/>
          <w:bCs w:val="0"/>
          <w:i w:val="0"/>
          <w:iCs w:val="0"/>
          <w:caps w:val="0"/>
          <w:smallCaps w:val="0"/>
          <w:vanish w:val="0"/>
          <w:color w:val="auto"/>
          <w:spacing w:val="0"/>
          <w:sz w:val="32"/>
          <w:szCs w:val="32"/>
          <w:vertAlign w:val="baseline"/>
        </w:rPr>
        <w:t>　</w:t>
      </w:r>
      <w:r>
        <w:rPr>
          <w:rFonts w:ascii="仿宋_GB2312" w:eastAsia="仿宋_GB2312" w:hint="eastAsia"/>
          <w:b w:val="0"/>
          <w:bCs w:val="0"/>
          <w:i w:val="0"/>
          <w:iCs w:val="0"/>
          <w:caps w:val="0"/>
          <w:smallCaps w:val="0"/>
          <w:vanish w:val="0"/>
          <w:color w:val="auto"/>
          <w:spacing w:val="0"/>
          <w:sz w:val="32"/>
          <w:szCs w:val="32"/>
          <w:vertAlign w:val="baseline"/>
        </w:rPr>
        <w:t>　1．干部教育2026年预算数为100.18万元，主要用于 :县委党校人员工资、日常运转以及为完成财政特定行政工资任务和事业发展目标而安排的年度项目支出，主要包括人员工资万元、商品与服务支出万元、对个人和家庭的补助万元、其他社会保障费。</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2．社会保障和就业支出21.73万元，主要用于机关事业单位按照规定标准为职工缴纳基本养老保险和单位职业年金支出等社会保障费。</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3．医疗卫生与计划生育支出8.46万元，主要用于事业单位等机构按照规定标准为职工缴纳的基本医疗保险及公务员医疗补助等支出。</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4．住房保障支出12.03万元，主要用于事业单位等机构按照规定标准为职工缴纳住房公积金等支出。</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方正黑体_GBK" w:eastAsia="方正黑体_GBK" w:hint="eastAsia"/>
          <w:b/>
          <w:bCs/>
          <w:i w:val="0"/>
          <w:iCs w:val="0"/>
          <w:caps w:val="0"/>
          <w:smallCaps w:val="0"/>
          <w:vanish w:val="0"/>
          <w:color w:val="auto"/>
          <w:spacing w:val="0"/>
          <w:sz w:val="32"/>
          <w:szCs w:val="32"/>
          <w:vertAlign w:val="baseline"/>
        </w:rPr>
        <w:t>六、一般公共预算基本支出情况说明</w:t>
        <w:br/>
      </w:r>
      <w:r>
        <w:rPr>
          <w:rFonts w:ascii="宋体" w:eastAsia="宋体" w:hint="eastAsia"/>
          <w:b w:val="0"/>
          <w:bCs w:val="0"/>
          <w:i w:val="0"/>
          <w:iCs w:val="0"/>
          <w:caps w:val="0"/>
          <w:smallCaps w:val="0"/>
          <w:vanish w:val="0"/>
          <w:color w:val="auto"/>
          <w:spacing w:val="0"/>
          <w:sz w:val="32"/>
          <w:szCs w:val="32"/>
          <w:vertAlign w:val="baseline"/>
        </w:rPr>
        <w:t>　　</w:t>
      </w:r>
      <w:r>
        <w:rPr>
          <w:rFonts w:ascii="仿宋_GB2312" w:eastAsia="仿宋_GB2312" w:hint="eastAsia"/>
          <w:b w:val="0"/>
          <w:bCs w:val="0"/>
          <w:i w:val="0"/>
          <w:iCs w:val="0"/>
          <w:caps w:val="0"/>
          <w:smallCaps w:val="0"/>
          <w:vanish w:val="0"/>
          <w:color w:val="auto"/>
          <w:spacing w:val="0"/>
          <w:sz w:val="32"/>
          <w:szCs w:val="32"/>
          <w:vertAlign w:val="baseline"/>
        </w:rPr>
        <w:t>党校单位2026年一般公共预算基本支出142.39万元，其中：人员经费135.61万元，主要包括：基本工资、津贴补贴、奖金、其他社会保障缴费、绩效工资、机关事业单位基本养老保险缴费、职业年金缴费、其他工资福利支出、离休费、奖励金、住房公积金、其他对个人和家庭的补助支出。公用经费6.79万元，主要包括：办公费、印刷费、手续费、水费、电费、邮电费、差旅费、维修（护）费、租赁费、会议费、培训费、劳务费、工会经费、福利费、其他交通工具运行维护费、其他商品和服务支出。</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方正黑体_GBK" w:eastAsia="方正黑体_GBK" w:hint="eastAsia"/>
          <w:b/>
          <w:bCs/>
          <w:i w:val="0"/>
          <w:iCs w:val="0"/>
          <w:caps w:val="0"/>
          <w:smallCaps w:val="0"/>
          <w:vanish w:val="0"/>
          <w:color w:val="auto"/>
          <w:spacing w:val="0"/>
          <w:sz w:val="32"/>
          <w:szCs w:val="32"/>
          <w:vertAlign w:val="baseline"/>
        </w:rPr>
        <w:t>七、“三公”经费财政拨款预算安排情况说明</w:t>
        <w:br/>
      </w:r>
      <w:r>
        <w:rPr>
          <w:rFonts w:ascii="宋体" w:eastAsia="宋体" w:hint="eastAsia"/>
          <w:b w:val="0"/>
          <w:bCs w:val="0"/>
          <w:i w:val="0"/>
          <w:iCs w:val="0"/>
          <w:caps w:val="0"/>
          <w:smallCaps w:val="0"/>
          <w:vanish w:val="0"/>
          <w:color w:val="auto"/>
          <w:spacing w:val="0"/>
          <w:sz w:val="32"/>
          <w:szCs w:val="32"/>
          <w:vertAlign w:val="baseline"/>
        </w:rPr>
        <w:t>　</w:t>
      </w:r>
      <w:r>
        <w:rPr>
          <w:rFonts w:ascii="仿宋_GB2312" w:eastAsia="仿宋_GB2312" w:hint="eastAsia"/>
          <w:b w:val="0"/>
          <w:bCs w:val="0"/>
          <w:i w:val="0"/>
          <w:iCs w:val="0"/>
          <w:caps w:val="0"/>
          <w:smallCaps w:val="0"/>
          <w:vanish w:val="0"/>
          <w:color w:val="auto"/>
          <w:spacing w:val="0"/>
          <w:sz w:val="32"/>
          <w:szCs w:val="32"/>
          <w:vertAlign w:val="baseline"/>
        </w:rPr>
        <w:t>　党校单位2026年“三公”经费财政拨款预算数0万元，其中：因公出国（境）经费0万元，公务接待费0万元，公务用车购置及运行维护费0万元。</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（一）2026年因公出国（境）经费0万元。较2025年预算经费0万元增长0%，较上年无变化,主要原因：我校无因公出国。</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（二）2026年公务接待费0万元。较2025年预算经费0万元增长0%，较上年无变化，主要原因：严格执行中央八项规定，厉行节约。</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（三）2026年公务用车购置及运行维护费1万元。较2025年预算经费1万元增长0%，较上年无变化，主要原因：严格执行中央八项规定，厉行节约。</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bCs/>
          <w:i w:val="0"/>
          <w:iCs w:val="0"/>
          <w:caps w:val="0"/>
          <w:smallCaps w:val="0"/>
          <w:vanish w:val="0"/>
          <w:color w:val="auto"/>
          <w:spacing w:val="0"/>
          <w:sz w:val="32"/>
          <w:szCs w:val="32"/>
          <w:vertAlign w:val="baseline"/>
        </w:rPr>
      </w:pPr>
      <w:r>
        <w:rPr>
          <w:rFonts w:ascii="黑体" w:eastAsia="黑体" w:hint="eastAsia"/>
          <w:b/>
          <w:bCs/>
          <w:i w:val="0"/>
          <w:iCs w:val="0"/>
          <w:caps w:val="0"/>
          <w:smallCaps w:val="0"/>
          <w:vanish w:val="0"/>
          <w:color w:val="auto"/>
          <w:spacing w:val="0"/>
          <w:sz w:val="32"/>
          <w:szCs w:val="32"/>
          <w:vertAlign w:val="baseline"/>
        </w:rPr>
        <w:t>    八、政府性基金预算支出情况说明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党校单位2026年政府性基金预算拨款安排的支出0万元。较2025年预算经费0万元增长0%，较上年无变化,主要原因：我校无政府性基金预算。</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bCs/>
          <w:i w:val="0"/>
          <w:iCs w:val="0"/>
          <w:caps w:val="0"/>
          <w:smallCaps w:val="0"/>
          <w:vanish w:val="0"/>
          <w:color w:val="auto"/>
          <w:spacing w:val="0"/>
          <w:sz w:val="32"/>
          <w:szCs w:val="32"/>
          <w:vertAlign w:val="baseline"/>
        </w:rPr>
      </w:pPr>
      <w:r>
        <w:rPr>
          <w:rFonts w:ascii="黑体" w:eastAsia="黑体" w:hint="eastAsia"/>
          <w:b/>
          <w:bCs/>
          <w:i w:val="0"/>
          <w:iCs w:val="0"/>
          <w:caps w:val="0"/>
          <w:smallCaps w:val="0"/>
          <w:vanish w:val="0"/>
          <w:color w:val="auto"/>
          <w:spacing w:val="0"/>
          <w:sz w:val="32"/>
          <w:szCs w:val="32"/>
          <w:vertAlign w:val="baseline"/>
        </w:rPr>
        <w:t>九、国有资本经营预算支出情况说明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党校单位2026年国有资本经营预算支出0万元。较2025年预算经费0万元增长0%，较上年无变化，主要原因：我校无国有资本经营预算支出。</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方正黑体_GBK" w:eastAsia="方正黑体_GBK" w:hint="eastAsia"/>
          <w:b/>
          <w:bCs/>
          <w:i w:val="0"/>
          <w:iCs w:val="0"/>
          <w:caps w:val="0"/>
          <w:smallCaps w:val="0"/>
          <w:vanish w:val="0"/>
          <w:color w:val="auto"/>
          <w:spacing w:val="0"/>
          <w:sz w:val="32"/>
          <w:szCs w:val="32"/>
          <w:vertAlign w:val="baseline"/>
        </w:rPr>
      </w:pPr>
      <w:r>
        <w:rPr>
          <w:rFonts w:ascii="方正黑体_GBK" w:eastAsia="方正黑体_GBK" w:hint="eastAsia"/>
          <w:b/>
          <w:bCs/>
          <w:i w:val="0"/>
          <w:iCs w:val="0"/>
          <w:caps w:val="0"/>
          <w:smallCaps w:val="0"/>
          <w:vanish w:val="0"/>
          <w:color w:val="auto"/>
          <w:spacing w:val="0"/>
          <w:sz w:val="32"/>
          <w:szCs w:val="32"/>
          <w:vertAlign w:val="baseline"/>
        </w:rPr>
        <w:t>十、其他重要事项的情况说明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auto"/>
          <w:spacing w:val="0"/>
          <w:sz w:val="32"/>
          <w:szCs w:val="32"/>
          <w:vertAlign w:val="baseline"/>
        </w:rPr>
        <w:t>（一）机关运行经费</w:t>
      </w:r>
      <w:r>
        <w:rPr>
          <w:rFonts w:ascii="仿宋_GB2312" w:eastAsia="仿宋_GB2312" w:hint="eastAsia"/>
          <w:b w:val="0"/>
          <w:bCs w:val="0"/>
          <w:i w:val="0"/>
          <w:iCs w:val="0"/>
          <w:caps w:val="0"/>
          <w:smallCaps w:val="0"/>
          <w:vanish w:val="0"/>
          <w:color w:val="auto"/>
          <w:spacing w:val="0"/>
          <w:sz w:val="32"/>
          <w:szCs w:val="32"/>
          <w:vertAlign w:val="baseline"/>
        </w:rPr>
        <w:br/>
      </w:r>
      <w:r>
        <w:rPr>
          <w:rFonts w:ascii="宋体" w:eastAsia="宋体" w:hint="eastAsia"/>
          <w:b w:val="0"/>
          <w:bCs w:val="0"/>
          <w:i w:val="0"/>
          <w:iCs w:val="0"/>
          <w:caps w:val="0"/>
          <w:smallCaps w:val="0"/>
          <w:vanish w:val="0"/>
          <w:color w:val="auto"/>
          <w:spacing w:val="0"/>
          <w:sz w:val="32"/>
          <w:szCs w:val="32"/>
          <w:vertAlign w:val="baseline"/>
        </w:rPr>
        <w:t>　</w:t>
      </w:r>
      <w:r>
        <w:rPr>
          <w:rFonts w:ascii="仿宋_GB2312" w:eastAsia="仿宋_GB2312" w:hint="eastAsia"/>
          <w:b w:val="0"/>
          <w:bCs w:val="0"/>
          <w:i w:val="0"/>
          <w:iCs w:val="0"/>
          <w:caps w:val="0"/>
          <w:smallCaps w:val="0"/>
          <w:vanish w:val="0"/>
          <w:color w:val="auto"/>
          <w:spacing w:val="0"/>
          <w:sz w:val="32"/>
          <w:szCs w:val="32"/>
          <w:vertAlign w:val="baseline"/>
        </w:rPr>
        <w:t>党校单位2026年机关运行经费财政拨款预算为6.79万元，比2025年预算增加0.07万元，增长1.04%。</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bCs/>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auto"/>
          <w:spacing w:val="0"/>
          <w:sz w:val="32"/>
          <w:szCs w:val="32"/>
          <w:vertAlign w:val="baseline"/>
        </w:rPr>
        <w:t>（二）政府采购情况</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2026年党校单位安排政府采购预算0万元。</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bCs/>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auto"/>
          <w:spacing w:val="0"/>
          <w:sz w:val="32"/>
          <w:szCs w:val="32"/>
          <w:vertAlign w:val="baseline"/>
        </w:rPr>
        <w:t>（三）国有资产占有使用情况</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资产全部计入党校本级</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bCs/>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auto"/>
          <w:spacing w:val="0"/>
          <w:sz w:val="32"/>
          <w:szCs w:val="32"/>
          <w:vertAlign w:val="baseline"/>
        </w:rPr>
        <w:t>（四）绩效目标设置情况</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2026年党校单位通用项目和专用项目均按要求实行绩效目标管理，涉及一般公共预算当年拨款142.39万元。</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方正黑体_GBK" w:eastAsia="方正黑体_GBK" w:hint="eastAsia"/>
          <w:b/>
          <w:bCs/>
          <w:i w:val="0"/>
          <w:iCs w:val="0"/>
          <w:caps w:val="0"/>
          <w:smallCaps w:val="0"/>
          <w:vanish w:val="0"/>
          <w:color w:val="auto"/>
          <w:spacing w:val="0"/>
          <w:sz w:val="32"/>
          <w:szCs w:val="32"/>
          <w:vertAlign w:val="baseline"/>
        </w:rPr>
      </w:pPr>
      <w:r>
        <w:rPr>
          <w:rFonts w:ascii="方正黑体_GBK" w:eastAsia="方正黑体_GBK" w:hint="eastAsia"/>
          <w:b/>
          <w:bCs/>
          <w:i w:val="0"/>
          <w:iCs w:val="0"/>
          <w:caps w:val="0"/>
          <w:smallCaps w:val="0"/>
          <w:vanish w:val="0"/>
          <w:color w:val="auto"/>
          <w:spacing w:val="0"/>
          <w:sz w:val="32"/>
          <w:szCs w:val="32"/>
          <w:vertAlign w:val="baseline"/>
        </w:rPr>
        <w:t>十一、名词解释</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auto"/>
          <w:spacing w:val="0"/>
          <w:sz w:val="32"/>
          <w:szCs w:val="32"/>
          <w:vertAlign w:val="baseline"/>
        </w:rPr>
        <w:t>（一）财政拨款收入：</w:t>
      </w:r>
      <w:r>
        <w:rPr>
          <w:rFonts w:ascii="仿宋_GB2312" w:eastAsia="仿宋_GB2312" w:hint="eastAsia"/>
          <w:b w:val="0"/>
          <w:bCs w:val="0"/>
          <w:i w:val="0"/>
          <w:iCs w:val="0"/>
          <w:caps w:val="0"/>
          <w:smallCaps w:val="0"/>
          <w:vanish w:val="0"/>
          <w:color w:val="auto"/>
          <w:spacing w:val="0"/>
          <w:sz w:val="32"/>
          <w:szCs w:val="32"/>
          <w:vertAlign w:val="baseline"/>
        </w:rPr>
        <w:t>指由财政拨款形成的部门收入。按现行管理制度，部门预算中反映的财政拨款仅包括一般公共预算拨款和政府性基金预算拨款。</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auto"/>
          <w:spacing w:val="0"/>
          <w:sz w:val="32"/>
          <w:szCs w:val="32"/>
          <w:vertAlign w:val="baseline"/>
        </w:rPr>
        <w:t>（二）事业收入：</w:t>
      </w:r>
      <w:r>
        <w:rPr>
          <w:rFonts w:ascii="仿宋_GB2312" w:eastAsia="仿宋_GB2312" w:hint="eastAsia"/>
          <w:b w:val="0"/>
          <w:bCs w:val="0"/>
          <w:i w:val="0"/>
          <w:iCs w:val="0"/>
          <w:caps w:val="0"/>
          <w:smallCaps w:val="0"/>
          <w:vanish w:val="0"/>
          <w:color w:val="auto"/>
          <w:spacing w:val="0"/>
          <w:sz w:val="32"/>
          <w:szCs w:val="32"/>
          <w:vertAlign w:val="baseline"/>
        </w:rPr>
        <w:t>指所属事业单位开展专业业务活动及辅助活动所取得的收入。</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auto"/>
          <w:spacing w:val="0"/>
          <w:sz w:val="32"/>
          <w:szCs w:val="32"/>
          <w:vertAlign w:val="baseline"/>
        </w:rPr>
        <w:t>（三）事业单位经营收入：</w:t>
      </w:r>
      <w:r>
        <w:rPr>
          <w:rFonts w:ascii="仿宋_GB2312" w:eastAsia="仿宋_GB2312" w:hint="eastAsia"/>
          <w:b w:val="0"/>
          <w:bCs w:val="0"/>
          <w:i w:val="0"/>
          <w:iCs w:val="0"/>
          <w:caps w:val="0"/>
          <w:smallCaps w:val="0"/>
          <w:vanish w:val="0"/>
          <w:color w:val="auto"/>
          <w:spacing w:val="0"/>
          <w:sz w:val="32"/>
          <w:szCs w:val="32"/>
          <w:vertAlign w:val="baseline"/>
        </w:rPr>
        <w:t>指所属事业单位在专业业务活动及其辅助活动之外开展非独立核算经营活动取得的收入。</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auto"/>
          <w:spacing w:val="0"/>
          <w:sz w:val="32"/>
          <w:szCs w:val="32"/>
          <w:vertAlign w:val="baseline"/>
        </w:rPr>
        <w:t>（四）其他收入：</w:t>
      </w:r>
      <w:r>
        <w:rPr>
          <w:rFonts w:ascii="仿宋_GB2312" w:eastAsia="仿宋_GB2312" w:hint="eastAsia"/>
          <w:b w:val="0"/>
          <w:bCs w:val="0"/>
          <w:i w:val="0"/>
          <w:iCs w:val="0"/>
          <w:caps w:val="0"/>
          <w:smallCaps w:val="0"/>
          <w:vanish w:val="0"/>
          <w:color w:val="auto"/>
          <w:spacing w:val="0"/>
          <w:sz w:val="32"/>
          <w:szCs w:val="32"/>
          <w:vertAlign w:val="baseline"/>
        </w:rPr>
        <w:t>指除上述“财政拨款收入”、“事业收入”、“事业单位经营收入”等以外的收入，主要是所属行政事业单位按规定动用的售房收入、存款利息收入等。</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auto"/>
          <w:spacing w:val="0"/>
          <w:sz w:val="32"/>
          <w:szCs w:val="32"/>
          <w:vertAlign w:val="baseline"/>
        </w:rPr>
        <w:t>（五）用事业基金弥补收支差额：</w:t>
      </w:r>
      <w:r>
        <w:rPr>
          <w:rFonts w:ascii="仿宋_GB2312" w:eastAsia="仿宋_GB2312" w:hint="eastAsia"/>
          <w:b w:val="0"/>
          <w:bCs w:val="0"/>
          <w:i w:val="0"/>
          <w:iCs w:val="0"/>
          <w:caps w:val="0"/>
          <w:smallCaps w:val="0"/>
          <w:vanish w:val="0"/>
          <w:color w:val="auto"/>
          <w:spacing w:val="0"/>
          <w:sz w:val="32"/>
          <w:szCs w:val="32"/>
          <w:vertAlign w:val="baseline"/>
        </w:rPr>
        <w:t>指所属事业单位在预计用当年的“财政拨款收入”、“事业收入”、“事业单位经营收入”、“其他收入”不足以安排当年支出的情况下，使用以前年度积累的事业基金弥补本年度收支缺口的资金。</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auto"/>
          <w:spacing w:val="0"/>
          <w:sz w:val="32"/>
          <w:szCs w:val="32"/>
          <w:vertAlign w:val="baseline"/>
        </w:rPr>
        <w:t>（六）上年结转：</w:t>
      </w:r>
      <w:r>
        <w:rPr>
          <w:rFonts w:ascii="仿宋_GB2312" w:eastAsia="仿宋_GB2312" w:hint="eastAsia"/>
          <w:b w:val="0"/>
          <w:bCs w:val="0"/>
          <w:i w:val="0"/>
          <w:iCs w:val="0"/>
          <w:caps w:val="0"/>
          <w:smallCaps w:val="0"/>
          <w:vanish w:val="0"/>
          <w:color w:val="auto"/>
          <w:spacing w:val="0"/>
          <w:sz w:val="32"/>
          <w:szCs w:val="32"/>
          <w:vertAlign w:val="baseline"/>
        </w:rPr>
        <w:t>指所属行政事业单位以前年度尚未完成、结转至本年按原规定用途继续使用的资金和以前年度已完成项目剩余资金经批准用于新用途使用的资金。</w:t>
      </w:r>
    </w:p>
    <w:p>
      <w:r>
        <w:rPr>
          <w:rFonts w:ascii="仿宋_GB2312" w:eastAsia="仿宋_GB2312" w:hint="eastAsia"/>
          <w:b w:val="0"/>
          <w:bCs w:val="0"/>
          <w:i w:val="0"/>
          <w:iCs w:val="0"/>
          <w:caps w:val="0"/>
          <w:smallCaps w:val="0"/>
          <w:vanish w:val="0"/>
          <w:color w:val="auto"/>
          <w:spacing w:val="0"/>
          <w:sz w:val="32"/>
          <w:szCs w:val="32"/>
          <w:vertAlign w:val="baseline"/>
        </w:rPr>
        <w:t> </w:t>
      </w:r>
      <w:bookmarkStart w:id="0" w:name="_GoBack"/>
      <w:bookmarkEnd w:id="0"/>
    </w:p>
    <w:sectPr>
      <w:pgSz w:w="11906" w:h="16838"/>
      <w:pgMar w:top="1440" w:right="1800" w:bottom="1440" w:left="1800" w:header="851" w:footer="992" w:gutter="0"/>
      <w:docGrid w:type="lines" w:linePitch="312" w:charSpace="-4915"/>
    </w:sectPr>
  </w:body>
</w:document>
</file>

<file path=word/fontTable.xml><?xml version="1.0" encoding="utf-8"?>
<w:fonts xmlns:w="http://schemas.openxmlformats.org/wordprocessingml/2006/main" xmlns:r="http://schemas.openxmlformats.org/officeDocument/2006/relationships">
  <w:font w:name="Calibri">
    <w:altName w:val="Times New Roman"/>
    <w:panose1 w:val="020F0502020204030204"/>
    <w:charset w:val="00"/>
    <w:family w:val="swiss"/>
    <w:pitch w:val="variable"/>
    <w:sig w:usb0="E10002FF" w:usb1="4000ACFF" w:usb2="00000009" w:usb3="00000000" w:csb0="2000019F" w:csb1="00000000"/>
  </w:font>
  <w:font w:name="黑体">
    <w:panose1 w:val="02010609060101010101"/>
    <w:charset w:val="86"/>
    <w:family w:val="auto"/>
    <w:pitch w:val="variable"/>
    <w:sig w:usb0="800002BF" w:usb1="38CF7CFA" w:usb2="00000016" w:usb3="00000000" w:csb0="00040001" w:csb1="00000000"/>
  </w:font>
  <w:font w:name="方正小标宋简体">
    <w:altName w:val="Arial Unicode MS"/>
    <w:panose1 w:val="00000000000000000000"/>
    <w:charset w:val="86"/>
    <w:family w:val="auto"/>
    <w:pitch w:val="variable"/>
    <w:sig w:usb0="00000000" w:usb1="00000000" w:usb2="00000010" w:usb3="00000000" w:csb0="00040000" w:csb1="00000000"/>
  </w:font>
  <w:font w:name="仿宋_GB2312">
    <w:altName w:val="仿宋"/>
    <w:panose1 w:val="00000000000000000000"/>
    <w:charset w:val="86"/>
    <w:family w:val="modern"/>
    <w:pitch w:val="variable"/>
    <w:sig w:usb0="00000000" w:usb1="00000000" w:usb2="00000010" w:usb3="00000000" w:csb0="00040000" w:csb1="00000000"/>
  </w:font>
  <w:font w:name="楷体_GB2312">
    <w:altName w:val="楷体"/>
    <w:panose1 w:val="00000000000000000000"/>
    <w:charset w:val="86"/>
    <w:family w:val="modern"/>
    <w:pitch w:val="variable"/>
    <w:sig w:usb0="00000000" w:usb1="00000000" w:usb2="00000010" w:usb3="00000000" w:csb0="00040000" w:csb1="00000000"/>
  </w:font>
  <w:font w:name="方正黑体_GBK">
    <w:altName w:val="Arial Unicode MS"/>
    <w:panose1 w:val="00000000000000000000"/>
    <w:charset w:val="86"/>
    <w:family w:val="auto"/>
    <w:pitch w:val="variable"/>
    <w:sig w:usb0="00000000" w:usb1="00000000" w:usb2="00000000" w:usb3="00000000" w:csb0="00040000" w:csb1="00000000"/>
  </w:font>
  <w:font w:name="宋体">
    <w:panose1 w:val="02010600030101010101"/>
    <w:charset w:val="86"/>
    <w:family w:val="auto"/>
    <w:pitch w:val="variable"/>
    <w:sig w:usb0="00000003" w:usb1="288F0000" w:usb2="00000006" w:usb3="00000000" w:csb0="00040001" w:csb1="00000000"/>
  </w:font>
  <w:font w:name="Times New Roman">
    <w:panose1 w:val="02020603050405020304"/>
    <w:charset w:val="00"/>
    <w:family w:val="roman"/>
    <w:pitch w:val="variable"/>
    <w:sig w:usb0="20007A87" w:usb1="80000000" w:usb2="00000008" w:usb3="00000000" w:csb0="000001F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compatSetting w:name="compatibilityMode" w:uri="http://schemas.microsoft.com/office/word" w:val="12"/>
  </w:compat>
  <w:docVars>
    <w:docVar w:name="commondata" w:val="eyJoZGlkIjoiYzZlZTA3ZmY5NzUzZGNmYzI2Zjg5YjJjZDk4NjJkNjQ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uto"/>
      <w:jc w:val="left"/>
    </w:pPr>
    <w:rPr>
      <w:rFonts w:ascii="宋体" w:eastAsia="宋体"/>
      <w:kern w:val="2"/>
      <w:sz w:val="24"/>
      <w:szCs w:val="21"/>
      <w:lang w:val="en-US" w:eastAsia="zh-CN"/>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Body Text"/>
    <w:basedOn w:val="0"/>
    <w:autoRedefine/>
    <w:pPr>
      <w:spacing w:beforeLines="30" w:before="30"/>
    </w:pPr>
    <w:rPr>
      <w:rFonts w:ascii="仿宋_GB2312" w:eastAsia="仿宋_GB2312"/>
      <w:sz w:val="30"/>
      <w:szCs w:val="24"/>
    </w:rPr>
  </w:style>
  <w:style w:type="paragraph" w:styleId="16">
    <w:name w:val="Body Text Indent 2"/>
    <w:basedOn w:val="0"/>
    <w:next w:val="0"/>
    <w:pPr>
      <w:spacing w:after="120" w:line="480" w:lineRule="auto"/>
      <w:ind w:leftChars="200" w:left="200"/>
    </w:pPr>
    <w:rPr>
      <w:sz w:val="28"/>
    </w:rPr>
  </w:style>
  <w:style w:type="paragraph" w:styleId="17">
    <w:name w:val="footer"/>
    <w:basedOn w:val="0"/>
    <w:autoRedefine/>
    <w:pPr>
      <w:tabs>
        <w:tab w:val="center" w:pos="4153"/>
        <w:tab w:val="right" w:pos="8306"/>
      </w:tabs>
      <w:snapToGrid w:val="0"/>
      <w:jc w:val="left"/>
    </w:pPr>
    <w:rPr>
      <w:sz w:val="18"/>
      <w:szCs w:val="18"/>
    </w:rPr>
  </w:style>
  <w:style w:type="paragraph" w:styleId="18">
    <w:name w:val="header"/>
    <w:basedOn w:val="0"/>
    <w:autoRedefine/>
    <w:pPr>
      <w:pBdr>
        <w:bottom w:val="single" w:sz="6" w:space="1" w:color="auto"/>
      </w:pBdr>
      <w:tabs>
        <w:tab w:val="center" w:pos="4153"/>
        <w:tab w:val="right" w:pos="8306"/>
      </w:tabs>
      <w:snapToGrid w:val="0"/>
      <w:jc w:val="center"/>
    </w:pPr>
    <w:rPr>
      <w:sz w:val="18"/>
      <w:szCs w:val="18"/>
    </w:rPr>
  </w:style>
  <w:style w:type="character" w:styleId="19">
    <w:name w:val="Emphasis"/>
    <w:basedOn w:val="10"/>
    <w:autoRedefine/>
  </w:style>
  <w:style w:type="paragraph" w:customStyle="1" w:styleId="20">
    <w:name w:val="正文文本1"/>
    <w:basedOn w:val="0"/>
    <w:pPr>
      <w:spacing w:before="93"/>
    </w:pPr>
    <w:rPr>
      <w:rFonts w:ascii="仿宋_GB2312" w:eastAsia="仿宋_GB2312" w:cs="仿宋_GB2312"/>
      <w:kern w:val="0"/>
      <w:sz w:val="30"/>
      <w:szCs w:val="30"/>
    </w:rPr>
  </w:style>
  <w:style w:type="character" w:customStyle="1" w:styleId="21">
    <w:name w:val="默认段落字体1"/>
    <w:autoRedefine/>
    <w:rPr>
      <w:sz w:val="22"/>
      <w:szCs w:val="22"/>
    </w:rPr>
  </w:style>
  <w:style w:type="paragraph" w:styleId="22">
    <w:name w:val="List Paragraph"/>
    <w:basedOn w:val="0"/>
    <w:autoRedefine/>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0</TotalTime>
  <Application>Yozo_Office27021597764231179</Application>
  <Pages>9</Pages>
  <Words>3123</Words>
  <Characters>3402</Characters>
  <Lines>190</Lines>
  <Paragraphs>62</Paragraphs>
  <CharactersWithSpaces>3484</CharactersWithSpaces>
  <Company>MS</Company>
</Properties>
</file>

<file path=docProps/core.xml><?xml version="1.0" encoding="utf-8"?>
<cp:coreProperties xmlns:cp="http://schemas.openxmlformats.org/package/2006/metadata/core-properties" xmlns:dc="http://purl.org/dc/elements/1.1/" xmlns:dcterms="http://purl.org/dc/terms/" xmlns:xsi="http://www.w3.org/2001/XMLSchema-instance">
  <dc:creator>薛永萍</dc:creator>
  <cp:lastModifiedBy>user</cp:lastModifiedBy>
  <cp:revision>2</cp:revision>
  <cp:lastPrinted>2025-01-17T08:46:00Z</cp:lastPrinted>
  <dcterms:created xsi:type="dcterms:W3CDTF">2026-01-27T03:38:00Z</dcterms:created>
  <dcterms:modified xsi:type="dcterms:W3CDTF">2026-01-28T03:11:01Z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2052-12.1.0.16388</vt:lpwstr>
  </property>
  <property fmtid="{D5CDD505-2E9C-101B-9397-08002B2CF9AE}" pid="3" name="ICV">
    <vt:lpwstr>36B6611BF0064DE989E5F8617D2F8FDF_13</vt:lpwstr>
  </property>
  <property fmtid="{D5CDD505-2E9C-101B-9397-08002B2CF9AE}" pid="4" name="KSOTemplateDocerSaveRecord">
    <vt:lpwstr>eyJoZGlkIjoiOTZhYzY0Nzc5ODAzYTY5MGI1ZDc2NmMxZmY1OTYzZDkiLCJ1c2VySWQiOiIxMDM0MzAwMzEzIn0=</vt:lpwstr>
  </property>
</Properties>
</file>