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方正小标宋简体" w:eastAsia="方正小标宋简体" w:hint="eastAsia"/>
          <w:b w:val="0"/>
          <w:bCs w:val="0"/>
          <w:i w:val="0"/>
          <w:iCs w:val="0"/>
          <w:caps w:val="0"/>
          <w:smallCaps w:val="0"/>
          <w:vanish w:val="0"/>
          <w:color w:val="auto"/>
          <w:spacing w:val="0"/>
          <w:sz w:val="44"/>
          <w:szCs w:val="44"/>
          <w:vertAlign w:val="baseline"/>
        </w:rPr>
      </w:pPr>
      <w:r>
        <w:rPr>
          <w:rFonts w:ascii="方正小标宋简体" w:eastAsia="方正小标宋简体" w:hint="eastAsia"/>
          <w:b w:val="0"/>
          <w:bCs w:val="0"/>
          <w:i w:val="0"/>
          <w:iCs w:val="0"/>
          <w:caps w:val="0"/>
          <w:smallCaps w:val="0"/>
          <w:vanish w:val="0"/>
          <w:color w:val="auto"/>
          <w:spacing w:val="0"/>
          <w:sz w:val="44"/>
          <w:szCs w:val="44"/>
          <w:vertAlign w:val="baseline"/>
        </w:rPr>
        <w:t>若尔盖县委党校2026年部门预算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jc w:val="center"/>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 1 月 28 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1040"/>
        <w:jc w:val="center"/>
        <w:rPr>
          <w:rFonts w:ascii="方正小标宋简体" w:eastAsia="方正小标宋简体" w:hint="eastAsia"/>
          <w:b w:val="0"/>
          <w:bCs w:val="0"/>
          <w:i w:val="0"/>
          <w:iCs w:val="0"/>
          <w:caps w:val="0"/>
          <w:smallCaps w:val="0"/>
          <w:vanish w:val="0"/>
          <w:color w:val="auto"/>
          <w:spacing w:val="0"/>
          <w:sz w:val="52"/>
          <w:szCs w:val="52"/>
          <w:vertAlign w:val="baseline"/>
        </w:rPr>
      </w:pPr>
      <w:r>
        <w:rPr>
          <w:rFonts w:ascii="方正小标宋简体" w:eastAsia="方正小标宋简体" w:hint="eastAsia"/>
          <w:b w:val="0"/>
          <w:bCs w:val="0"/>
          <w:i w:val="0"/>
          <w:iCs w:val="0"/>
          <w:caps w:val="0"/>
          <w:smallCaps w:val="0"/>
          <w:vanish w:val="0"/>
          <w:color w:val="auto"/>
          <w:spacing w:val="0"/>
          <w:sz w:val="52"/>
          <w:szCs w:val="52"/>
          <w:vertAlign w:val="baseline"/>
        </w:rPr>
        <w:t>目 录</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1040"/>
        <w:jc w:val="center"/>
        <w:rPr>
          <w:rFonts w:ascii="Calibri" w:hAnsi="Calibri"/>
          <w:b w:val="0"/>
          <w:bCs w:val="0"/>
          <w:i w:val="0"/>
          <w:iCs w:val="0"/>
          <w:caps w:val="0"/>
          <w:smallCaps w:val="0"/>
          <w:vanish w:val="0"/>
          <w:color w:val="000000"/>
          <w:spacing w:val="0"/>
          <w:sz w:val="21"/>
          <w:szCs w:val="21"/>
        </w:rPr>
      </w:pPr>
      <w:r>
        <w:rPr>
          <w:rFonts w:ascii="方正小标宋简体" w:eastAsia="方正小标宋简体" w:hint="eastAsia"/>
          <w:b w:val="0"/>
          <w:bCs w:val="0"/>
          <w:i w:val="0"/>
          <w:iCs w:val="0"/>
          <w:caps w:val="0"/>
          <w:smallCaps w:val="0"/>
          <w:vanish w:val="0"/>
          <w:color w:val="auto"/>
          <w:spacing w:val="0"/>
          <w:sz w:val="52"/>
          <w:szCs w:val="5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一、基本职能及主要工作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（一）部门职能简介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二、部门预算单位构成</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三、收支预算情况说明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（一）收入预算情况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（二）支出预算情况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四、财政拨款收支预算情况说明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五、一般公共预算当年拨款情况说明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（一）一般公共预算当年拨款规模变化情况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（二）一般公共预算当年拨款结构情况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（三）一般公共预算当年拨款具体使用情况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六、一般公共预算基本支出情况说明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七、“三公”经费财政拨款预算安排情况说明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十、其他重要事项的情况说明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十一、名称解释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300" w:firstLine="24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12"/>
          <w:szCs w:val="1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一、基本职能及主要工作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（一）单位职能简介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若尔盖县委党校是党委的职能部门。根据县委、县政府关于2026年全县工作的总体部署,为在职干部提供教育和培训服务，承办党委和政府举办的专题研讨班。</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（二）单位2026年重点工作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1.充实教学内容及形式。在教学路线上，增设教学点与点间的车载教学，根据情况适量开展体验式教学（如过草地）。构建完善“专职+外聘+乡土”的多元化师资体系，将本土教学专家、特色教师纳入兼职教师库。继续完成一年最少60期培训班和长征干部学员班培训，以及微党课的教学任务。</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2.继续抓好“建设”。</w:t>
      </w:r>
      <w:r>
        <w:rPr>
          <w:rFonts w:ascii="仿宋_GB2312" w:eastAsia="仿宋_GB2312" w:hint="eastAsia"/>
          <w:b/>
          <w:bCs/>
          <w:i w:val="0"/>
          <w:iCs w:val="0"/>
          <w:caps w:val="0"/>
          <w:smallCaps w:val="0"/>
          <w:vanish w:val="0"/>
          <w:color w:val="auto"/>
          <w:spacing w:val="0"/>
          <w:sz w:val="32"/>
          <w:szCs w:val="32"/>
          <w:vertAlign w:val="baseline"/>
        </w:rPr>
        <w:t>一是</w:t>
      </w:r>
      <w:r>
        <w:rPr>
          <w:rFonts w:ascii="仿宋_GB2312" w:eastAsia="仿宋_GB2312" w:hint="eastAsia"/>
          <w:b w:val="0"/>
          <w:bCs w:val="0"/>
          <w:i w:val="0"/>
          <w:iCs w:val="0"/>
          <w:caps w:val="0"/>
          <w:smallCaps w:val="0"/>
          <w:vanish w:val="0"/>
          <w:color w:val="auto"/>
          <w:spacing w:val="0"/>
          <w:sz w:val="32"/>
          <w:szCs w:val="32"/>
          <w:vertAlign w:val="baseline"/>
        </w:rPr>
        <w:t>认真抓好党校基础设施建设，积极争取第二期资金，不断提升我校在硬件设施方面的水平。同时加强监管，严把质量关，确保把县委党校新校区建设成为精品工程、样板工程。</w:t>
      </w:r>
      <w:r>
        <w:rPr>
          <w:rFonts w:ascii="仿宋_GB2312" w:eastAsia="仿宋_GB2312" w:hint="eastAsia"/>
          <w:b/>
          <w:bCs/>
          <w:i w:val="0"/>
          <w:iCs w:val="0"/>
          <w:caps w:val="0"/>
          <w:smallCaps w:val="0"/>
          <w:vanish w:val="0"/>
          <w:color w:val="auto"/>
          <w:spacing w:val="0"/>
          <w:sz w:val="32"/>
          <w:szCs w:val="32"/>
          <w:vertAlign w:val="baseline"/>
        </w:rPr>
        <w:t>二是</w:t>
      </w:r>
      <w:r>
        <w:rPr>
          <w:rFonts w:ascii="仿宋_GB2312" w:eastAsia="仿宋_GB2312" w:hint="eastAsia"/>
          <w:b w:val="0"/>
          <w:bCs w:val="0"/>
          <w:i w:val="0"/>
          <w:iCs w:val="0"/>
          <w:caps w:val="0"/>
          <w:smallCaps w:val="0"/>
          <w:vanish w:val="0"/>
          <w:color w:val="auto"/>
          <w:spacing w:val="0"/>
          <w:sz w:val="32"/>
          <w:szCs w:val="32"/>
          <w:vertAlign w:val="baseline"/>
        </w:rPr>
        <w:t>完善工作模式和教学方法，规范教学流程，探索“课堂+基地”实训模式，充分发挥信息化网络优势，不断拓展办学思路，在开放办学中进一步发挥好党校的主题教育作用。立足当前，放眼长远，以勇争一流的精神，把发展与创建统一起来，切实发挥党校的理论教学作用。</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3.讲好若尔盖红色故事。</w:t>
      </w:r>
      <w:r>
        <w:rPr>
          <w:rFonts w:ascii="仿宋_GB2312" w:eastAsia="仿宋_GB2312" w:hint="eastAsia"/>
          <w:b/>
          <w:bCs/>
          <w:i w:val="0"/>
          <w:iCs w:val="0"/>
          <w:caps w:val="0"/>
          <w:smallCaps w:val="0"/>
          <w:vanish w:val="0"/>
          <w:color w:val="auto"/>
          <w:spacing w:val="0"/>
          <w:sz w:val="32"/>
          <w:szCs w:val="32"/>
          <w:vertAlign w:val="baseline"/>
        </w:rPr>
        <w:t>一要</w:t>
      </w:r>
      <w:r>
        <w:rPr>
          <w:rFonts w:ascii="仿宋_GB2312" w:eastAsia="仿宋_GB2312" w:hint="eastAsia"/>
          <w:b w:val="0"/>
          <w:bCs w:val="0"/>
          <w:i w:val="0"/>
          <w:iCs w:val="0"/>
          <w:caps w:val="0"/>
          <w:smallCaps w:val="0"/>
          <w:vanish w:val="0"/>
          <w:color w:val="auto"/>
          <w:spacing w:val="0"/>
          <w:sz w:val="32"/>
          <w:szCs w:val="32"/>
          <w:vertAlign w:val="baseline"/>
        </w:rPr>
        <w:t>利用好若尔盖红色资源，将发生在若尔盖的重大事件，进行收集、整理、考证，打造成为可以作为党校教师使用的教学资源。</w:t>
      </w:r>
      <w:r>
        <w:rPr>
          <w:rFonts w:ascii="仿宋_GB2312" w:eastAsia="仿宋_GB2312" w:hint="eastAsia"/>
          <w:b/>
          <w:bCs/>
          <w:i w:val="0"/>
          <w:iCs w:val="0"/>
          <w:caps w:val="0"/>
          <w:smallCaps w:val="0"/>
          <w:vanish w:val="0"/>
          <w:color w:val="auto"/>
          <w:spacing w:val="0"/>
          <w:sz w:val="32"/>
          <w:szCs w:val="32"/>
          <w:vertAlign w:val="baseline"/>
        </w:rPr>
        <w:t>二要</w:t>
      </w:r>
      <w:r>
        <w:rPr>
          <w:rFonts w:ascii="仿宋_GB2312" w:eastAsia="仿宋_GB2312" w:hint="eastAsia"/>
          <w:b w:val="0"/>
          <w:bCs w:val="0"/>
          <w:i w:val="0"/>
          <w:iCs w:val="0"/>
          <w:caps w:val="0"/>
          <w:smallCaps w:val="0"/>
          <w:vanish w:val="0"/>
          <w:color w:val="auto"/>
          <w:spacing w:val="0"/>
          <w:sz w:val="32"/>
          <w:szCs w:val="32"/>
          <w:vertAlign w:val="baseline"/>
        </w:rPr>
        <w:t>讲好若尔盖红色重要人物事迹。既要秉承实事求是，又要创新文字表达，活用生动语言，融入真情实感，增强教学的感染力吸引力和渗透力，切实发挥党校党性教育基地作用。</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二、部门预算单位构成</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若尔盖县委党校属一级预算单位，下属二级预算单位2个，其中：行政单位0个；参照公务员法管理的事业单位1个；其他事业单位1个。分别是：1.县委党校本级；2.中国共产党若尔盖县委员会党校教研室。本单位编制数为19人（参公人员13名；事业人员6名），现有人员12名（参公人员6名；事业人员6名），正科级领导干部一名，副科级领导干部两名。</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三、收支预算情况说明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按照综合预算的原则，党校单位所有收入和支出均纳入部门预算管理。收入包括：一般公共预算拨款收入319.21万元，事业收入0万元，其他收入0万元，上年结转0万元；支出包括：一般公共服务支出0万元，教育支出226.98万元，文化体育与传媒支出0万元，社会保障和就业支出46.6万元，医疗卫生与计划生育支出19.99万元，住房保障支出25.63万元。党校单位2026年收支总预算319.21万元,　比2025年收支预算总数减少14.66万元，主要原因: 人员减少。</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000000"/>
          <w:spacing w:val="0"/>
          <w:sz w:val="32"/>
          <w:szCs w:val="32"/>
        </w:rPr>
        <w:t>（一）</w:t>
      </w:r>
      <w:r>
        <w:rPr>
          <w:rFonts w:ascii="楷体_GB2312" w:eastAsia="楷体_GB2312" w:hint="eastAsia"/>
          <w:b/>
          <w:bCs/>
          <w:i w:val="0"/>
          <w:iCs w:val="0"/>
          <w:caps w:val="0"/>
          <w:smallCaps w:val="0"/>
          <w:vanish w:val="0"/>
          <w:color w:val="auto"/>
          <w:spacing w:val="0"/>
          <w:sz w:val="32"/>
          <w:szCs w:val="32"/>
          <w:vertAlign w:val="baseline"/>
        </w:rPr>
        <w:t>收入预算情况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党校单位2026年收入预算319.21万元，其中：上年结转0万元，占0%；一般公共预算拨款收入319.21万元，占100%；事业收入0万元，占0%；其他收入0万元，占0%。</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rPr>
        <w:t>（二）</w:t>
      </w:r>
      <w:r>
        <w:rPr>
          <w:rFonts w:ascii="楷体_GB2312" w:eastAsia="楷体_GB2312" w:hint="eastAsia"/>
          <w:b/>
          <w:bCs/>
          <w:i w:val="0"/>
          <w:iCs w:val="0"/>
          <w:caps w:val="0"/>
          <w:smallCaps w:val="0"/>
          <w:vanish w:val="0"/>
          <w:color w:val="auto"/>
          <w:spacing w:val="0"/>
          <w:sz w:val="32"/>
          <w:szCs w:val="32"/>
          <w:vertAlign w:val="baseline"/>
        </w:rPr>
        <w:t>支出预算情况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党校单位2026年支出预算319.21万元，其中：基本支出319.21万元，占100%；项目支出0万元，占0%。</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四、财政拨款收支预算情况说明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党校单位2026年财政拨款收支总预算319.21万元,比2025年财政拨款收支总预算减少14.66万元，主要原因: 人员减少。收入包括：本年一般公共预算拨款收入319.21万元，上年结转财政拨款资金0万元；支出包括：一般公共服务支出0万元，教育支出226.98万元，文化体育与传媒支出0万元，社会保障和就业支出46.6万元，医疗卫生与计划生育支出19.99万元，住房保障支出25.63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五 、一般公共预算当年拨款情况说明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（一）一般公共预算当年拨款规模变化情况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党校单位2026年一般公共预算当年拨款319.21万元，比2025年预算数减少14.66万元，主要是基本支出减少14.66万元，主要原因: 人员减少。</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（二）一般公共预算当年拨款结构情况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一般公共服务支出0万元，占0%；教育支出226.98万元，占71.11%；文化体育与传媒支出0万元，占0%；社会保障和就业支出46.6万元，占14.60%；医疗卫生与计划生育支出19.99万元，占6.26%；住房保障支出25.63万元，占8.03%。</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（三）一般公共预算当年拨款具体使用情况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1．干部教育2026年预算数为226.98万元，主要用于 :县委党校人员工资、日常运转以及为完成财政特定行政工资任务和事业发展目标而安排的年度项目支出，主要包括人员工资万元、商品与服务支出万元、对个人和家庭的补助万元、其他社会保障费。</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2．社会保障和就业支出46.6万元，主要用于机关事业单位按照规定标准为职工缴纳基本养老保险和单位职业年金支出等社会保障费。</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3．医疗卫生与计划生育支出19.99万元，主要用于事业单位等机构按照规定标准为职工缴纳的基本医疗保险及公务员医疗补助等支出。</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4．住房保障支出25.63万元，主要用于事业单位等机构按照规定标准为职工缴纳住房公积金等支出。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六、一般公共预算基本支出情况说明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基本支出319.21万元，其中：人员经费303.25万元，主要包括：基本工资、津贴补贴、奖金、其他社会保障缴费、绩效工资、机关事业单位基本养老保险缴费、职业年金缴费、其他工资福利支出、离休费、奖励金、住房公积金、其他对个人和家庭的补助支出。公用经费15.96万元，主要包括：办公费、印刷费、手续费、水费、电费、邮电费、差旅费、维修（护）费、租赁费、会议费、培训费、劳务费、工会经费、福利费、其他交通工具运行维护费、其他商品和服务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七、“三公”经费财政拨款预算安排情况说明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党校单位2026年“三公”经费财政拨款预算数1万元，其中：因公出国（境）经费0万元，公务接待费0万元，公务用车购置及运行维护费1万元。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（一）2026年因公出国（境）经费0万元。较2025年预算经费0万元增长0%，较上年无变化,主要原因：我校无因公出国。</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（二）2026年公务接待费0万元。较2025年预算经费0万元增长0%，较上年无变化，主要原因：严格执行中央八项规定，厉行节约。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（三）2026年公务用车购置及运行维护费1万元。较2025年预算经费1万元增长0%，较上年无变化，主要原因：严格执行中央八项规定，厉行节约。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    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党校单位2026年政府性基金预算拨款安排的支出0万元。较2025年预算经费0万元增长0%，较上年无变化,主要原因：我校无政府性基金预算。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党校单位2026年国有资本经营预算支出0万元。较2025年预算经费0万元增长0%，较上年无变化，主要原因：我校无国有资本经营预算支出。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478" w:right="0" w:firstLine="160"/>
        <w:rPr>
          <w:rFonts w:ascii="楷体_GB2312" w:eastAsia="楷体_GB2312" w:hint="eastAsia"/>
          <w:b/>
          <w:bCs/>
          <w:i w:val="0"/>
          <w:iCs w:val="0"/>
          <w:caps w:val="0"/>
          <w:smallCaps w:val="0"/>
          <w:vanish w:val="0"/>
          <w:color w:val="000000"/>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十、其他重要事项的情况说明</w:t>
        <w:br/>
      </w:r>
      <w:r>
        <w:rPr>
          <w:rFonts w:ascii="楷体_GB2312" w:eastAsia="楷体_GB2312" w:hint="eastAsia"/>
          <w:b/>
          <w:bCs/>
          <w:i w:val="0"/>
          <w:iCs w:val="0"/>
          <w:caps w:val="0"/>
          <w:smallCaps w:val="0"/>
          <w:vanish w:val="0"/>
          <w:color w:val="000000"/>
          <w:spacing w:val="0"/>
          <w:sz w:val="32"/>
          <w:szCs w:val="32"/>
          <w:vertAlign w:val="baseline"/>
        </w:rPr>
        <w:t>（一）机关运行经费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党校单位2026年机关运行经费财政拨款预算为15.96万元，比2025年预算减少1.11万元，降低6.5%。</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（二）政府采购情况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2026年党校单位安排政府采购预算0万元。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（三）国有资产占有使用情况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固定资产总价值为：232.79万元。</w:t>
      </w:r>
      <w:r>
        <w:rPr>
          <w:rFonts w:ascii="仿宋_GB2312" w:eastAsia="仿宋_GB2312" w:hint="eastAsia"/>
          <w:b w:val="0"/>
          <w:bCs w:val="0"/>
          <w:i w:val="0"/>
          <w:iCs w:val="0"/>
          <w:caps w:val="0"/>
          <w:smallCaps w:val="0"/>
          <w:vanish w:val="0"/>
          <w:color w:val="000000"/>
          <w:spacing w:val="0"/>
          <w:sz w:val="32"/>
          <w:szCs w:val="32"/>
          <w:vertAlign w:val="baseline"/>
        </w:rPr>
        <w:t>房屋和构筑物5.94万元，占固定资产的5.07%（其中，房屋5.94万元，占固定资产的5.07%）；设备0.00万元，占0.00%（其中，车辆0.00万元，占0.00%，单价100万（含）以上（不含车辆）设备0.00万元，占0.00%）；文物和陈列品0.00万元，占0.00%；图书和档案98.40万元，占83.92%；家具和用具12.91万元，占11.01%；特种动植物0.00万元，占0.00%。</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（四）绩效目标设置情况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2026年党校单位通用项目和专用项目均按要求实行绩效目标管理，涉及一般公共预算当年拨款319.21万元。</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十一、名词解释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（一）财政拨款收入：</w:t>
      </w:r>
      <w:r>
        <w:rPr>
          <w:rFonts w:ascii="仿宋_GB2312" w:eastAsia="仿宋_GB2312" w:hint="eastAsia"/>
          <w:b w:val="0"/>
          <w:bCs w:val="0"/>
          <w:i w:val="0"/>
          <w:iCs w:val="0"/>
          <w:caps w:val="0"/>
          <w:smallCaps w:val="0"/>
          <w:vanish w:val="0"/>
          <w:color w:val="auto"/>
          <w:spacing w:val="0"/>
          <w:sz w:val="32"/>
          <w:szCs w:val="32"/>
          <w:vertAlign w:val="baseline"/>
        </w:rPr>
        <w:t>指由财政拨款形成的部门收入。按现行管理制度，部门预算中反映的财政拨款仅包括一般公共预算拨款和政府性基金预算拨款。</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（二）事业收入：</w:t>
      </w:r>
      <w:r>
        <w:rPr>
          <w:rFonts w:ascii="仿宋_GB2312" w:eastAsia="仿宋_GB2312" w:hint="eastAsia"/>
          <w:b w:val="0"/>
          <w:bCs w:val="0"/>
          <w:i w:val="0"/>
          <w:iCs w:val="0"/>
          <w:caps w:val="0"/>
          <w:smallCaps w:val="0"/>
          <w:vanish w:val="0"/>
          <w:color w:val="auto"/>
          <w:spacing w:val="0"/>
          <w:sz w:val="32"/>
          <w:szCs w:val="32"/>
          <w:vertAlign w:val="baseline"/>
        </w:rPr>
        <w:t>指所属事业单位开展专业业务活动及辅助活动所取得的收入。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（三）事业单位经营收入：</w:t>
      </w:r>
      <w:r>
        <w:rPr>
          <w:rFonts w:ascii="仿宋_GB2312" w:eastAsia="仿宋_GB2312" w:hint="eastAsia"/>
          <w:b w:val="0"/>
          <w:bCs w:val="0"/>
          <w:i w:val="0"/>
          <w:iCs w:val="0"/>
          <w:caps w:val="0"/>
          <w:smallCaps w:val="0"/>
          <w:vanish w:val="0"/>
          <w:color w:val="auto"/>
          <w:spacing w:val="0"/>
          <w:sz w:val="32"/>
          <w:szCs w:val="32"/>
          <w:vertAlign w:val="baseline"/>
        </w:rPr>
        <w:t>指所属事业单位在专业业务活动及其辅助活动之外开展非独立核算经营活动取得的收入。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vertAlign w:val="baseline"/>
        </w:rPr>
        <w:t>（四）其他收入：</w:t>
      </w:r>
      <w:r>
        <w:rPr>
          <w:rFonts w:ascii="仿宋_GB2312" w:eastAsia="仿宋_GB2312" w:hint="eastAsia"/>
          <w:b w:val="0"/>
          <w:bCs w:val="0"/>
          <w:i w:val="0"/>
          <w:iCs w:val="0"/>
          <w:caps w:val="0"/>
          <w:smallCaps w:val="0"/>
          <w:vanish w:val="0"/>
          <w:color w:val="auto"/>
          <w:spacing w:val="0"/>
          <w:sz w:val="32"/>
          <w:szCs w:val="32"/>
          <w:vertAlign w:val="baseline"/>
        </w:rPr>
        <w:t>指除上述“财政拨款收入”、“事业收入”、“事业单位经营收入”等以外的收入，主要是所属行政事业单位按规定动用的售房收入、存款利息收入等。</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w:t>
      </w:r>
      <w:r>
        <w:rPr>
          <w:rFonts w:ascii="楷体_GB2312" w:eastAsia="楷体_GB2312" w:hint="eastAsia"/>
          <w:b/>
          <w:bCs/>
          <w:i w:val="0"/>
          <w:iCs w:val="0"/>
          <w:caps w:val="0"/>
          <w:smallCaps w:val="0"/>
          <w:vanish w:val="0"/>
          <w:color w:val="000000"/>
          <w:spacing w:val="0"/>
          <w:sz w:val="32"/>
          <w:szCs w:val="32"/>
          <w:vertAlign w:val="baseline"/>
        </w:rPr>
        <w:t>五）用事业基金弥补收支差额：</w:t>
      </w:r>
      <w:r>
        <w:rPr>
          <w:rFonts w:ascii="仿宋_GB2312" w:eastAsia="仿宋_GB2312" w:hint="eastAsia"/>
          <w:b w:val="0"/>
          <w:bCs w:val="0"/>
          <w:i w:val="0"/>
          <w:iCs w:val="0"/>
          <w:caps w:val="0"/>
          <w:smallCaps w:val="0"/>
          <w:vanish w:val="0"/>
          <w:color w:val="auto"/>
          <w:spacing w:val="0"/>
          <w:sz w:val="32"/>
          <w:szCs w:val="32"/>
          <w:vertAlign w:val="baseline"/>
        </w:rPr>
        <w:t>指所属事业单位在预计用当年的“财政拨款收入”、“事业收入”、“事业单位经营收入”、“其他收入”不足以安排当年支出的情况下，使用以前年度积累的事业基金弥补本年度收支缺口的资金。</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（六）上年结转：</w:t>
      </w:r>
      <w:r>
        <w:rPr>
          <w:rFonts w:ascii="仿宋_GB2312" w:eastAsia="仿宋_GB2312" w:hint="eastAsia"/>
          <w:b w:val="0"/>
          <w:bCs w:val="0"/>
          <w:i w:val="0"/>
          <w:iCs w:val="0"/>
          <w:caps w:val="0"/>
          <w:smallCaps w:val="0"/>
          <w:vanish w:val="0"/>
          <w:color w:val="auto"/>
          <w:spacing w:val="0"/>
          <w:sz w:val="32"/>
          <w:szCs w:val="32"/>
          <w:vertAlign w:val="baseline"/>
        </w:rPr>
        <w:t>指所属行政事业单位以前年度尚未完成、结转至本年按原规定用途继续使用的资金和以前年度已完成项目剩余资金经批准用于新用途使用的资金。</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000000"/>
          <w:spacing w:val="0"/>
          <w:sz w:val="30"/>
          <w:szCs w:val="30"/>
        </w:rPr>
      </w:pPr>
      <w:r>
        <w:rPr>
          <w:rFonts w:ascii="仿宋" w:eastAsia="仿宋" w:hint="eastAsia"/>
          <w:b w:val="0"/>
          <w:bCs w:val="0"/>
          <w:i w:val="0"/>
          <w:iCs w:val="0"/>
          <w:caps w:val="0"/>
          <w:smallCaps w:val="0"/>
          <w:vanish w:val="0"/>
          <w:color w:val="auto"/>
          <w:spacing w:val="0"/>
          <w:sz w:val="32"/>
          <w:szCs w:val="32"/>
          <w:vertAlign w:val="baseline"/>
        </w:rPr>
        <w:t> </w:t>
      </w:r>
    </w:p>
    <w:p>
      <w:r>
        <w:rPr>
          <w:rFonts w:ascii="Calibri" w:hAnsi="Calibri"/>
          <w:b w:val="0"/>
          <w:bCs w:val="0"/>
          <w:i w:val="0"/>
          <w:iCs w:val="0"/>
          <w:caps w:val="0"/>
          <w:smallCaps w:val="0"/>
          <w:vanish w:val="0"/>
          <w:color w:val="auto"/>
          <w:spacing w:val="0"/>
          <w:sz w:val="32"/>
          <w:szCs w:val="32"/>
          <w:vertAlign w:val="baseline"/>
        </w:rPr>
        <w:t> </w:t>
      </w:r>
      <w:bookmarkStart w:id="0" w:name="_GoBack"/>
      <w:bookmarkEnd w:id="0"/>
    </w:p>
    <w:sectPr>
      <w:pgSz w:w="11906" w:h="16838"/>
      <w:pgMar w:top="1440" w:right="1800" w:bottom="1440" w:left="1800" w:header="851" w:footer="992" w:gutter="0"/>
      <w:docGrid w:type="lines" w:linePitch="312" w:charSpace="-4915"/>
    </w:sectPr>
  </w:body>
</w:document>
</file>

<file path=word/fontTable.xml><?xml version="1.0" encoding="utf-8"?>
<w:fonts xmlns:w="http://schemas.openxmlformats.org/wordprocessingml/2006/main" xmlns:r="http://schemas.openxmlformats.org/officeDocument/2006/relationships">
  <w:font w:name="Calibri">
    <w:altName w:val="Times New Roman"/>
    <w:panose1 w:val="020F0502020204030204"/>
    <w:charset w:val="00"/>
    <w:family w:val="swiss"/>
    <w:pitch w:val="variable"/>
    <w:sig w:usb0="E10002FF" w:usb1="4000ACFF" w:usb2="00000009" w:usb3="00000000" w:csb0="2000019F" w:csb1="00000000"/>
  </w:font>
  <w:font w:name="黑体">
    <w:panose1 w:val="02010609060101010101"/>
    <w:charset w:val="86"/>
    <w:family w:val="auto"/>
    <w:pitch w:val="variable"/>
    <w:sig w:usb0="800002BF" w:usb1="38CF7CFA" w:usb2="00000016" w:usb3="00000000" w:csb0="00040001" w:csb1="00000000"/>
  </w:font>
  <w:font w:name="方正小标宋简体">
    <w:altName w:val="Arial Unicode MS"/>
    <w:panose1 w:val="00000000000000000000"/>
    <w:charset w:val="86"/>
    <w:family w:val="auto"/>
    <w:pitch w:val="variable"/>
    <w:sig w:usb0="00000000" w:usb1="00000000" w:usb2="0000001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2"/>
  </w:compat>
  <w:docVars>
    <w:docVar w:name="commondata" w:val="eyJoZGlkIjoiYzZlZTA3ZmY5NzUzZGNmYzI2Zjg5YjJjZDk4NjJkN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kern w:val="2"/>
      <w:sz w:val="24"/>
      <w:szCs w:val="21"/>
      <w:lang w:val="en-US" w:eastAsia="zh-CN"/>
    </w:rPr>
  </w:style>
  <w:style w:type="paragraph" w:styleId="1">
    <w:name w:val="heading 1"/>
    <w:basedOn w:val="0"/>
    <w:next w:val="0"/>
    <w:pPr>
      <w:keepNext/>
      <w:keepLines/>
      <w:widowControl w:val="0"/>
      <w:spacing w:line="576"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sz w:val="30"/>
      <w:szCs w:val="24"/>
    </w:rPr>
  </w:style>
  <w:style w:type="paragraph" w:styleId="16">
    <w:name w:val="Body Text Indent 2"/>
    <w:basedOn w:val="0"/>
    <w:next w:val="0"/>
    <w:pPr>
      <w:spacing w:after="120" w:line="480" w:lineRule="auto"/>
      <w:ind w:leftChars="200" w:left="200"/>
    </w:pPr>
    <w:rPr>
      <w:sz w:val="2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autoRedefine/>
    <w:pPr>
      <w:pBdr>
        <w:bottom w:val="single" w:sz="6" w:space="1" w:color="auto"/>
      </w:pBdr>
      <w:tabs>
        <w:tab w:val="center" w:pos="4153"/>
        <w:tab w:val="right" w:pos="8306"/>
      </w:tabs>
      <w:snapToGrid w:val="0"/>
      <w:jc w:val="center"/>
    </w:pPr>
    <w:rPr>
      <w:sz w:val="18"/>
      <w:szCs w:val="18"/>
    </w:rPr>
  </w:style>
  <w:style w:type="character" w:styleId="19">
    <w:name w:val="Emphasis"/>
    <w:basedOn w:val="10"/>
  </w:style>
  <w:style w:type="paragraph" w:customStyle="1" w:styleId="20">
    <w:name w:val="正文文本1"/>
    <w:basedOn w:val="0"/>
    <w:pPr>
      <w:spacing w:before="93"/>
    </w:pPr>
    <w:rPr>
      <w:rFonts w:ascii="仿宋_GB2312" w:eastAsia="仿宋_GB2312" w:cs="仿宋_GB2312"/>
      <w:kern w:val="0"/>
      <w:sz w:val="30"/>
      <w:szCs w:val="30"/>
    </w:rPr>
  </w:style>
  <w:style w:type="character" w:customStyle="1" w:styleId="21">
    <w:name w:val="默认段落字体1"/>
    <w:rPr>
      <w:sz w:val="22"/>
      <w:szCs w:val="22"/>
    </w:rPr>
  </w:style>
  <w:style w:type="paragraph" w:styleId="22">
    <w:name w:val="List Paragraph"/>
    <w:basedOn w:val="0"/>
    <w:autoRedefine/>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10</Pages>
  <Words>3340</Words>
  <Characters>3703</Characters>
  <Lines>199</Lines>
  <Paragraphs>74</Paragraphs>
  <CharactersWithSpaces>3747</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2</cp:revision>
  <dcterms:created xsi:type="dcterms:W3CDTF">2026-01-27T03:50:00Z</dcterms:created>
  <dcterms:modified xsi:type="dcterms:W3CDTF">2026-01-28T03:10:36Z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36F3403B24294E0CA37E49FCECF8B66D_13</vt:lpwstr>
  </property>
  <property fmtid="{D5CDD505-2E9C-101B-9397-08002B2CF9AE}" pid="4" name="KSOTemplateDocerSaveRecord">
    <vt:lpwstr>eyJoZGlkIjoiOTZhYzY0Nzc5ODAzYTY5MGI1ZDc2NmMxZmY1OTYzZDkiLCJ1c2VySWQiOiIxMDM0MzAwMzEzIn0=</vt:lpwstr>
  </property>
</Properties>
</file>