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6CE82">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eastAsia="黑体"/>
          <w:sz w:val="32"/>
          <w:szCs w:val="32"/>
          <w:lang w:eastAsia="zh-CN"/>
        </w:rPr>
      </w:pPr>
      <w:r>
        <w:rPr>
          <w:rFonts w:hint="eastAsia" w:ascii="黑体" w:eastAsia="黑体"/>
          <w:sz w:val="32"/>
          <w:szCs w:val="32"/>
        </w:rPr>
        <w:t>附件</w:t>
      </w:r>
      <w:r>
        <w:rPr>
          <w:rFonts w:hint="eastAsia" w:ascii="黑体" w:eastAsia="黑体"/>
          <w:sz w:val="32"/>
          <w:szCs w:val="32"/>
          <w:lang w:val="en-US" w:eastAsia="zh-CN"/>
        </w:rPr>
        <w:t>1</w:t>
      </w:r>
    </w:p>
    <w:p w14:paraId="203D8187">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79BC8EE0">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1F4A5FFD">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1E5B97EC">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7AFF3B1F">
      <w:pPr>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629ADC25">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09E22F10">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04371D2D">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黑体" w:eastAsia="黑体"/>
          <w:sz w:val="44"/>
          <w:szCs w:val="44"/>
          <w:lang w:val="en-US" w:eastAsia="zh-CN"/>
        </w:rPr>
      </w:pPr>
      <w:r>
        <w:rPr>
          <w:rFonts w:hint="eastAsia" w:ascii="黑体" w:eastAsia="黑体"/>
          <w:sz w:val="44"/>
          <w:szCs w:val="44"/>
          <w:lang w:val="en-US" w:eastAsia="zh-CN"/>
        </w:rPr>
        <w:t>中国共产党马尔康市委组织部</w:t>
      </w:r>
    </w:p>
    <w:p w14:paraId="4FB5B0BD">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ascii="黑体" w:eastAsia="黑体"/>
          <w:sz w:val="44"/>
          <w:szCs w:val="44"/>
        </w:rPr>
      </w:pPr>
      <w:r>
        <w:rPr>
          <w:rFonts w:hint="eastAsia" w:ascii="黑体" w:eastAsia="黑体"/>
          <w:sz w:val="44"/>
          <w:szCs w:val="44"/>
          <w:lang w:eastAsia="zh-CN"/>
        </w:rPr>
        <w:t>202</w:t>
      </w:r>
      <w:r>
        <w:rPr>
          <w:rFonts w:hint="eastAsia" w:ascii="黑体" w:eastAsia="黑体"/>
          <w:sz w:val="44"/>
          <w:szCs w:val="44"/>
          <w:lang w:val="en-US" w:eastAsia="zh-CN"/>
        </w:rPr>
        <w:t>6</w:t>
      </w:r>
      <w:r>
        <w:rPr>
          <w:rFonts w:hint="eastAsia" w:ascii="黑体" w:eastAsia="黑体"/>
          <w:sz w:val="44"/>
          <w:szCs w:val="44"/>
          <w:lang w:eastAsia="zh-CN"/>
        </w:rPr>
        <w:t>年</w:t>
      </w:r>
      <w:r>
        <w:rPr>
          <w:rFonts w:hint="eastAsia" w:ascii="黑体" w:eastAsia="黑体"/>
          <w:sz w:val="44"/>
          <w:szCs w:val="44"/>
        </w:rPr>
        <w:t>部门预算</w:t>
      </w:r>
    </w:p>
    <w:p w14:paraId="5E094C55">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6C90B661">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2B662AC4">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416980E8">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6EFE7B58">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320A70CA">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33045110">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763E5E91">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15C8A434">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601655C4">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16DA83A0">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hint="eastAsia" w:ascii="黑体" w:eastAsia="黑体"/>
          <w:sz w:val="44"/>
          <w:szCs w:val="44"/>
        </w:rPr>
      </w:pPr>
    </w:p>
    <w:p w14:paraId="5EACA8A8">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6A818EF9">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023D7B16">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3CE79CCC">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5901CDA9">
      <w:pPr>
        <w:keepNext w:val="0"/>
        <w:keepLines w:val="0"/>
        <w:pageBreakBefore w:val="0"/>
        <w:kinsoku/>
        <w:wordWrap/>
        <w:overflowPunct/>
        <w:topLinePunct w:val="0"/>
        <w:autoSpaceDE/>
        <w:autoSpaceDN/>
        <w:bidi w:val="0"/>
        <w:adjustRightInd/>
        <w:snapToGrid/>
        <w:spacing w:line="560" w:lineRule="exact"/>
        <w:ind w:firstLine="520" w:firstLineChars="100"/>
        <w:textAlignment w:val="auto"/>
        <w:rPr>
          <w:rFonts w:ascii="黑体" w:eastAsia="黑体"/>
          <w:sz w:val="52"/>
          <w:szCs w:val="52"/>
        </w:rPr>
      </w:pPr>
      <w:r>
        <w:rPr>
          <w:rFonts w:hint="eastAsia" w:ascii="黑体" w:eastAsia="黑体"/>
          <w:sz w:val="52"/>
          <w:szCs w:val="52"/>
        </w:rPr>
        <w:t>目录</w:t>
      </w:r>
    </w:p>
    <w:p w14:paraId="0A7BE872">
      <w:pPr>
        <w:keepNext w:val="0"/>
        <w:keepLines w:val="0"/>
        <w:pageBreakBefore w:val="0"/>
        <w:kinsoku/>
        <w:wordWrap/>
        <w:overflowPunct/>
        <w:topLinePunct w:val="0"/>
        <w:autoSpaceDE/>
        <w:autoSpaceDN/>
        <w:bidi w:val="0"/>
        <w:adjustRightInd/>
        <w:snapToGrid/>
        <w:spacing w:line="560" w:lineRule="exact"/>
        <w:ind w:firstLine="880" w:firstLineChars="200"/>
        <w:textAlignment w:val="auto"/>
        <w:rPr>
          <w:rFonts w:ascii="黑体" w:eastAsia="黑体"/>
          <w:sz w:val="44"/>
          <w:szCs w:val="44"/>
        </w:rPr>
      </w:pPr>
    </w:p>
    <w:p w14:paraId="05C6CB93">
      <w:pPr>
        <w:pStyle w:val="1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黑体" w:eastAsia="黑体"/>
          <w:sz w:val="32"/>
          <w:szCs w:val="32"/>
        </w:rPr>
      </w:pPr>
      <w:r>
        <w:rPr>
          <w:rFonts w:hint="eastAsia" w:ascii="黑体" w:eastAsia="黑体"/>
          <w:sz w:val="32"/>
          <w:szCs w:val="32"/>
        </w:rPr>
        <w:t>一、基本职能及主要工作</w:t>
      </w:r>
    </w:p>
    <w:p w14:paraId="73E11AF9">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（一）部门职能简介</w:t>
      </w:r>
    </w:p>
    <w:p w14:paraId="075BFA23">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rPr>
        <w:t>重点工作</w:t>
      </w:r>
    </w:p>
    <w:p w14:paraId="6571053C">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14:paraId="1C9552B6">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14:paraId="1B2C058F">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39019C72">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ascii="仿宋_GB2312" w:eastAsia="仿宋_GB2312"/>
          <w:sz w:val="32"/>
          <w:szCs w:val="32"/>
        </w:rPr>
        <w:t>（二）支出预算情况</w:t>
      </w:r>
    </w:p>
    <w:p w14:paraId="4850D6B1">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14:paraId="6219A022">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14:paraId="1B207257">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62C42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p>
    <w:p w14:paraId="769386BF">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firstLine="240" w:firstLineChars="200"/>
        <w:jc w:val="left"/>
        <w:textAlignment w:val="auto"/>
        <w:rPr>
          <w:rFonts w:ascii="??" w:hAnsi="??" w:cs="宋体"/>
          <w:kern w:val="0"/>
          <w:sz w:val="12"/>
          <w:szCs w:val="12"/>
        </w:rPr>
      </w:pPr>
    </w:p>
    <w:p w14:paraId="0524B149">
      <w:pPr>
        <w:pStyle w:val="9"/>
        <w:rPr>
          <w:rFonts w:ascii="??" w:hAnsi="??" w:cs="宋体"/>
          <w:kern w:val="0"/>
          <w:sz w:val="12"/>
          <w:szCs w:val="12"/>
        </w:rPr>
      </w:pPr>
    </w:p>
    <w:p w14:paraId="26C93007"/>
    <w:p w14:paraId="51692C15">
      <w:pPr>
        <w:pStyle w:val="1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黑体" w:eastAsia="黑体"/>
          <w:sz w:val="32"/>
          <w:szCs w:val="32"/>
        </w:rPr>
      </w:pPr>
      <w:r>
        <w:rPr>
          <w:rFonts w:hint="eastAsia" w:ascii="黑体" w:eastAsia="黑体"/>
          <w:sz w:val="32"/>
          <w:szCs w:val="32"/>
        </w:rPr>
        <w:t>一、基本职能及主要工作</w:t>
      </w:r>
    </w:p>
    <w:p w14:paraId="7DE0791C">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部门职能简介</w:t>
      </w:r>
    </w:p>
    <w:p w14:paraId="3905EA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研究、指导全市各级党组织特别是党的基层组织的建设；探索研究各类非公有制经济组织和社会组织中党组织的设置和活动方式；协调、规划和指导全市党员教育，负责主管党员的管理和发展党员工作；负责领导市直机关党的工作；提出各乡镇和市级各部门及市委管理的事业、企业单位以及其他列入市委管理的领导班子的调整、配备和领导干部任免的意见和建议；承办市委管理干部和市级党群政法系统干部的调配、交流、安置工作。</w:t>
      </w:r>
    </w:p>
    <w:p w14:paraId="43113F08">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w:t>
      </w:r>
      <w:r>
        <w:rPr>
          <w:rFonts w:hint="eastAsia" w:ascii="楷体" w:hAnsi="楷体" w:eastAsia="楷体" w:cs="楷体"/>
          <w:b/>
          <w:bCs/>
          <w:sz w:val="32"/>
          <w:szCs w:val="32"/>
          <w:lang w:eastAsia="zh-CN"/>
        </w:rPr>
        <w:t>202</w:t>
      </w:r>
      <w:r>
        <w:rPr>
          <w:rFonts w:hint="eastAsia" w:ascii="楷体" w:hAnsi="楷体" w:eastAsia="楷体" w:cs="楷体"/>
          <w:b/>
          <w:bCs/>
          <w:sz w:val="32"/>
          <w:szCs w:val="32"/>
          <w:lang w:val="en-US" w:eastAsia="zh-CN"/>
        </w:rPr>
        <w:t>6</w:t>
      </w:r>
      <w:r>
        <w:rPr>
          <w:rFonts w:hint="eastAsia" w:ascii="楷体" w:hAnsi="楷体" w:eastAsia="楷体" w:cs="楷体"/>
          <w:b/>
          <w:bCs/>
          <w:sz w:val="32"/>
          <w:szCs w:val="32"/>
          <w:lang w:eastAsia="zh-CN"/>
        </w:rPr>
        <w:t>年</w:t>
      </w:r>
      <w:r>
        <w:rPr>
          <w:rFonts w:hint="eastAsia" w:ascii="楷体" w:hAnsi="楷体" w:eastAsia="楷体" w:cs="楷体"/>
          <w:b/>
          <w:bCs/>
          <w:sz w:val="32"/>
          <w:szCs w:val="32"/>
        </w:rPr>
        <w:t>重点工作</w:t>
      </w:r>
    </w:p>
    <w:p w14:paraId="66F2068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1.</w:t>
      </w:r>
      <w:r>
        <w:rPr>
          <w:rFonts w:hint="eastAsia" w:ascii="仿宋_GB2312" w:eastAsia="仿宋_GB2312" w:cs="Times New Roman"/>
          <w:b/>
          <w:bCs/>
          <w:sz w:val="32"/>
          <w:szCs w:val="32"/>
          <w:lang w:eastAsia="zh-CN"/>
        </w:rPr>
        <w:t>固本强基，提升党建工作水平。一是始终抓住“政治建设”这一重要环节。</w:t>
      </w:r>
      <w:r>
        <w:rPr>
          <w:rFonts w:hint="eastAsia" w:ascii="仿宋_GB2312" w:eastAsia="仿宋_GB2312" w:cs="Times New Roman"/>
          <w:sz w:val="32"/>
          <w:szCs w:val="32"/>
          <w:lang w:eastAsia="zh-CN"/>
        </w:rPr>
        <w:t>严格落实“第一议题”制度，构建“中心组领学+专题班深学+支部研学”联学机制，依托“流动网格”宣讲队等载体，组织开展各类学习、宣讲活动750余场次，覆盖党组织273个、党员5380名，引导党员干部深刻领悟“两个确立”的决定性意义，坚决做到“两个维护”。深入开展学习贯彻中央八项规定精神学习教育，制定“1+1”实施方案，细化9项重点任务、24条具体措施；举办县级领导干部专题读书班，引导各级开展学习研讨454场次；“关键少数”带头从严查摆20个问题，带动全市梳理问题清单592份，针对性制定1669条措施，推动问题真改实改1700余个。严格按照“州提级、县扩面、乡兜底”培训模式，充分整合州市党校联培、对口帮扶等资源，分层分类开展村党组织书记提能培训2期、党员教育师资及党务工作者示范培训2期、农牧民党员集中轮训5期、党员骨干培训等，累计培训各类骨干及党员群众800余人次，推动教育培训覆盖面与实效性同步提升。</w:t>
      </w:r>
      <w:r>
        <w:rPr>
          <w:rFonts w:hint="eastAsia" w:ascii="仿宋_GB2312" w:eastAsia="仿宋_GB2312" w:cs="Times New Roman"/>
          <w:b/>
          <w:bCs/>
          <w:sz w:val="32"/>
          <w:szCs w:val="32"/>
          <w:lang w:eastAsia="zh-CN"/>
        </w:rPr>
        <w:t>二是始终抓住“两大功能”这一重要基准。</w:t>
      </w:r>
      <w:r>
        <w:rPr>
          <w:rFonts w:hint="eastAsia" w:ascii="仿宋_GB2312" w:eastAsia="仿宋_GB2312" w:cs="Times New Roman"/>
          <w:sz w:val="32"/>
          <w:szCs w:val="32"/>
          <w:lang w:eastAsia="zh-CN"/>
        </w:rPr>
        <w:t>优化机关党组织设置，撤销、新建、更名基层党组织10个，审批调整班子成员71人。新建新兴领域党组织6个，单独建2个、联合建1个、行业党委（党总支）3个，选派党建指导员19名，新发展党员7名，实现党的工作覆盖率100%。严格基层党组织标准化规范化建设，完成1个机关党组织活动阵地标准化建设，划拨基层党组织活动经费、党员培训经费180万元。建立“四位一体”评估体系，精准确定软弱涣散村党组织13个，指导制定“一村一策”方案13份，查摆问题54个，细化整顿措施165条，累计下发验收单与督办单26份，推动解决突出问题63个，切实推动整顿措施落地见效。加快融入“千里党建走廊”建设，围绕基层组织建设、农村基层治理等6个示范引领方面，在梭磨乡毛木初村等8个村实施“一村一品”党建品牌培育工程，推广莫足沟“区域化党建+”经验，创新“党建+文旅”融合路径，全力打造梭磨河片区文旅融合发展新业态。紧扣新一轮村社区“两委”换届，开展访谈座谈270余次，听取各方意见180余条，完成木尔宗乡村党组织换届试点工作，形成了一批可复制、可推广的宝贵经验，专题召开全市换届工作部署会，分层分类开展业务培训，明确职责分工、规范操作流程。对97个村（社区）“两委”班子运行情况进行综合评估，建立健全涵盖村组干部、后备力量及党员的“四表一台账”3335份。推演产生换届储备人选478名，班子结构持续优化。全力抓好村级后备力量培育，通盘分析252名后备力量，鼓励106人参与学历提升。制定全覆盖政治体检方案，对915名村（社区）干部及后备力量开展政治体检，调整2名不适宜后备干部，对10名不合格村组干部实施“一人一策”教育引导。强化驻村干部管理，印发任务清单、工作提示等5份，举办履职提升培训班1期，调整驻村干部6人。制发《2025年度发展党员指导性计划》，从致富能手、退役军人等群体新发展党员12名，接收预备党员75名；探索“不合格党员动态管理”机制，转化处置违规违纪党员9名；强化无职党员设岗定责，落实“党员积分评星”制度，规范6个流程，激发党员活力；常态开展“三会一课”现场观摩会，划分8个观摩组，以“2+1+X”模式，提升组织实效。</w:t>
      </w:r>
      <w:r>
        <w:rPr>
          <w:rFonts w:hint="eastAsia" w:ascii="仿宋_GB2312" w:eastAsia="仿宋_GB2312" w:cs="Times New Roman"/>
          <w:b/>
          <w:bCs/>
          <w:sz w:val="32"/>
          <w:szCs w:val="32"/>
          <w:lang w:eastAsia="zh-CN"/>
        </w:rPr>
        <w:t>三是始终抓住“党建引领”这一重要任务。</w:t>
      </w:r>
      <w:r>
        <w:rPr>
          <w:rFonts w:hint="eastAsia" w:ascii="仿宋_GB2312" w:eastAsia="仿宋_GB2312" w:cs="Times New Roman"/>
          <w:sz w:val="32"/>
          <w:szCs w:val="32"/>
          <w:lang w:eastAsia="zh-CN"/>
        </w:rPr>
        <w:t>推动党建工作与中心任务深度融合，以高质量党建引领高质量发展。以扶持新型农村集体经济项目为抓手，整合政策、项目、人才、资金要素，研究确定马尔康镇本真村、沙尔宗镇哈休村等3个中省集体经济扶持村；组织农业农村、财政等部门开展集体经济专项调研3次，跨村跨乡交流观摩6次，积极争取450万扶持资金，推动村级集体经济提标进位，增强自我造血能力。严格落实“四下基层”机制，深化“双报到”活动，组织30个机关党组织、300余名党员认领社区服务事项，办结“好事实事”30件，参与志愿服务1000余次。深化党建引领“微网实格”治理，制发《关于建立党建引领“微网实格”基层治理县级协同机制的通知》方案，广泛动员机关干部、驻村干部等群体1200余名党员下沉网格党组织一线，解决群众诉求320余件，化解矛盾纠纷60余起。压实25个市直部门对4个困难乡（镇）、5个重点村的托底帮扶责任，累计解决群众困难30余件。深化群众工作“石榴籽”工程，优化调整121名领导干部“一对一”结对帮扶82户困难户，党员干部带头走访5300余次，收集诉求1250余条，办理民生实事1232件，解决困难1179个，追回欠薪欠资666.7万元，安置公益性岗位373人，政策性岗位安置未就业毕业生94人，发放创业贷款226万元。为82户重点帮扶对象户落实就业岗位57个，带动群众增收60余万元，群众获得感、幸福感、安全感持续提升。四是始终抓住“广泛宣传”这一重要手段。抓网评信息工作，抓网评信息工作，对接各大网站媒体、省、州内刊，推送文稿60余篇，其中被《四川党的建设》《组织人事报》《阿坝组工》等采编20余篇，更新《马尔康组工微讯》36期110余条。引导全市各单位共撰写发表网评文章120余篇，开展专题引导20余次，采取人工盯网方式开展舆情监测，采取周报、月报方式报告监测情况，目前，未发生一起涉组涉干舆情。每月制发党员教育片摄制清单任务，广泛开展“党员开会了”主题党日示范活动、“党课开讲啦”专题党课、“微党课进机关”“青年党员说”等系列活动。主题坝坝会4部党员教育电视片。完成“青年党员说”“我的村支书”“书记龙门阵”主题坝坝会4部视频拍摄。不断提升后备师资培育，按照省委组织部《关于举办全省党员教育师资示范培训班的通知》要求，积极组织马尔康市州、县两级师资库55名师资力量集中开展线上培训，不断提高师资理论素养、专业能力和教学教研水平。</w:t>
      </w:r>
    </w:p>
    <w:p w14:paraId="1656A97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2.</w:t>
      </w:r>
      <w:r>
        <w:rPr>
          <w:rFonts w:hint="eastAsia" w:ascii="仿宋_GB2312" w:eastAsia="仿宋_GB2312" w:cs="Times New Roman"/>
          <w:b/>
          <w:bCs/>
          <w:sz w:val="32"/>
          <w:szCs w:val="32"/>
          <w:lang w:eastAsia="zh-CN"/>
        </w:rPr>
        <w:t>强化监督，严格领导干部管理。一是突出政治标准，严把选人用人首要关口。</w:t>
      </w:r>
      <w:r>
        <w:rPr>
          <w:rFonts w:hint="eastAsia" w:ascii="仿宋_GB2312" w:eastAsia="仿宋_GB2312" w:cs="Times New Roman"/>
          <w:sz w:val="32"/>
          <w:szCs w:val="32"/>
          <w:lang w:eastAsia="zh-CN"/>
        </w:rPr>
        <w:t>始终将政治建设摆在干部工作首位，不断提升队伍政治素质建设水平。深化政治素质考察。严格执行《四川省领导干部政治素质考察考核办法》，将政治标准贯穿干部考核评价全过程。细化设计并运用包含16条具体情形的政治素质负面清单，结合年度考核对科级干部开展全覆盖“政治体检”456人次。开展专项政治体检。按照《关于开展2025年度涉藏地区党员干部政治体检的通知》工作要求，聚焦乡镇领导班子及寺管干部等关键群体，组织实施专项政治体检175人，围绕5个方面、21条具体内容的谈话提纲，深入开展“一对一”谈心谈话，进一步掌握干部政治立场、思想动态和廉洁自律情况。</w:t>
      </w:r>
      <w:r>
        <w:rPr>
          <w:rFonts w:hint="eastAsia" w:ascii="仿宋_GB2312" w:eastAsia="仿宋_GB2312" w:cs="Times New Roman"/>
          <w:b/>
          <w:bCs/>
          <w:sz w:val="32"/>
          <w:szCs w:val="32"/>
          <w:lang w:eastAsia="zh-CN"/>
        </w:rPr>
        <w:t>二是树立实干导向，优化干部选任与队伍结构。</w:t>
      </w:r>
      <w:r>
        <w:rPr>
          <w:rFonts w:hint="eastAsia" w:ascii="仿宋_GB2312" w:eastAsia="仿宋_GB2312" w:cs="Times New Roman"/>
          <w:sz w:val="32"/>
          <w:szCs w:val="32"/>
          <w:lang w:eastAsia="zh-CN"/>
        </w:rPr>
        <w:t>严格执行《党政领导干部选拔任用工作条例》等法规政策，持续优化干部选任机制，激发队伍活力。精准科学选任调配。全年开展干部调整8批176人次，提拔重用60人（含乡镇一线干部24名、项目一线干部13名），注重在综治维稳、水电移民、城乡建设等急难险重任务一线考察识别、选拔使用表现突出的干部，持续鲜明重实干、重实绩、重担当的用人导向。优化队伍整体结构。深入贯彻《阿坝州贯彻落实&lt;关于实施年轻干部红色薪火工程的意见&gt;的实施方案》《阿坝州贯彻落实全国党政领导班子建设规划纲要的实施意见》要求，强化全市干部队伍结构动态分析研判，按照“缺啥补啥”原则，精准补充90后优秀年轻干部26名、大学及以上学历干部38名、女干部22名、党外干部2名，干部队伍年龄、学历结构得到进一步改善。加强重点领域队伍建设。持续加强寺管维稳等关键领域干部力量和关心激励，提拔使用依法整治一线干部12名、寺管干部3名，全年宗教维稳工作中识别考察干部5名，将1名优秀寺管干部使用到乡镇党政正职岗位，新补充1名优秀干部进入寺管会班子。</w:t>
      </w:r>
      <w:r>
        <w:rPr>
          <w:rFonts w:hint="eastAsia" w:ascii="仿宋_GB2312" w:eastAsia="仿宋_GB2312" w:cs="Times New Roman"/>
          <w:b/>
          <w:bCs/>
          <w:sz w:val="32"/>
          <w:szCs w:val="32"/>
          <w:lang w:eastAsia="zh-CN"/>
        </w:rPr>
        <w:t>三是强化基础支撑，提升干部管理监督效能。</w:t>
      </w:r>
      <w:r>
        <w:rPr>
          <w:rFonts w:hint="eastAsia" w:ascii="仿宋_GB2312" w:eastAsia="仿宋_GB2312" w:cs="Times New Roman"/>
          <w:sz w:val="32"/>
          <w:szCs w:val="32"/>
          <w:lang w:eastAsia="zh-CN"/>
        </w:rPr>
        <w:t>坚持严管厚爱结合，不断加强干部日常管理监督和基础性工作。规范干部档案管理。年内查核接收新增人员人事档案65本，开展档案集中审核11批次，深度审核干部人事档案307本，完成“三龄两历”专项认定23条，发放档案查缺补漏清单831条，夯实干部工作基础。抓实干部监督管理。深入开展干部选拔任用工作日常监督，严格落实“一报告两评议”制度，畅通“信访、电话、短信、网络”四位一体监督渠道，专人值守“12380”举报平台，征求纪检监察、信访、审计、公安、法检等部门监管信息2200余条，动态更新完善领导干部正负面清单台账（收集正面清单8条、负面清单4条），强化对干部日常动态掌握和精准监管。加强选调生培养管理。持续加强选调生队伍建设，选派35名选调生到村任职锻炼，拨付到位并加强监管选调生到村任职工作补助资金39万元，指导撰写形成18份村综合情况报告，促进选调生在实践中增长才干。</w:t>
      </w:r>
    </w:p>
    <w:p w14:paraId="305B60F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3.</w:t>
      </w:r>
      <w:r>
        <w:rPr>
          <w:rFonts w:hint="eastAsia" w:ascii="仿宋_GB2312" w:eastAsia="仿宋_GB2312" w:cs="Times New Roman"/>
          <w:b/>
          <w:bCs/>
          <w:sz w:val="32"/>
          <w:szCs w:val="32"/>
          <w:lang w:eastAsia="zh-CN"/>
        </w:rPr>
        <w:t>强化服务，激发人才队伍活力。一是精准调研，取得摸底问需新成效。</w:t>
      </w:r>
      <w:r>
        <w:rPr>
          <w:rFonts w:hint="eastAsia" w:ascii="仿宋_GB2312" w:eastAsia="仿宋_GB2312" w:cs="Times New Roman"/>
          <w:sz w:val="32"/>
          <w:szCs w:val="32"/>
          <w:lang w:eastAsia="zh-CN"/>
        </w:rPr>
        <w:t>开展“摸底数、问需求”专项行动，建立“三库一清单”管理体系，动态更新人才信息库、流动库、需求库。通过深入调研与数据整合，形成《马尔康市人才综合调研报告》《产业发展与人才引育双向赋能的有效路径》，全面掌握全市人才现状与需求，为科学制定人才政策、精准开展人才工作提供决策参考。</w:t>
      </w:r>
      <w:r>
        <w:rPr>
          <w:rFonts w:hint="eastAsia" w:ascii="仿宋_GB2312" w:eastAsia="仿宋_GB2312" w:cs="Times New Roman"/>
          <w:b/>
          <w:bCs/>
          <w:sz w:val="32"/>
          <w:szCs w:val="32"/>
          <w:lang w:eastAsia="zh-CN"/>
        </w:rPr>
        <w:t>二是聚焦靶向协作，开创帮扶共建新局面。</w:t>
      </w:r>
      <w:r>
        <w:rPr>
          <w:rFonts w:hint="eastAsia" w:ascii="仿宋_GB2312" w:eastAsia="仿宋_GB2312" w:cs="Times New Roman"/>
          <w:sz w:val="32"/>
          <w:szCs w:val="32"/>
          <w:lang w:eastAsia="zh-CN"/>
        </w:rPr>
        <w:t>以党建引领深化“平马崇”三地合作，成立援助人才综合党委，整合资源推动党政互访4场次，召开援助工作座谈会、推进会2场次。开展“在云端·我的援藏故事”宣讲会，举办“携手马尔康·相约在崇州”农商文旅专场推介会，签订山海共语等合作协议，实现产业、人才、文化多维联动。有序推进浙江对口支援短期援助人才轮换、省内结对帮扶工作队期满考核等工作。分别择优选派10名专技人才赴崇州、平阳跟岗学习，4名党政赴平阳挂职锻炼、跟岗学习。接收平阳援马专技人才11人并提供生活食宿保障。</w:t>
      </w:r>
      <w:r>
        <w:rPr>
          <w:rFonts w:hint="eastAsia" w:ascii="仿宋_GB2312" w:eastAsia="仿宋_GB2312" w:cs="Times New Roman"/>
          <w:b/>
          <w:bCs/>
          <w:sz w:val="32"/>
          <w:szCs w:val="32"/>
          <w:lang w:eastAsia="zh-CN"/>
        </w:rPr>
        <w:t>三是深化联动，孕育跨地合作新成果。</w:t>
      </w:r>
      <w:r>
        <w:rPr>
          <w:rFonts w:hint="eastAsia" w:ascii="仿宋_GB2312" w:eastAsia="仿宋_GB2312" w:cs="Times New Roman"/>
          <w:sz w:val="32"/>
          <w:szCs w:val="32"/>
          <w:lang w:eastAsia="zh-CN"/>
        </w:rPr>
        <w:t>深化川陕甘渝区域人才发展协同体建设，完成涪江流域十地人才互通认证。围绕青年发展型城市建设，州县联动举办“青恋石榴籽·缘聚一家亲”青年人才联谊活动，覆盖青年100余人，促成意向配对8对。联合宜宾市举办“智汇马尔康”大中专毕业生专场招聘会，吸引32家国企及优质企业提供岗位47个，达成就业意向123。四是情感留人，细化关心关爱“微生态”。落实人才福利待遇，深入实施《人才安居工程实施意见》等，升级人才安居工程，新分配租赁型高层次人才公寓20套，持续开展人才工作“品牌打造”工程。加强州市联动，举办“青恋石榴籽，缘聚一家亲”青年人才联谊活动，不断推动州市两级青年人才交流交往，全力营造尊重人才、关注人才、支持人才的良好氛围，激发青年人才干事创业的内生动力。做强帮扶人才服务管理，严格按省内结对帮扶干部人才管理服务“四个一”工作机制落实服务保障，市委书记带队走访慰问援助干部和高层次人才274人次，配套专项经费200万元，切实做到“工作上尽心尽力培养扶持，生活中真情实意排忧解难”。</w:t>
      </w:r>
    </w:p>
    <w:p w14:paraId="3D37100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4.</w:t>
      </w:r>
      <w:r>
        <w:rPr>
          <w:rFonts w:hint="eastAsia" w:ascii="仿宋_GB2312" w:eastAsia="仿宋_GB2312" w:cs="Times New Roman"/>
          <w:b/>
          <w:bCs/>
          <w:sz w:val="32"/>
          <w:szCs w:val="32"/>
          <w:lang w:eastAsia="zh-CN"/>
        </w:rPr>
        <w:t>加强建设，打造过硬公务员队伍。一是坚持拓宽选人视野，优化队伍结构。</w:t>
      </w:r>
      <w:r>
        <w:rPr>
          <w:rFonts w:hint="eastAsia" w:ascii="仿宋_GB2312" w:eastAsia="仿宋_GB2312" w:cs="Times New Roman"/>
          <w:sz w:val="32"/>
          <w:szCs w:val="32"/>
          <w:lang w:eastAsia="zh-CN"/>
        </w:rPr>
        <w:t>突出需求导向，围绕全市中心任务和干部队伍建设的实际，科学设置学历、专业、经历等资格条件，加大公务员招录力度。对表现特别突出、政治素质好的事业单位干部通过公开考试和组织选派方式调任到公务员队伍，形成以考录为主、调任交流为辅的公务员进入渠道。完成2024年共招录公务员80名。探索股级干部培养的有效途径和办法，通过抓好储备、使用、管理等关键环节不断健全完善“培养链”，聚焦政治表现、履职能力、业绩实效、工作作风和群众评价标准，动态调整配备股级干部36名。</w:t>
      </w:r>
      <w:r>
        <w:rPr>
          <w:rFonts w:hint="eastAsia" w:ascii="仿宋_GB2312" w:eastAsia="仿宋_GB2312" w:cs="Times New Roman"/>
          <w:b/>
          <w:bCs/>
          <w:sz w:val="32"/>
          <w:szCs w:val="32"/>
          <w:lang w:eastAsia="zh-CN"/>
        </w:rPr>
        <w:t>二是坚持用好激励措施，激励干部干事创业。</w:t>
      </w:r>
      <w:r>
        <w:rPr>
          <w:rFonts w:hint="eastAsia" w:ascii="仿宋_GB2312" w:eastAsia="仿宋_GB2312" w:cs="Times New Roman"/>
          <w:sz w:val="32"/>
          <w:szCs w:val="32"/>
          <w:lang w:eastAsia="zh-CN"/>
        </w:rPr>
        <w:t>将正向激励作为推动干事创业的有效手段，统筹推进公务员职务职级晋升、考核、奖励等工作。建立全县公务员职级职数动态分析台账及各单位职数使用情况登记台账，把好职级职数使用关，防止超职数晋升。树立重一线重实绩鲜明导向，优先晋升在项目建设、乡村振兴、基层一线等工作中表现优秀的公务员，晋升职级217人，警务序列职级60人。充分发挥考核评价的鞭笞作用，将平时考核与年度考核、干部推荐、职级晋升、评先评优等挂钩，完成2024年度264名公务员嘉奖和记三等功工作。</w:t>
      </w:r>
      <w:r>
        <w:rPr>
          <w:rFonts w:hint="eastAsia" w:ascii="仿宋_GB2312" w:eastAsia="仿宋_GB2312" w:cs="Times New Roman"/>
          <w:b/>
          <w:bCs/>
          <w:sz w:val="32"/>
          <w:szCs w:val="32"/>
          <w:lang w:eastAsia="zh-CN"/>
        </w:rPr>
        <w:t>三是坚持落实关心关爱，规范休假保障待遇。</w:t>
      </w:r>
      <w:r>
        <w:rPr>
          <w:rFonts w:hint="eastAsia" w:ascii="仿宋_GB2312" w:eastAsia="仿宋_GB2312" w:cs="Times New Roman"/>
          <w:sz w:val="32"/>
          <w:szCs w:val="32"/>
          <w:lang w:eastAsia="zh-CN"/>
        </w:rPr>
        <w:t>加强公务员请休假管理，做到及时备案；保障工资待遇按时足额兑现，完成170人乡镇工作补贴标准调整，累计补发金额62480元。</w:t>
      </w:r>
    </w:p>
    <w:p w14:paraId="3D536B9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b/>
          <w:bCs/>
          <w:sz w:val="32"/>
          <w:szCs w:val="32"/>
          <w:lang w:val="en-US" w:eastAsia="zh-CN"/>
        </w:rPr>
        <w:t>5.</w:t>
      </w:r>
      <w:r>
        <w:rPr>
          <w:rFonts w:hint="eastAsia" w:ascii="仿宋_GB2312" w:eastAsia="仿宋_GB2312" w:cs="Times New Roman"/>
          <w:b/>
          <w:bCs/>
          <w:sz w:val="32"/>
          <w:szCs w:val="32"/>
          <w:lang w:eastAsia="zh-CN"/>
        </w:rPr>
        <w:t>强化引领，凝聚老干部思想共识。一是深化主题学习，筑牢思想根基。</w:t>
      </w:r>
      <w:r>
        <w:rPr>
          <w:rFonts w:hint="eastAsia" w:ascii="仿宋_GB2312" w:eastAsia="仿宋_GB2312" w:cs="Times New Roman"/>
          <w:sz w:val="32"/>
          <w:szCs w:val="32"/>
          <w:lang w:eastAsia="zh-CN"/>
        </w:rPr>
        <w:t>坚持以学习贯彻习近平新时代中国特色社会主义思想为主线，紧扣中央八项规定精神、党的二十届三中全会精神等核心内容，组织离退休干部党支部开展集中学习12场次，覆盖老干部党员380余人次，邀请党校教师、纪检干部开展专题辅导4次，线下举办专题讲座6场、学习交流会8次，开展“送学上门”服务10余次，征订报刊杂志280份，进一步拓宽学习渠道，丰富学习内容。。确保老干部在政治上、思想上、行动上始终与党中央和省委、州委、市委保持高度一致。</w:t>
      </w:r>
      <w:r>
        <w:rPr>
          <w:rFonts w:hint="eastAsia" w:ascii="仿宋_GB2312" w:eastAsia="仿宋_GB2312" w:cs="Times New Roman"/>
          <w:b/>
          <w:bCs/>
          <w:sz w:val="32"/>
          <w:szCs w:val="32"/>
          <w:lang w:eastAsia="zh-CN"/>
        </w:rPr>
        <w:t>二是赋能多彩活动，展现银龄风采。</w:t>
      </w:r>
      <w:r>
        <w:rPr>
          <w:rFonts w:hint="eastAsia" w:ascii="仿宋_GB2312" w:eastAsia="仿宋_GB2312" w:cs="Times New Roman"/>
          <w:sz w:val="32"/>
          <w:szCs w:val="32"/>
          <w:lang w:eastAsia="zh-CN"/>
        </w:rPr>
        <w:t>组织离退休干部党员开展“传承红色基因、永葆政治本色”系列主题党日活动15次，参与人数达400余人次。搭建“银发建言”智库平台，在新春团拜会、重阳节座谈会等场合，邀请老干部围绕夏繁高地建设、城市基础设施完善、民生保障提升、民族团结进步等重点工作建言献策。引导老干部发挥政治、经验、威望优势，组建“银发宣讲团”“矛盾调解队”，深入乡镇、社区、学校开展政策宣讲、调解邻里纠纷、基层矛盾，在基层治理和民族团结进步工作中发挥了重要作用。</w:t>
      </w:r>
      <w:r>
        <w:rPr>
          <w:rFonts w:hint="eastAsia" w:ascii="仿宋_GB2312" w:eastAsia="仿宋_GB2312" w:cs="Times New Roman"/>
          <w:b/>
          <w:bCs/>
          <w:sz w:val="32"/>
          <w:szCs w:val="32"/>
          <w:lang w:eastAsia="zh-CN"/>
        </w:rPr>
        <w:t>三是提升优质服务，传递温情关怀。</w:t>
      </w:r>
      <w:r>
        <w:rPr>
          <w:rFonts w:hint="eastAsia" w:ascii="仿宋_GB2312" w:eastAsia="仿宋_GB2312" w:cs="Times New Roman"/>
          <w:sz w:val="32"/>
          <w:szCs w:val="32"/>
          <w:lang w:eastAsia="zh-CN"/>
        </w:rPr>
        <w:t>扎实开展重点节日慰问活动，组织健康体检、政策咨询等服务，为离休干部、退休干部、军休军转干部及遗属送去慰问品、慰问金和新春祝福，惠及老干部2300余人次；实行“一对一”结对联系服务，详细了解老干部身体状况和生活需求，协调解决就医陪护、生活照料、家庭困难等实际问题。积极争取市委、市政府支持，将离退休定额生活补贴从每人每年0.88万元提高至每人每年1万元，并按时足额发放到位，切实提升老干部生活质量。</w:t>
      </w:r>
    </w:p>
    <w:p w14:paraId="2D878C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1789DAE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rPr>
        <w:t>市委组织部属一级预算单位，下属二级预算单位0个，其中：行政单位1个；参照公务员法管理的事业单位0个；其他事业单位0个。</w:t>
      </w:r>
    </w:p>
    <w:p w14:paraId="719CEF0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14:paraId="6EE81A70">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收入预算情况</w:t>
      </w:r>
      <w:r>
        <w:rPr>
          <w:rFonts w:hint="eastAsia" w:ascii="方正楷体_GBK" w:hAnsi="方正楷体_GBK" w:eastAsia="方正楷体_GBK" w:cs="方正楷体_GBK"/>
          <w:b/>
          <w:bCs/>
          <w:sz w:val="32"/>
          <w:szCs w:val="32"/>
          <w:lang w:eastAsia="zh-CN"/>
        </w:rPr>
        <w:t>。</w:t>
      </w:r>
    </w:p>
    <w:p w14:paraId="2F6ED56E">
      <w:pPr>
        <w:pageBreakBefore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cs="Times New Roman"/>
          <w:sz w:val="32"/>
          <w:szCs w:val="32"/>
        </w:rPr>
      </w:pPr>
      <w:r>
        <w:rPr>
          <w:rFonts w:hint="eastAsia" w:ascii="仿宋_GB2312" w:eastAsia="仿宋_GB2312" w:cs="Times New Roman"/>
          <w:sz w:val="32"/>
          <w:szCs w:val="32"/>
          <w:lang w:val="en-US" w:eastAsia="zh-CN"/>
        </w:rPr>
        <w:t>我部2026年收入总预算905.67万元，其中：一般公共预算拨款收入749.04万元，占82.7%；上年结转156.63万元，占17.29%；事业收入0万元，占0%；其他收入0万元，占0%。</w:t>
      </w:r>
    </w:p>
    <w:p w14:paraId="1CBD0202">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lang w:val="en-US" w:eastAsia="zh-CN"/>
        </w:rPr>
        <w:t>二</w:t>
      </w:r>
      <w:r>
        <w:rPr>
          <w:rFonts w:hint="eastAsia" w:ascii="方正楷体_GBK" w:hAnsi="方正楷体_GBK" w:eastAsia="方正楷体_GBK" w:cs="方正楷体_GBK"/>
          <w:b/>
          <w:bCs/>
          <w:sz w:val="32"/>
          <w:szCs w:val="32"/>
          <w:lang w:eastAsia="zh-CN"/>
        </w:rPr>
        <w:t>）支出预算情况。</w:t>
      </w:r>
    </w:p>
    <w:p w14:paraId="6F84E820">
      <w:pPr>
        <w:pStyle w:val="2"/>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Times New Roman"/>
          <w:b w:val="0"/>
          <w:kern w:val="2"/>
          <w:sz w:val="32"/>
          <w:szCs w:val="32"/>
          <w:lang w:val="en-US" w:eastAsia="zh-CN" w:bidi="ar-SA"/>
        </w:rPr>
      </w:pPr>
      <w:r>
        <w:rPr>
          <w:rFonts w:hint="eastAsia" w:ascii="仿宋_GB2312" w:hAnsi="Calibri" w:eastAsia="仿宋_GB2312" w:cs="Times New Roman"/>
          <w:b w:val="0"/>
          <w:kern w:val="2"/>
          <w:sz w:val="32"/>
          <w:szCs w:val="32"/>
          <w:lang w:val="en-US" w:eastAsia="zh-CN" w:bidi="ar-SA"/>
        </w:rPr>
        <w:t>我部2026年财政拨款收支总收入905.67万元，比2025年财政拨款收支总预算增加41.11万元，主要原因:上年结转增加。</w:t>
      </w:r>
    </w:p>
    <w:p w14:paraId="581493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14:paraId="3C95BF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部</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rPr>
        <w:t>财政拨款收支总预算</w:t>
      </w:r>
      <w:r>
        <w:rPr>
          <w:rFonts w:hint="eastAsia" w:ascii="仿宋_GB2312" w:eastAsia="仿宋_GB2312"/>
          <w:sz w:val="32"/>
          <w:szCs w:val="32"/>
          <w:lang w:val="en-US" w:eastAsia="zh-CN"/>
        </w:rPr>
        <w:t>905.67</w:t>
      </w:r>
      <w:r>
        <w:rPr>
          <w:rFonts w:hint="eastAsia" w:ascii="仿宋_GB2312" w:eastAsia="仿宋_GB2312"/>
          <w:sz w:val="32"/>
          <w:szCs w:val="32"/>
        </w:rPr>
        <w:t>万元,比</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41.11</w:t>
      </w:r>
      <w:r>
        <w:rPr>
          <w:rFonts w:hint="eastAsia" w:ascii="仿宋_GB2312" w:eastAsia="仿宋_GB2312"/>
          <w:sz w:val="32"/>
          <w:szCs w:val="32"/>
        </w:rPr>
        <w:t>万元，主要原因:上年结转增加。</w:t>
      </w:r>
    </w:p>
    <w:p w14:paraId="7DC9A1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Times New Roman"/>
          <w:sz w:val="32"/>
          <w:szCs w:val="32"/>
          <w:lang w:val="en-US" w:eastAsia="zh-CN"/>
        </w:rPr>
      </w:pPr>
      <w:r>
        <w:rPr>
          <w:rFonts w:hint="eastAsia" w:ascii="仿宋_GB2312" w:eastAsia="仿宋_GB2312" w:cs="仿宋_GB2312"/>
          <w:sz w:val="32"/>
          <w:szCs w:val="32"/>
        </w:rPr>
        <w:t>收入包括：</w:t>
      </w:r>
      <w:r>
        <w:rPr>
          <w:rFonts w:hint="eastAsia" w:ascii="仿宋_GB2312" w:eastAsia="仿宋_GB2312" w:cs="Times New Roman"/>
          <w:sz w:val="32"/>
          <w:szCs w:val="32"/>
          <w:lang w:val="en-US" w:eastAsia="zh-CN"/>
        </w:rPr>
        <w:t>本年一般公共预算拨款收入749.04万元，上年结转156.63万元。</w:t>
      </w:r>
    </w:p>
    <w:p w14:paraId="497D0E66">
      <w:pPr>
        <w:pageBreakBefore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cs="仿宋_GB2312"/>
          <w:sz w:val="32"/>
          <w:szCs w:val="32"/>
        </w:rPr>
        <w:t>支出包括：</w:t>
      </w:r>
      <w:bookmarkStart w:id="0" w:name="OLE_LINK8"/>
      <w:r>
        <w:rPr>
          <w:rFonts w:hint="eastAsia" w:ascii="仿宋_GB2312" w:eastAsia="仿宋_GB2312" w:cs="Times New Roman"/>
          <w:sz w:val="32"/>
          <w:szCs w:val="32"/>
          <w:lang w:val="en-US" w:eastAsia="zh-CN"/>
        </w:rPr>
        <w:t>一般公共服务支出695.62万元，社会保障和就业支出104.43万元，卫生健康支出47.11万元，住房保障支出58.51万元。</w:t>
      </w:r>
      <w:bookmarkEnd w:id="0"/>
    </w:p>
    <w:p w14:paraId="15C841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14:paraId="34547F86">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（一）一般公共预算当年拨款规模变化情况</w:t>
      </w:r>
    </w:p>
    <w:p w14:paraId="0843949B">
      <w:pPr>
        <w:pageBreakBefore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我部2026年一般公共预算当年拨款749.04万元，比2025年预算数减少85.52万元，主要原因:人员变动、减少一个项目年初预算安排。</w:t>
      </w:r>
    </w:p>
    <w:p w14:paraId="692E738E">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cs="宋体"/>
          <w:sz w:val="32"/>
          <w:szCs w:val="32"/>
        </w:rPr>
      </w:pP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lang w:val="en-US" w:eastAsia="zh-CN"/>
        </w:rPr>
        <w:t>二</w:t>
      </w:r>
      <w:r>
        <w:rPr>
          <w:rFonts w:hint="eastAsia" w:ascii="方正楷体_GBK" w:hAnsi="方正楷体_GBK" w:eastAsia="方正楷体_GBK" w:cs="方正楷体_GBK"/>
          <w:b/>
          <w:bCs/>
          <w:sz w:val="32"/>
          <w:szCs w:val="32"/>
          <w:lang w:eastAsia="zh-CN"/>
        </w:rPr>
        <w:t>）一般公共预算当年拨款结构情况</w:t>
      </w:r>
    </w:p>
    <w:p w14:paraId="4BC2E131">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lang w:val="en-US" w:eastAsia="zh-CN"/>
        </w:rPr>
      </w:pPr>
      <w:r>
        <w:rPr>
          <w:rFonts w:hint="eastAsia" w:cs="仿宋_GB2312"/>
          <w:kern w:val="2"/>
          <w:sz w:val="32"/>
          <w:szCs w:val="32"/>
        </w:rPr>
        <w:t>一般公共服务支出</w:t>
      </w:r>
      <w:r>
        <w:rPr>
          <w:rFonts w:hint="eastAsia" w:cs="仿宋_GB2312"/>
          <w:kern w:val="2"/>
          <w:sz w:val="32"/>
          <w:szCs w:val="32"/>
          <w:lang w:val="en-US" w:eastAsia="zh-CN"/>
        </w:rPr>
        <w:t>538.99</w:t>
      </w:r>
      <w:r>
        <w:rPr>
          <w:rFonts w:hint="eastAsia" w:cs="仿宋_GB2312"/>
          <w:kern w:val="2"/>
          <w:sz w:val="32"/>
          <w:szCs w:val="32"/>
        </w:rPr>
        <w:t>万元，占</w:t>
      </w:r>
      <w:r>
        <w:rPr>
          <w:rFonts w:hint="eastAsia" w:cs="仿宋_GB2312"/>
          <w:kern w:val="2"/>
          <w:sz w:val="32"/>
          <w:szCs w:val="32"/>
          <w:lang w:val="en-US" w:eastAsia="zh-CN"/>
        </w:rPr>
        <w:t>76.8</w:t>
      </w:r>
      <w:r>
        <w:rPr>
          <w:rFonts w:hint="eastAsia" w:cs="仿宋_GB2312"/>
          <w:kern w:val="2"/>
          <w:sz w:val="32"/>
          <w:szCs w:val="32"/>
        </w:rPr>
        <w:t>%；社会保障和就业支出</w:t>
      </w:r>
      <w:r>
        <w:rPr>
          <w:rFonts w:hint="eastAsia" w:cs="仿宋_GB2312"/>
          <w:kern w:val="2"/>
          <w:sz w:val="32"/>
          <w:szCs w:val="32"/>
          <w:lang w:val="en-US" w:eastAsia="zh-CN"/>
        </w:rPr>
        <w:t>104.43</w:t>
      </w:r>
      <w:r>
        <w:rPr>
          <w:rFonts w:hint="eastAsia" w:cs="仿宋_GB2312"/>
          <w:kern w:val="2"/>
          <w:sz w:val="32"/>
          <w:szCs w:val="32"/>
        </w:rPr>
        <w:t>万元，占</w:t>
      </w:r>
      <w:r>
        <w:rPr>
          <w:rFonts w:hint="eastAsia" w:cs="仿宋_GB2312"/>
          <w:kern w:val="2"/>
          <w:sz w:val="32"/>
          <w:szCs w:val="32"/>
          <w:lang w:val="en-US" w:eastAsia="zh-CN"/>
        </w:rPr>
        <w:t>11.5</w:t>
      </w:r>
      <w:r>
        <w:rPr>
          <w:rFonts w:hint="eastAsia" w:cs="仿宋_GB2312"/>
          <w:kern w:val="2"/>
          <w:sz w:val="32"/>
          <w:szCs w:val="32"/>
        </w:rPr>
        <w:t>%；医疗卫生与计划生育支出</w:t>
      </w:r>
      <w:r>
        <w:rPr>
          <w:rFonts w:hint="eastAsia" w:cs="仿宋_GB2312"/>
          <w:kern w:val="2"/>
          <w:sz w:val="32"/>
          <w:szCs w:val="32"/>
          <w:lang w:val="en-US" w:eastAsia="zh-CN"/>
        </w:rPr>
        <w:t>47.11</w:t>
      </w:r>
      <w:r>
        <w:rPr>
          <w:rFonts w:hint="eastAsia" w:cs="仿宋_GB2312"/>
          <w:kern w:val="2"/>
          <w:sz w:val="32"/>
          <w:szCs w:val="32"/>
        </w:rPr>
        <w:t>万元，占</w:t>
      </w:r>
      <w:r>
        <w:rPr>
          <w:rFonts w:hint="eastAsia" w:cs="仿宋_GB2312"/>
          <w:kern w:val="2"/>
          <w:sz w:val="32"/>
          <w:szCs w:val="32"/>
          <w:lang w:val="en-US" w:eastAsia="zh-CN"/>
        </w:rPr>
        <w:t>5.2</w:t>
      </w:r>
      <w:r>
        <w:rPr>
          <w:rFonts w:hint="eastAsia" w:cs="仿宋_GB2312"/>
          <w:kern w:val="2"/>
          <w:sz w:val="32"/>
          <w:szCs w:val="32"/>
        </w:rPr>
        <w:t>%；住房保障支出</w:t>
      </w:r>
      <w:r>
        <w:rPr>
          <w:rFonts w:hint="eastAsia" w:cs="仿宋_GB2312"/>
          <w:kern w:val="2"/>
          <w:sz w:val="32"/>
          <w:szCs w:val="32"/>
          <w:lang w:val="en-US" w:eastAsia="zh-CN"/>
        </w:rPr>
        <w:t>58.51</w:t>
      </w:r>
      <w:r>
        <w:rPr>
          <w:rFonts w:hint="eastAsia" w:cs="仿宋_GB2312"/>
          <w:kern w:val="2"/>
          <w:sz w:val="32"/>
          <w:szCs w:val="32"/>
        </w:rPr>
        <w:t>万元，占</w:t>
      </w:r>
      <w:r>
        <w:rPr>
          <w:rFonts w:hint="eastAsia" w:cs="仿宋_GB2312"/>
          <w:kern w:val="2"/>
          <w:sz w:val="32"/>
          <w:szCs w:val="32"/>
          <w:lang w:val="en-US" w:eastAsia="zh-CN"/>
        </w:rPr>
        <w:t>6.5</w:t>
      </w:r>
      <w:r>
        <w:rPr>
          <w:rFonts w:hint="eastAsia" w:cs="仿宋_GB2312"/>
          <w:kern w:val="2"/>
          <w:sz w:val="32"/>
          <w:szCs w:val="32"/>
        </w:rPr>
        <w:t>%</w:t>
      </w:r>
      <w:r>
        <w:rPr>
          <w:rFonts w:hint="eastAsia" w:cs="仿宋_GB2312"/>
          <w:kern w:val="2"/>
          <w:sz w:val="32"/>
          <w:szCs w:val="32"/>
          <w:lang w:val="en-US" w:eastAsia="zh-CN"/>
        </w:rPr>
        <w:t>。</w:t>
      </w:r>
    </w:p>
    <w:p w14:paraId="44312694">
      <w:pPr>
        <w:keepNext w:val="0"/>
        <w:keepLines w:val="0"/>
        <w:pageBreakBefore w:val="0"/>
        <w:numPr>
          <w:ilvl w:val="0"/>
          <w:numId w:val="0"/>
        </w:numPr>
        <w:kinsoku/>
        <w:wordWrap/>
        <w:overflowPunct/>
        <w:topLinePunct w:val="0"/>
        <w:autoSpaceDE/>
        <w:autoSpaceDN/>
        <w:bidi w:val="0"/>
        <w:adjustRightInd/>
        <w:snapToGrid/>
        <w:spacing w:line="560" w:lineRule="exact"/>
        <w:ind w:leftChars="200"/>
        <w:jc w:val="left"/>
        <w:textAlignment w:val="auto"/>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（三）一般公共预算当年拨款具体使用情况</w:t>
      </w:r>
    </w:p>
    <w:p w14:paraId="54A49F01">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rPr>
      </w:pPr>
      <w:r>
        <w:rPr>
          <w:rFonts w:hint="eastAsia" w:cs="仿宋_GB2312"/>
          <w:color w:val="000000"/>
          <w:sz w:val="32"/>
          <w:szCs w:val="32"/>
          <w:highlight w:val="none"/>
        </w:rPr>
        <w:t>1．</w:t>
      </w:r>
      <w:bookmarkStart w:id="1" w:name="OLE_LINK12"/>
      <w:r>
        <w:rPr>
          <w:rFonts w:hint="eastAsia" w:cs="仿宋_GB2312"/>
          <w:color w:val="000000"/>
          <w:sz w:val="32"/>
          <w:szCs w:val="32"/>
          <w:highlight w:val="none"/>
        </w:rPr>
        <w:t>一般公共服务支出</w:t>
      </w:r>
      <w:bookmarkEnd w:id="1"/>
      <w:r>
        <w:rPr>
          <w:rFonts w:hint="eastAsia" w:cs="仿宋_GB2312"/>
          <w:color w:val="000000"/>
          <w:sz w:val="32"/>
          <w:szCs w:val="32"/>
          <w:highlight w:val="none"/>
        </w:rPr>
        <w:t>（201）</w:t>
      </w:r>
      <w:bookmarkStart w:id="2" w:name="OLE_LINK13"/>
      <w:r>
        <w:rPr>
          <w:rFonts w:hint="eastAsia" w:cs="仿宋_GB2312"/>
          <w:color w:val="000000"/>
          <w:sz w:val="32"/>
          <w:szCs w:val="32"/>
          <w:highlight w:val="none"/>
        </w:rPr>
        <w:t>组织事务</w:t>
      </w:r>
      <w:bookmarkEnd w:id="2"/>
      <w:r>
        <w:rPr>
          <w:rFonts w:hint="eastAsia" w:cs="仿宋_GB2312"/>
          <w:color w:val="000000"/>
          <w:sz w:val="32"/>
          <w:szCs w:val="32"/>
          <w:highlight w:val="none"/>
        </w:rPr>
        <w:t>（32）行政运行（01）</w:t>
      </w:r>
      <w:r>
        <w:rPr>
          <w:rFonts w:hint="eastAsia" w:cs="仿宋_GB2312"/>
          <w:color w:val="000000"/>
          <w:sz w:val="32"/>
          <w:szCs w:val="32"/>
          <w:highlight w:val="none"/>
          <w:lang w:val="en-US" w:eastAsia="zh-CN"/>
        </w:rPr>
        <w:t>2026</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473.75</w:t>
      </w:r>
      <w:r>
        <w:rPr>
          <w:rFonts w:hint="eastAsia" w:cs="仿宋_GB2312"/>
          <w:color w:val="000000"/>
          <w:sz w:val="32"/>
          <w:szCs w:val="32"/>
          <w:highlight w:val="none"/>
        </w:rPr>
        <w:t>万元。主要用于:一般性事务的开支，确保单位的正常运转。</w:t>
      </w:r>
    </w:p>
    <w:p w14:paraId="6DA44401">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rPr>
      </w:pPr>
      <w:r>
        <w:rPr>
          <w:rFonts w:hint="eastAsia" w:cs="仿宋_GB2312"/>
          <w:color w:val="auto"/>
          <w:sz w:val="32"/>
          <w:szCs w:val="32"/>
          <w:highlight w:val="none"/>
        </w:rPr>
        <w:t>2.</w:t>
      </w:r>
      <w:r>
        <w:rPr>
          <w:rFonts w:hint="eastAsia" w:cs="仿宋_GB2312"/>
          <w:color w:val="000000"/>
          <w:sz w:val="32"/>
          <w:szCs w:val="32"/>
          <w:highlight w:val="none"/>
        </w:rPr>
        <w:t>一般公共服务支出（201）组织事务（32）事业运行(50)20</w:t>
      </w:r>
      <w:r>
        <w:rPr>
          <w:rFonts w:hint="eastAsia" w:cs="仿宋_GB2312"/>
          <w:color w:val="000000"/>
          <w:sz w:val="32"/>
          <w:szCs w:val="32"/>
          <w:highlight w:val="none"/>
          <w:lang w:val="en-US" w:eastAsia="zh-CN"/>
        </w:rPr>
        <w:t>26</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61.18</w:t>
      </w:r>
      <w:r>
        <w:rPr>
          <w:rFonts w:hint="eastAsia" w:cs="仿宋_GB2312"/>
          <w:color w:val="000000"/>
          <w:sz w:val="32"/>
          <w:szCs w:val="32"/>
          <w:highlight w:val="none"/>
        </w:rPr>
        <w:t>万元。主要用于:支付事业人员一般性事务的开支，确保单位正常运转。</w:t>
      </w:r>
    </w:p>
    <w:p w14:paraId="19B1DDFF">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rPr>
      </w:pPr>
      <w:r>
        <w:rPr>
          <w:rFonts w:hint="eastAsia" w:cs="仿宋_GB2312"/>
          <w:color w:val="000000"/>
          <w:sz w:val="32"/>
          <w:szCs w:val="32"/>
          <w:highlight w:val="none"/>
          <w:lang w:val="en-US" w:eastAsia="zh-CN"/>
        </w:rPr>
        <w:t>3</w:t>
      </w:r>
      <w:r>
        <w:rPr>
          <w:rFonts w:hint="eastAsia" w:cs="仿宋_GB2312"/>
          <w:color w:val="000000"/>
          <w:sz w:val="32"/>
          <w:szCs w:val="32"/>
          <w:highlight w:val="none"/>
        </w:rPr>
        <w:t>.社会保障和就业支出（208）行政事业单位离退休（05）机关事业单位基本养老保险缴费支出（05）20</w:t>
      </w:r>
      <w:r>
        <w:rPr>
          <w:rFonts w:hint="eastAsia" w:cs="仿宋_GB2312"/>
          <w:color w:val="000000"/>
          <w:sz w:val="32"/>
          <w:szCs w:val="32"/>
          <w:highlight w:val="none"/>
          <w:lang w:val="en-US" w:eastAsia="zh-CN"/>
        </w:rPr>
        <w:t>26</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69.62</w:t>
      </w:r>
      <w:r>
        <w:rPr>
          <w:rFonts w:hint="eastAsia" w:cs="仿宋_GB2312"/>
          <w:color w:val="000000"/>
          <w:sz w:val="32"/>
          <w:szCs w:val="32"/>
          <w:highlight w:val="none"/>
        </w:rPr>
        <w:t>万元。主要用于:支付职工全年养老保险。</w:t>
      </w:r>
    </w:p>
    <w:p w14:paraId="43ED06E7">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rPr>
      </w:pPr>
      <w:r>
        <w:rPr>
          <w:rFonts w:hint="eastAsia" w:cs="仿宋_GB2312"/>
          <w:color w:val="000000"/>
          <w:sz w:val="32"/>
          <w:szCs w:val="32"/>
          <w:highlight w:val="none"/>
          <w:lang w:val="en-US" w:eastAsia="zh-CN"/>
        </w:rPr>
        <w:t>4</w:t>
      </w:r>
      <w:r>
        <w:rPr>
          <w:rFonts w:hint="eastAsia" w:cs="仿宋_GB2312"/>
          <w:color w:val="000000"/>
          <w:sz w:val="32"/>
          <w:szCs w:val="32"/>
          <w:highlight w:val="none"/>
        </w:rPr>
        <w:t>.社会保障和就业支出（208）行政事业单位离退休（05）机关事业单位职业年金缴费支出（06）20</w:t>
      </w:r>
      <w:r>
        <w:rPr>
          <w:rFonts w:hint="eastAsia" w:cs="仿宋_GB2312"/>
          <w:color w:val="000000"/>
          <w:sz w:val="32"/>
          <w:szCs w:val="32"/>
          <w:highlight w:val="none"/>
          <w:lang w:val="en-US" w:eastAsia="zh-CN"/>
        </w:rPr>
        <w:t>26</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34.8</w:t>
      </w:r>
      <w:r>
        <w:rPr>
          <w:rFonts w:hint="eastAsia" w:cs="仿宋_GB2312"/>
          <w:color w:val="000000"/>
          <w:sz w:val="32"/>
          <w:szCs w:val="32"/>
          <w:highlight w:val="none"/>
        </w:rPr>
        <w:t>万元。主要用于:支付职工全年的职业年金。</w:t>
      </w:r>
    </w:p>
    <w:p w14:paraId="7623FC24">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lang w:eastAsia="zh-CN"/>
        </w:rPr>
      </w:pPr>
      <w:r>
        <w:rPr>
          <w:rFonts w:hint="eastAsia" w:cs="仿宋_GB2312"/>
          <w:color w:val="000000"/>
          <w:sz w:val="32"/>
          <w:szCs w:val="32"/>
          <w:highlight w:val="none"/>
          <w:lang w:val="en-US" w:eastAsia="zh-CN"/>
        </w:rPr>
        <w:t>5</w:t>
      </w:r>
      <w:r>
        <w:rPr>
          <w:rFonts w:hint="eastAsia" w:cs="仿宋_GB2312"/>
          <w:color w:val="000000"/>
          <w:sz w:val="32"/>
          <w:szCs w:val="32"/>
          <w:highlight w:val="none"/>
        </w:rPr>
        <w:t>.医疗卫生与计划生育支出（210）行政事业单位医疗（11）20</w:t>
      </w:r>
      <w:r>
        <w:rPr>
          <w:rFonts w:hint="eastAsia" w:cs="仿宋_GB2312"/>
          <w:color w:val="000000"/>
          <w:sz w:val="32"/>
          <w:szCs w:val="32"/>
          <w:highlight w:val="none"/>
          <w:lang w:val="en-US" w:eastAsia="zh-CN"/>
        </w:rPr>
        <w:t>25</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47.11</w:t>
      </w:r>
      <w:r>
        <w:rPr>
          <w:rFonts w:hint="eastAsia" w:cs="仿宋_GB2312"/>
          <w:color w:val="000000"/>
          <w:sz w:val="32"/>
          <w:szCs w:val="32"/>
          <w:highlight w:val="none"/>
        </w:rPr>
        <w:t>万元。其中：行政单位医疗</w:t>
      </w:r>
      <w:r>
        <w:rPr>
          <w:rFonts w:hint="eastAsia" w:cs="仿宋_GB2312"/>
          <w:color w:val="000000"/>
          <w:sz w:val="32"/>
          <w:szCs w:val="32"/>
          <w:highlight w:val="none"/>
          <w:lang w:val="en-US" w:eastAsia="zh-CN"/>
        </w:rPr>
        <w:t>(</w:t>
      </w:r>
      <w:r>
        <w:rPr>
          <w:rFonts w:hint="eastAsia" w:cs="仿宋_GB2312"/>
          <w:color w:val="000000"/>
          <w:sz w:val="32"/>
          <w:szCs w:val="32"/>
          <w:highlight w:val="none"/>
        </w:rPr>
        <w:t>2101101</w:t>
      </w:r>
      <w:r>
        <w:rPr>
          <w:rFonts w:hint="eastAsia" w:cs="仿宋_GB2312"/>
          <w:color w:val="000000"/>
          <w:sz w:val="32"/>
          <w:szCs w:val="32"/>
          <w:highlight w:val="none"/>
          <w:lang w:eastAsia="zh-CN"/>
        </w:rPr>
        <w:t>）</w:t>
      </w:r>
      <w:r>
        <w:rPr>
          <w:rFonts w:hint="eastAsia" w:cs="仿宋_GB2312"/>
          <w:color w:val="000000"/>
          <w:sz w:val="32"/>
          <w:szCs w:val="32"/>
          <w:highlight w:val="none"/>
        </w:rPr>
        <w:t>20</w:t>
      </w:r>
      <w:r>
        <w:rPr>
          <w:rFonts w:hint="eastAsia" w:cs="仿宋_GB2312"/>
          <w:color w:val="000000"/>
          <w:sz w:val="32"/>
          <w:szCs w:val="32"/>
          <w:highlight w:val="none"/>
          <w:lang w:val="en-US" w:eastAsia="zh-CN"/>
        </w:rPr>
        <w:t>25</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33.84</w:t>
      </w:r>
      <w:r>
        <w:rPr>
          <w:rFonts w:hint="eastAsia" w:cs="仿宋_GB2312"/>
          <w:color w:val="000000"/>
          <w:sz w:val="32"/>
          <w:szCs w:val="32"/>
          <w:highlight w:val="none"/>
        </w:rPr>
        <w:t>万元，事业单位医疗(2101102)20</w:t>
      </w:r>
      <w:r>
        <w:rPr>
          <w:rFonts w:hint="eastAsia" w:cs="仿宋_GB2312"/>
          <w:color w:val="000000"/>
          <w:sz w:val="32"/>
          <w:szCs w:val="32"/>
          <w:highlight w:val="none"/>
          <w:lang w:val="en-US" w:eastAsia="zh-CN"/>
        </w:rPr>
        <w:t>25</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4.47</w:t>
      </w:r>
      <w:r>
        <w:rPr>
          <w:rFonts w:hint="eastAsia" w:cs="仿宋_GB2312"/>
          <w:color w:val="000000"/>
          <w:sz w:val="32"/>
          <w:szCs w:val="32"/>
          <w:highlight w:val="none"/>
        </w:rPr>
        <w:t>万元,公务员医疗补助（2101103）预算数为</w:t>
      </w:r>
      <w:r>
        <w:rPr>
          <w:rFonts w:hint="eastAsia" w:cs="仿宋_GB2312"/>
          <w:color w:val="000000"/>
          <w:sz w:val="32"/>
          <w:szCs w:val="32"/>
          <w:highlight w:val="none"/>
          <w:lang w:val="en-US" w:eastAsia="zh-CN"/>
        </w:rPr>
        <w:t>8.05</w:t>
      </w:r>
      <w:r>
        <w:rPr>
          <w:rFonts w:hint="eastAsia" w:cs="仿宋_GB2312"/>
          <w:color w:val="000000"/>
          <w:sz w:val="32"/>
          <w:szCs w:val="32"/>
          <w:highlight w:val="none"/>
        </w:rPr>
        <w:t>万元</w:t>
      </w:r>
      <w:r>
        <w:rPr>
          <w:rFonts w:hint="eastAsia" w:cs="仿宋_GB2312"/>
          <w:color w:val="000000"/>
          <w:sz w:val="32"/>
          <w:szCs w:val="32"/>
          <w:highlight w:val="none"/>
          <w:lang w:eastAsia="zh-CN"/>
        </w:rPr>
        <w:t>，</w:t>
      </w:r>
      <w:r>
        <w:rPr>
          <w:rFonts w:hint="eastAsia" w:cs="仿宋_GB2312"/>
          <w:color w:val="000000"/>
          <w:sz w:val="32"/>
          <w:szCs w:val="32"/>
          <w:highlight w:val="none"/>
          <w:lang w:val="en-US" w:eastAsia="zh-CN"/>
        </w:rPr>
        <w:t>其他行政事业单位医疗支出</w:t>
      </w:r>
      <w:r>
        <w:rPr>
          <w:rFonts w:hint="eastAsia" w:cs="仿宋_GB2312"/>
          <w:color w:val="000000"/>
          <w:sz w:val="32"/>
          <w:szCs w:val="32"/>
          <w:highlight w:val="none"/>
          <w:lang w:eastAsia="zh-CN"/>
        </w:rPr>
        <w:t>（</w:t>
      </w:r>
      <w:r>
        <w:rPr>
          <w:rFonts w:hint="eastAsia" w:cs="仿宋_GB2312"/>
          <w:color w:val="000000"/>
          <w:sz w:val="32"/>
          <w:szCs w:val="32"/>
          <w:highlight w:val="none"/>
          <w:lang w:val="en-US" w:eastAsia="zh-CN"/>
        </w:rPr>
        <w:t>2101199</w:t>
      </w:r>
      <w:r>
        <w:rPr>
          <w:rFonts w:hint="eastAsia" w:cs="仿宋_GB2312"/>
          <w:color w:val="000000"/>
          <w:sz w:val="32"/>
          <w:szCs w:val="32"/>
          <w:highlight w:val="none"/>
          <w:lang w:eastAsia="zh-CN"/>
        </w:rPr>
        <w:t>）</w:t>
      </w:r>
      <w:r>
        <w:rPr>
          <w:rFonts w:hint="eastAsia" w:cs="仿宋_GB2312"/>
          <w:color w:val="000000"/>
          <w:sz w:val="32"/>
          <w:szCs w:val="32"/>
          <w:highlight w:val="none"/>
          <w:lang w:val="en-US" w:eastAsia="zh-CN"/>
        </w:rPr>
        <w:t>预算数为0.75万元。</w:t>
      </w:r>
      <w:r>
        <w:rPr>
          <w:rFonts w:hint="eastAsia" w:cs="仿宋_GB2312"/>
          <w:color w:val="000000"/>
          <w:sz w:val="32"/>
          <w:szCs w:val="32"/>
          <w:highlight w:val="none"/>
        </w:rPr>
        <w:t>主要用于：支付单位在职</w:t>
      </w:r>
      <w:r>
        <w:rPr>
          <w:rFonts w:hint="eastAsia" w:cs="仿宋_GB2312"/>
          <w:color w:val="000000"/>
          <w:sz w:val="32"/>
          <w:szCs w:val="32"/>
          <w:highlight w:val="none"/>
          <w:lang w:eastAsia="zh-CN"/>
        </w:rPr>
        <w:t>职工</w:t>
      </w:r>
      <w:r>
        <w:rPr>
          <w:rFonts w:hint="eastAsia" w:cs="仿宋_GB2312"/>
          <w:color w:val="000000"/>
          <w:sz w:val="32"/>
          <w:szCs w:val="32"/>
          <w:highlight w:val="none"/>
        </w:rPr>
        <w:t>及退休人员的医疗保险</w:t>
      </w:r>
      <w:r>
        <w:rPr>
          <w:rFonts w:hint="eastAsia" w:cs="仿宋_GB2312"/>
          <w:color w:val="000000"/>
          <w:sz w:val="32"/>
          <w:szCs w:val="32"/>
          <w:highlight w:val="none"/>
          <w:lang w:eastAsia="zh-CN"/>
        </w:rPr>
        <w:t>。</w:t>
      </w:r>
    </w:p>
    <w:p w14:paraId="6F29A42F">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hint="eastAsia" w:cs="仿宋_GB2312"/>
          <w:color w:val="000000"/>
          <w:sz w:val="32"/>
          <w:szCs w:val="32"/>
          <w:highlight w:val="none"/>
          <w:lang w:eastAsia="zh-CN"/>
        </w:rPr>
      </w:pPr>
      <w:r>
        <w:rPr>
          <w:rFonts w:hint="eastAsia" w:cs="仿宋_GB2312"/>
          <w:color w:val="000000"/>
          <w:sz w:val="32"/>
          <w:szCs w:val="32"/>
          <w:highlight w:val="none"/>
          <w:lang w:val="en-US" w:eastAsia="zh-CN"/>
        </w:rPr>
        <w:t>6</w:t>
      </w:r>
      <w:r>
        <w:rPr>
          <w:rFonts w:hint="eastAsia" w:cs="仿宋_GB2312"/>
          <w:color w:val="000000"/>
          <w:sz w:val="32"/>
          <w:szCs w:val="32"/>
          <w:highlight w:val="none"/>
        </w:rPr>
        <w:t>.住房保障支出（221）住房改革支出（02）住房公积金（01）20</w:t>
      </w:r>
      <w:r>
        <w:rPr>
          <w:rFonts w:hint="eastAsia" w:cs="仿宋_GB2312"/>
          <w:color w:val="000000"/>
          <w:sz w:val="32"/>
          <w:szCs w:val="32"/>
          <w:highlight w:val="none"/>
          <w:lang w:val="en-US" w:eastAsia="zh-CN"/>
        </w:rPr>
        <w:t>25</w:t>
      </w:r>
      <w:r>
        <w:rPr>
          <w:rFonts w:hint="eastAsia" w:cs="仿宋_GB2312"/>
          <w:color w:val="000000"/>
          <w:sz w:val="32"/>
          <w:szCs w:val="32"/>
          <w:highlight w:val="none"/>
        </w:rPr>
        <w:t>年预算数为</w:t>
      </w:r>
      <w:r>
        <w:rPr>
          <w:rFonts w:hint="eastAsia" w:cs="仿宋_GB2312"/>
          <w:color w:val="000000"/>
          <w:sz w:val="32"/>
          <w:szCs w:val="32"/>
          <w:highlight w:val="none"/>
          <w:lang w:val="en-US" w:eastAsia="zh-CN"/>
        </w:rPr>
        <w:t>58.51</w:t>
      </w:r>
      <w:r>
        <w:rPr>
          <w:rFonts w:hint="eastAsia" w:cs="仿宋_GB2312"/>
          <w:color w:val="000000"/>
          <w:sz w:val="32"/>
          <w:szCs w:val="32"/>
          <w:highlight w:val="none"/>
        </w:rPr>
        <w:t>万元。主要用于支付单位职工</w:t>
      </w:r>
      <w:r>
        <w:rPr>
          <w:rFonts w:hint="eastAsia" w:cs="仿宋_GB2312"/>
          <w:color w:val="000000"/>
          <w:sz w:val="32"/>
          <w:szCs w:val="32"/>
          <w:highlight w:val="none"/>
          <w:lang w:eastAsia="zh-CN"/>
        </w:rPr>
        <w:t>全年</w:t>
      </w:r>
      <w:r>
        <w:rPr>
          <w:rFonts w:hint="eastAsia" w:cs="仿宋_GB2312"/>
          <w:color w:val="000000"/>
          <w:sz w:val="32"/>
          <w:szCs w:val="32"/>
          <w:highlight w:val="none"/>
        </w:rPr>
        <w:t>住房公积金</w:t>
      </w:r>
      <w:r>
        <w:rPr>
          <w:rFonts w:hint="eastAsia" w:cs="仿宋_GB2312"/>
          <w:color w:val="000000"/>
          <w:sz w:val="32"/>
          <w:szCs w:val="32"/>
          <w:highlight w:val="none"/>
          <w:lang w:eastAsia="zh-CN"/>
        </w:rPr>
        <w:t>。</w:t>
      </w:r>
    </w:p>
    <w:p w14:paraId="7A582D24">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Chars="100" w:firstLine="640" w:firstLineChars="200"/>
        <w:textAlignment w:val="auto"/>
        <w:rPr>
          <w:rFonts w:cs="仿宋_GB2312"/>
          <w:kern w:val="2"/>
          <w:sz w:val="32"/>
          <w:szCs w:val="32"/>
        </w:rPr>
      </w:pPr>
      <w:r>
        <w:rPr>
          <w:rFonts w:hint="eastAsia" w:cs="仿宋_GB2312"/>
          <w:color w:val="000000"/>
          <w:sz w:val="32"/>
          <w:szCs w:val="32"/>
          <w:highlight w:val="none"/>
          <w:lang w:val="en-US" w:eastAsia="zh-CN"/>
        </w:rPr>
        <w:t>7</w:t>
      </w:r>
      <w:r>
        <w:rPr>
          <w:rFonts w:hint="eastAsia" w:cs="仿宋_GB2312"/>
          <w:color w:val="000000"/>
          <w:sz w:val="32"/>
          <w:szCs w:val="32"/>
          <w:highlight w:val="none"/>
        </w:rPr>
        <w:t>.</w:t>
      </w:r>
      <w:bookmarkStart w:id="3" w:name="OLE_LINK14"/>
      <w:r>
        <w:rPr>
          <w:rFonts w:hint="eastAsia" w:cs="仿宋_GB2312"/>
          <w:color w:val="000000"/>
          <w:sz w:val="32"/>
          <w:szCs w:val="32"/>
          <w:highlight w:val="none"/>
        </w:rPr>
        <w:t>一般公共服务支出</w:t>
      </w:r>
      <w:r>
        <w:rPr>
          <w:rFonts w:hint="eastAsia" w:cs="仿宋_GB2312"/>
          <w:color w:val="000000"/>
          <w:sz w:val="32"/>
          <w:szCs w:val="32"/>
          <w:highlight w:val="none"/>
          <w:lang w:eastAsia="zh-CN"/>
        </w:rPr>
        <w:t>（201）</w:t>
      </w:r>
      <w:r>
        <w:rPr>
          <w:rFonts w:hint="eastAsia" w:cs="仿宋_GB2312"/>
          <w:color w:val="000000"/>
          <w:sz w:val="32"/>
          <w:szCs w:val="32"/>
          <w:highlight w:val="none"/>
        </w:rPr>
        <w:t>组织事务</w:t>
      </w:r>
      <w:r>
        <w:rPr>
          <w:rFonts w:hint="eastAsia" w:cs="仿宋_GB2312"/>
          <w:color w:val="000000"/>
          <w:sz w:val="32"/>
          <w:szCs w:val="32"/>
          <w:highlight w:val="none"/>
          <w:lang w:eastAsia="zh-CN"/>
        </w:rPr>
        <w:t>（</w:t>
      </w:r>
      <w:r>
        <w:rPr>
          <w:rFonts w:hint="eastAsia" w:cs="仿宋_GB2312"/>
          <w:color w:val="000000"/>
          <w:sz w:val="32"/>
          <w:szCs w:val="32"/>
          <w:highlight w:val="none"/>
          <w:lang w:val="en-US" w:eastAsia="zh-CN"/>
        </w:rPr>
        <w:t>32</w:t>
      </w:r>
      <w:r>
        <w:rPr>
          <w:rFonts w:hint="eastAsia" w:cs="仿宋_GB2312"/>
          <w:color w:val="000000"/>
          <w:sz w:val="32"/>
          <w:szCs w:val="32"/>
          <w:highlight w:val="none"/>
          <w:lang w:eastAsia="zh-CN"/>
        </w:rPr>
        <w:t>）一般行政管理事务（</w:t>
      </w:r>
      <w:r>
        <w:rPr>
          <w:rFonts w:hint="eastAsia" w:cs="仿宋_GB2312"/>
          <w:color w:val="000000"/>
          <w:sz w:val="32"/>
          <w:szCs w:val="32"/>
          <w:highlight w:val="none"/>
          <w:lang w:val="en-US" w:eastAsia="zh-CN"/>
        </w:rPr>
        <w:t>02</w:t>
      </w:r>
      <w:r>
        <w:rPr>
          <w:rFonts w:hint="eastAsia" w:cs="仿宋_GB2312"/>
          <w:color w:val="000000"/>
          <w:sz w:val="32"/>
          <w:szCs w:val="32"/>
          <w:highlight w:val="none"/>
          <w:lang w:eastAsia="zh-CN"/>
        </w:rPr>
        <w:t>）</w:t>
      </w:r>
      <w:r>
        <w:rPr>
          <w:rFonts w:hint="eastAsia" w:cs="仿宋_GB2312"/>
          <w:color w:val="000000"/>
          <w:sz w:val="32"/>
          <w:szCs w:val="32"/>
          <w:highlight w:val="none"/>
          <w:lang w:val="en-US" w:eastAsia="zh-CN"/>
        </w:rPr>
        <w:t>2025年预算数4.06万元。</w:t>
      </w:r>
      <w:bookmarkEnd w:id="3"/>
      <w:r>
        <w:rPr>
          <w:rFonts w:hint="eastAsia" w:cs="仿宋_GB2312"/>
          <w:color w:val="000000"/>
          <w:sz w:val="32"/>
          <w:szCs w:val="32"/>
          <w:highlight w:val="none"/>
          <w:lang w:val="en-US" w:eastAsia="zh-CN"/>
        </w:rPr>
        <w:t>主要用于为全市驻村工作队人员购买意外伤害保险。</w:t>
      </w:r>
    </w:p>
    <w:p w14:paraId="263F19B7">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14:paraId="3508D744">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val="en-US" w:eastAsia="zh-CN"/>
        </w:rPr>
        <w:t>我</w:t>
      </w:r>
      <w:r>
        <w:rPr>
          <w:rFonts w:hint="eastAsia" w:cs="仿宋_GB2312"/>
          <w:kern w:val="2"/>
          <w:sz w:val="32"/>
          <w:szCs w:val="32"/>
        </w:rPr>
        <w:t>部</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rPr>
        <w:t>一般公共预算基本支出</w:t>
      </w:r>
      <w:r>
        <w:rPr>
          <w:rFonts w:hint="eastAsia" w:cs="仿宋_GB2312"/>
          <w:kern w:val="2"/>
          <w:sz w:val="32"/>
          <w:szCs w:val="32"/>
          <w:lang w:val="en-US" w:eastAsia="zh-CN"/>
        </w:rPr>
        <w:t>744.98</w:t>
      </w:r>
      <w:r>
        <w:rPr>
          <w:rFonts w:hint="eastAsia" w:cs="仿宋_GB2312"/>
          <w:kern w:val="2"/>
          <w:sz w:val="32"/>
          <w:szCs w:val="32"/>
        </w:rPr>
        <w:t>万元，其中：人员经费</w:t>
      </w:r>
      <w:r>
        <w:rPr>
          <w:rFonts w:hint="eastAsia" w:cs="仿宋_GB2312"/>
          <w:kern w:val="2"/>
          <w:sz w:val="32"/>
          <w:szCs w:val="32"/>
          <w:lang w:val="en-US" w:eastAsia="zh-CN"/>
        </w:rPr>
        <w:t>690.59</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4172ED8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公用经费54.39万元，主要包括：办公费、印刷费、手续费、水费、电费、邮电费、差旅费、维修（护）费、租赁费、会议费、培训费、劳务费、工会经费、福利费、其他交通工具运行维护费、其他商品和服务支出。</w:t>
      </w:r>
    </w:p>
    <w:p w14:paraId="0B10589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黑体" w:eastAsia="黑体"/>
          <w:sz w:val="32"/>
          <w:szCs w:val="32"/>
        </w:rPr>
      </w:pPr>
      <w:r>
        <w:rPr>
          <w:rFonts w:hint="eastAsia" w:ascii="黑体" w:eastAsia="黑体"/>
          <w:sz w:val="32"/>
          <w:szCs w:val="32"/>
        </w:rPr>
        <w:t>七、“三公”经费财政拨款预算安排情况说明</w:t>
      </w:r>
    </w:p>
    <w:p w14:paraId="2861FA38">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val="en-US" w:eastAsia="zh-CN"/>
        </w:rPr>
        <w:t>我</w:t>
      </w:r>
      <w:r>
        <w:rPr>
          <w:rFonts w:hint="eastAsia" w:cs="仿宋_GB2312"/>
          <w:kern w:val="2"/>
          <w:sz w:val="32"/>
          <w:szCs w:val="32"/>
        </w:rPr>
        <w:t>部</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rPr>
        <w:t>“三公”经费财政拨款预算数</w:t>
      </w:r>
      <w:r>
        <w:rPr>
          <w:rFonts w:hint="eastAsia" w:cs="仿宋_GB2312"/>
          <w:kern w:val="2"/>
          <w:sz w:val="32"/>
          <w:szCs w:val="32"/>
          <w:lang w:val="en-US" w:eastAsia="zh-CN"/>
        </w:rPr>
        <w:t>15.25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0.25</w:t>
      </w:r>
      <w:r>
        <w:rPr>
          <w:rFonts w:hint="eastAsia" w:cs="仿宋_GB2312"/>
          <w:kern w:val="2"/>
          <w:sz w:val="32"/>
          <w:szCs w:val="32"/>
        </w:rPr>
        <w:t>万元，公务用车购置及运行维护费</w:t>
      </w:r>
      <w:r>
        <w:rPr>
          <w:rFonts w:hint="eastAsia" w:cs="仿宋_GB2312"/>
          <w:kern w:val="2"/>
          <w:sz w:val="32"/>
          <w:szCs w:val="32"/>
          <w:lang w:val="en-US" w:eastAsia="zh-CN"/>
        </w:rPr>
        <w:t>15</w:t>
      </w:r>
      <w:r>
        <w:rPr>
          <w:rFonts w:hint="eastAsia" w:cs="仿宋_GB2312"/>
          <w:kern w:val="2"/>
          <w:sz w:val="32"/>
          <w:szCs w:val="32"/>
        </w:rPr>
        <w:t>万元。</w:t>
      </w:r>
    </w:p>
    <w:p w14:paraId="53045A67">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方正楷体_GBK" w:hAnsi="方正楷体_GBK" w:eastAsia="方正楷体_GBK" w:cs="方正楷体_GBK"/>
          <w:b/>
          <w:bCs/>
          <w:kern w:val="2"/>
          <w:sz w:val="32"/>
          <w:szCs w:val="32"/>
          <w:lang w:val="en-US" w:eastAsia="zh-CN" w:bidi="ar-SA"/>
        </w:rPr>
      </w:pPr>
      <w:r>
        <w:rPr>
          <w:rFonts w:hint="eastAsia" w:cs="仿宋_GB2312"/>
          <w:kern w:val="2"/>
          <w:sz w:val="32"/>
          <w:szCs w:val="32"/>
        </w:rPr>
        <w:t>（</w:t>
      </w:r>
      <w:r>
        <w:rPr>
          <w:rFonts w:hint="eastAsia" w:ascii="方正楷体_GBK" w:hAnsi="方正楷体_GBK" w:eastAsia="方正楷体_GBK" w:cs="方正楷体_GBK"/>
          <w:b/>
          <w:bCs/>
          <w:kern w:val="2"/>
          <w:sz w:val="32"/>
          <w:szCs w:val="32"/>
          <w:lang w:val="en-US" w:eastAsia="zh-CN" w:bidi="ar-SA"/>
        </w:rPr>
        <w:t>一）2026年因公出国（境）经费0万元。</w:t>
      </w:r>
    </w:p>
    <w:p w14:paraId="3F15CBD1">
      <w:pPr>
        <w:pStyle w:val="13"/>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（二）2026年公务接待经费0.25万元。较2025年预算经费持平。</w:t>
      </w:r>
    </w:p>
    <w:p w14:paraId="28848CC5">
      <w:pPr>
        <w:pStyle w:val="13"/>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default"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（三）2026年公务用车购置及运行维护费15万元。较2025年预算经费减少2万元，减少11.8%，主要原因压减一般支出。</w:t>
      </w:r>
    </w:p>
    <w:p w14:paraId="33EEC3EE">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八、政府性基金预算支出情况说明</w:t>
      </w:r>
    </w:p>
    <w:p w14:paraId="386A34E4">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lang w:val="en-US" w:eastAsia="zh-CN"/>
        </w:rPr>
        <w:t>我</w:t>
      </w:r>
      <w:r>
        <w:rPr>
          <w:rFonts w:hint="eastAsia" w:cs="仿宋_GB2312"/>
          <w:kern w:val="2"/>
          <w:sz w:val="32"/>
          <w:szCs w:val="32"/>
        </w:rPr>
        <w:t>部</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rPr>
        <w:t>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lang w:val="en-US" w:eastAsia="zh-CN"/>
        </w:rPr>
        <w:t>不变</w:t>
      </w:r>
      <w:r>
        <w:rPr>
          <w:rFonts w:hint="eastAsia" w:cs="仿宋_GB2312"/>
          <w:kern w:val="2"/>
          <w:sz w:val="32"/>
          <w:szCs w:val="32"/>
        </w:rPr>
        <w:t>。</w:t>
      </w:r>
    </w:p>
    <w:p w14:paraId="5B930CF6">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14:paraId="49E3C0E3">
      <w:pPr>
        <w:pStyle w:val="13"/>
        <w:keepNext w:val="0"/>
        <w:keepLines w:val="0"/>
        <w:pageBreakBefore w:val="0"/>
        <w:numPr>
          <w:ilvl w:val="0"/>
          <w:numId w:val="2"/>
        </w:numPr>
        <w:kinsoku/>
        <w:wordWrap/>
        <w:overflowPunct/>
        <w:topLinePunct w:val="0"/>
        <w:autoSpaceDE/>
        <w:autoSpaceDN/>
        <w:bidi w:val="0"/>
        <w:adjustRightInd/>
        <w:snapToGrid/>
        <w:spacing w:before="0" w:line="560" w:lineRule="exact"/>
        <w:ind w:left="0" w:leftChars="0" w:firstLine="420" w:firstLineChars="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机关运行经费</w:t>
      </w:r>
    </w:p>
    <w:p w14:paraId="1C0024CF">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color w:val="FF0000"/>
          <w:kern w:val="2"/>
          <w:sz w:val="32"/>
          <w:szCs w:val="32"/>
        </w:rPr>
      </w:pPr>
      <w:r>
        <w:rPr>
          <w:rFonts w:hint="eastAsia" w:cs="仿宋_GB2312"/>
          <w:kern w:val="2"/>
          <w:sz w:val="32"/>
          <w:szCs w:val="32"/>
          <w:lang w:val="en-US" w:eastAsia="zh-CN"/>
        </w:rPr>
        <w:t>我</w:t>
      </w:r>
      <w:r>
        <w:rPr>
          <w:rFonts w:hint="eastAsia" w:cs="仿宋_GB2312"/>
          <w:kern w:val="2"/>
          <w:sz w:val="32"/>
          <w:szCs w:val="32"/>
        </w:rPr>
        <w:t>部</w:t>
      </w: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rPr>
        <w:t>机关运行经费财政拨款预算为</w:t>
      </w:r>
      <w:r>
        <w:rPr>
          <w:rFonts w:hint="eastAsia" w:cs="仿宋_GB2312"/>
          <w:kern w:val="2"/>
          <w:sz w:val="32"/>
          <w:szCs w:val="32"/>
          <w:lang w:val="en-US" w:eastAsia="zh-CN"/>
        </w:rPr>
        <w:t>53.66</w:t>
      </w:r>
      <w:r>
        <w:rPr>
          <w:rFonts w:hint="eastAsia" w:cs="仿宋_GB2312"/>
          <w:kern w:val="2"/>
          <w:sz w:val="32"/>
          <w:szCs w:val="32"/>
        </w:rPr>
        <w:t>万元，比</w:t>
      </w:r>
      <w:r>
        <w:rPr>
          <w:rFonts w:hint="eastAsia" w:cs="仿宋_GB2312"/>
          <w:kern w:val="2"/>
          <w:sz w:val="32"/>
          <w:szCs w:val="32"/>
          <w:lang w:eastAsia="zh-CN"/>
        </w:rPr>
        <w:t>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0.73</w:t>
      </w:r>
      <w:r>
        <w:rPr>
          <w:rFonts w:hint="eastAsia" w:cs="仿宋_GB2312"/>
          <w:color w:val="000000"/>
          <w:kern w:val="2"/>
          <w:sz w:val="32"/>
          <w:szCs w:val="32"/>
        </w:rPr>
        <w:t>万元，</w:t>
      </w:r>
      <w:r>
        <w:rPr>
          <w:rFonts w:hint="eastAsia" w:cs="仿宋_GB2312"/>
          <w:color w:val="000000"/>
          <w:kern w:val="2"/>
          <w:sz w:val="32"/>
          <w:szCs w:val="32"/>
          <w:lang w:val="en-US" w:eastAsia="zh-CN"/>
        </w:rPr>
        <w:t>增加1.4</w:t>
      </w:r>
      <w:r>
        <w:rPr>
          <w:rFonts w:hint="eastAsia" w:cs="仿宋_GB2312"/>
          <w:color w:val="000000"/>
          <w:kern w:val="2"/>
          <w:sz w:val="32"/>
          <w:szCs w:val="32"/>
        </w:rPr>
        <w:t>%。</w:t>
      </w:r>
    </w:p>
    <w:p w14:paraId="412AA803">
      <w:pPr>
        <w:pStyle w:val="13"/>
        <w:keepNext w:val="0"/>
        <w:keepLines w:val="0"/>
        <w:pageBreakBefore w:val="0"/>
        <w:numPr>
          <w:ilvl w:val="0"/>
          <w:numId w:val="2"/>
        </w:numPr>
        <w:kinsoku/>
        <w:wordWrap/>
        <w:overflowPunct/>
        <w:topLinePunct w:val="0"/>
        <w:autoSpaceDE/>
        <w:autoSpaceDN/>
        <w:bidi w:val="0"/>
        <w:adjustRightInd/>
        <w:snapToGrid/>
        <w:spacing w:before="0" w:line="560" w:lineRule="exact"/>
        <w:ind w:left="0" w:leftChars="0" w:firstLine="420" w:firstLineChars="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政府采购情况</w:t>
      </w:r>
    </w:p>
    <w:p w14:paraId="66A1172D">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kern w:val="2"/>
          <w:sz w:val="32"/>
          <w:szCs w:val="32"/>
          <w:lang w:val="en-US" w:eastAsia="zh-CN"/>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lang w:val="en-US" w:eastAsia="zh-CN"/>
        </w:rPr>
        <w:t>我</w:t>
      </w:r>
      <w:r>
        <w:rPr>
          <w:rFonts w:hint="eastAsia" w:cs="仿宋_GB2312"/>
          <w:kern w:val="2"/>
          <w:sz w:val="32"/>
          <w:szCs w:val="32"/>
        </w:rPr>
        <w:t>部安排政府采购预算</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w:t>
      </w:r>
    </w:p>
    <w:p w14:paraId="11CACAC8">
      <w:pPr>
        <w:pStyle w:val="13"/>
        <w:keepNext w:val="0"/>
        <w:keepLines w:val="0"/>
        <w:pageBreakBefore w:val="0"/>
        <w:numPr>
          <w:ilvl w:val="0"/>
          <w:numId w:val="2"/>
        </w:numPr>
        <w:kinsoku/>
        <w:wordWrap/>
        <w:overflowPunct/>
        <w:topLinePunct w:val="0"/>
        <w:autoSpaceDE/>
        <w:autoSpaceDN/>
        <w:bidi w:val="0"/>
        <w:adjustRightInd/>
        <w:snapToGrid/>
        <w:spacing w:before="0" w:line="560" w:lineRule="exact"/>
        <w:ind w:left="0" w:leftChars="0" w:firstLine="420" w:firstLineChars="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国有资产占有使用情况</w:t>
      </w:r>
    </w:p>
    <w:p w14:paraId="2063F4A6">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截至</w:t>
      </w:r>
      <w:r>
        <w:rPr>
          <w:rFonts w:hint="eastAsia" w:cs="仿宋_GB2312"/>
          <w:kern w:val="2"/>
          <w:sz w:val="32"/>
          <w:szCs w:val="32"/>
          <w:lang w:eastAsia="zh-CN"/>
        </w:rPr>
        <w:t>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167.86</w:t>
      </w:r>
      <w:r>
        <w:rPr>
          <w:rFonts w:hint="eastAsia" w:cs="仿宋_GB2312"/>
          <w:kern w:val="2"/>
          <w:sz w:val="32"/>
          <w:szCs w:val="32"/>
        </w:rPr>
        <w:t>万元。</w:t>
      </w:r>
    </w:p>
    <w:p w14:paraId="794A7EE3">
      <w:pPr>
        <w:pStyle w:val="13"/>
        <w:keepNext w:val="0"/>
        <w:keepLines w:val="0"/>
        <w:pageBreakBefore w:val="0"/>
        <w:numPr>
          <w:ilvl w:val="0"/>
          <w:numId w:val="2"/>
        </w:numPr>
        <w:kinsoku/>
        <w:wordWrap/>
        <w:overflowPunct/>
        <w:topLinePunct w:val="0"/>
        <w:autoSpaceDE/>
        <w:autoSpaceDN/>
        <w:bidi w:val="0"/>
        <w:adjustRightInd/>
        <w:snapToGrid/>
        <w:spacing w:before="0" w:line="560" w:lineRule="exact"/>
        <w:ind w:left="0" w:leftChars="0" w:firstLine="420" w:firstLineChars="0"/>
        <w:textAlignment w:val="auto"/>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绩效目标设置情况</w:t>
      </w:r>
    </w:p>
    <w:p w14:paraId="1E575FA7">
      <w:pPr>
        <w:pStyle w:val="13"/>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eastAsia="仿宋_GB2312" w:cs="仿宋_GB2312"/>
          <w:kern w:val="2"/>
          <w:sz w:val="32"/>
          <w:szCs w:val="32"/>
          <w:lang w:val="en-US" w:eastAsia="zh-CN"/>
        </w:rPr>
      </w:pPr>
      <w:r>
        <w:rPr>
          <w:rFonts w:hint="eastAsia" w:cs="仿宋_GB2312"/>
          <w:kern w:val="2"/>
          <w:sz w:val="32"/>
          <w:szCs w:val="32"/>
          <w:lang w:eastAsia="zh-CN"/>
        </w:rPr>
        <w:t>202</w:t>
      </w:r>
      <w:r>
        <w:rPr>
          <w:rFonts w:hint="eastAsia" w:cs="仿宋_GB2312"/>
          <w:kern w:val="2"/>
          <w:sz w:val="32"/>
          <w:szCs w:val="32"/>
          <w:lang w:val="en-US" w:eastAsia="zh-CN"/>
        </w:rPr>
        <w:t>6</w:t>
      </w:r>
      <w:r>
        <w:rPr>
          <w:rFonts w:hint="eastAsia" w:cs="仿宋_GB2312"/>
          <w:kern w:val="2"/>
          <w:sz w:val="32"/>
          <w:szCs w:val="32"/>
          <w:lang w:eastAsia="zh-CN"/>
        </w:rPr>
        <w:t>年</w:t>
      </w:r>
      <w:r>
        <w:rPr>
          <w:rFonts w:hint="eastAsia" w:cs="仿宋_GB2312"/>
          <w:kern w:val="2"/>
          <w:sz w:val="32"/>
          <w:szCs w:val="32"/>
          <w:lang w:val="en-US" w:eastAsia="zh-CN"/>
        </w:rPr>
        <w:t>我</w:t>
      </w:r>
      <w:r>
        <w:rPr>
          <w:rFonts w:hint="eastAsia" w:cs="仿宋_GB2312"/>
          <w:kern w:val="2"/>
          <w:sz w:val="32"/>
          <w:szCs w:val="32"/>
        </w:rPr>
        <w:t>部通用项目和专用项目均按要求实行绩效目标管理，涉及一般公共预算当年拨款</w:t>
      </w:r>
      <w:r>
        <w:rPr>
          <w:rFonts w:hint="eastAsia" w:cs="仿宋_GB2312"/>
          <w:kern w:val="2"/>
          <w:sz w:val="32"/>
          <w:szCs w:val="32"/>
          <w:lang w:val="en-US" w:eastAsia="zh-CN"/>
        </w:rPr>
        <w:t>749.04</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上年结转156.63万元。</w:t>
      </w:r>
    </w:p>
    <w:p w14:paraId="3A215F03">
      <w:pPr>
        <w:pStyle w:val="13"/>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十、名称解释</w:t>
      </w:r>
    </w:p>
    <w:p w14:paraId="53C07EC5">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财政拨款收入：</w:t>
      </w:r>
      <w:r>
        <w:rPr>
          <w:rFonts w:hint="eastAsia" w:cs="仿宋_GB2312"/>
          <w:kern w:val="2"/>
          <w:sz w:val="32"/>
          <w:szCs w:val="32"/>
        </w:rPr>
        <w:t>指由财政拨款形成的部门收入。按现行管理制度，部门预算中反映的财</w:t>
      </w:r>
      <w:r>
        <w:rPr>
          <w:rFonts w:hint="eastAsia" w:cs="仿宋_GB2312"/>
          <w:kern w:val="2"/>
          <w:sz w:val="32"/>
          <w:szCs w:val="32"/>
        </w:rPr>
        <w:t>政拨款仅包括一般公共预算拨款和政府性基金预算拨款</w:t>
      </w:r>
      <w:bookmarkStart w:id="4" w:name="_GoBack"/>
      <w:bookmarkEnd w:id="4"/>
      <w:r>
        <w:rPr>
          <w:rFonts w:hint="eastAsia" w:cs="仿宋_GB2312"/>
          <w:kern w:val="2"/>
          <w:sz w:val="32"/>
          <w:szCs w:val="32"/>
        </w:rPr>
        <w:t>。</w:t>
      </w:r>
    </w:p>
    <w:p w14:paraId="16979C6B">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事业收入：指所属事业单位开展专业业务活动及辅助活动所取得的收入。</w:t>
      </w:r>
    </w:p>
    <w:p w14:paraId="07C016E7">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事业单位经营收入：指所属事业单位在专业业务活动及其辅助活动之外开展非独立核算经营活动取得的收入。</w:t>
      </w:r>
    </w:p>
    <w:p w14:paraId="3110A147">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其他收入：指除上述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2ADC3335">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247A6666">
      <w:pPr>
        <w:pStyle w:val="13"/>
        <w:keepNext w:val="0"/>
        <w:keepLines w:val="0"/>
        <w:pageBreakBefore w:val="0"/>
        <w:widowControl w:val="0"/>
        <w:numPr>
          <w:ilvl w:val="0"/>
          <w:numId w:val="3"/>
        </w:numPr>
        <w:kinsoku/>
        <w:wordWrap/>
        <w:overflowPunct/>
        <w:topLinePunct w:val="0"/>
        <w:autoSpaceDE/>
        <w:autoSpaceDN/>
        <w:bidi w:val="0"/>
        <w:adjustRightInd/>
        <w:snapToGrid/>
        <w:spacing w:before="0" w:line="560" w:lineRule="exact"/>
        <w:ind w:left="0" w:leftChars="0" w:firstLine="420" w:firstLineChars="0"/>
        <w:textAlignment w:val="auto"/>
        <w:rPr>
          <w:rFonts w:cs="仿宋_GB2312"/>
          <w:kern w:val="2"/>
          <w:sz w:val="32"/>
          <w:szCs w:val="32"/>
        </w:rPr>
      </w:pPr>
      <w:r>
        <w:rPr>
          <w:rFonts w:hint="eastAsia" w:cs="仿宋_GB2312"/>
          <w:kern w:val="2"/>
          <w:sz w:val="32"/>
          <w:szCs w:val="32"/>
        </w:rPr>
        <w:t>上年结转：指所属行政事业单位以前年度尚未完成、结转至本年按原规定用途继续使用的资金和以前年度已完成项目剩余资金经批准用于新用途使用的资金。</w:t>
      </w:r>
    </w:p>
    <w:p w14:paraId="1C260C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C61B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B799476E"/>
    <w:multiLevelType w:val="singleLevel"/>
    <w:tmpl w:val="B799476E"/>
    <w:lvl w:ilvl="0" w:tentative="0">
      <w:start w:val="1"/>
      <w:numFmt w:val="chineseCounting"/>
      <w:suff w:val="nothing"/>
      <w:lvlText w:val="（%1）"/>
      <w:lvlJc w:val="left"/>
      <w:pPr>
        <w:ind w:left="0" w:firstLine="420"/>
      </w:pPr>
      <w:rPr>
        <w:rFonts w:hint="eastAsia" w:ascii="楷体_GB2312" w:hAnsi="楷体_GB2312" w:eastAsia="楷体_GB2312" w:cs="楷体_GB2312"/>
        <w:b/>
        <w:bCs/>
        <w:sz w:val="32"/>
        <w:szCs w:val="32"/>
      </w:rPr>
    </w:lvl>
  </w:abstractNum>
  <w:abstractNum w:abstractNumId="2">
    <w:nsid w:val="DFFDEBDE"/>
    <w:multiLevelType w:val="singleLevel"/>
    <w:tmpl w:val="DFFDEBDE"/>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2Q5ZDQ5ZjA5NjBlNjc2NjEyMzQ5NzI3NzczZmIzMjIifQ=="/>
  </w:docVars>
  <w:rsids>
    <w:rsidRoot w:val="00000000"/>
    <w:rsid w:val="02560B85"/>
    <w:rsid w:val="062143F4"/>
    <w:rsid w:val="063652F4"/>
    <w:rsid w:val="065F2973"/>
    <w:rsid w:val="0B02785F"/>
    <w:rsid w:val="0BC02A1B"/>
    <w:rsid w:val="0D8C7A5B"/>
    <w:rsid w:val="0EA72DDB"/>
    <w:rsid w:val="0FA423C0"/>
    <w:rsid w:val="10890612"/>
    <w:rsid w:val="13B9011A"/>
    <w:rsid w:val="27C01BE4"/>
    <w:rsid w:val="29B7301C"/>
    <w:rsid w:val="2A614116"/>
    <w:rsid w:val="3117445A"/>
    <w:rsid w:val="351A7949"/>
    <w:rsid w:val="38093155"/>
    <w:rsid w:val="39BA7706"/>
    <w:rsid w:val="3C3B567A"/>
    <w:rsid w:val="517148EF"/>
    <w:rsid w:val="57CE42A9"/>
    <w:rsid w:val="63101A7A"/>
    <w:rsid w:val="65F1344D"/>
    <w:rsid w:val="6B611CFC"/>
    <w:rsid w:val="6E786ABC"/>
    <w:rsid w:val="727F211F"/>
    <w:rsid w:val="74D96B0C"/>
    <w:rsid w:val="7DF05047"/>
    <w:rsid w:val="7F080308"/>
    <w:rsid w:val="FBFDD2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2">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ind w:left="420" w:leftChars="200"/>
    </w:pPr>
    <w:rPr>
      <w:kern w:val="0"/>
      <w:sz w:val="20"/>
      <w:szCs w:val="20"/>
    </w:rPr>
  </w:style>
  <w:style w:type="paragraph" w:styleId="6">
    <w:name w:val="Body Text First Indent 2"/>
    <w:basedOn w:val="5"/>
    <w:next w:val="1"/>
    <w:qFormat/>
    <w:uiPriority w:val="0"/>
    <w:pPr>
      <w:ind w:firstLine="420" w:firstLineChars="200"/>
    </w:pPr>
    <w:rPr>
      <w:kern w:val="2"/>
      <w:sz w:val="2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ind w:leftChars="200" w:hanging="200" w:hangingChars="200"/>
    </w:p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8bcae842-af09-49e3-b00d-b6bd23c404ed</errorID>
      <errorWord>贯彻中央八项规定精神学习教育</errorWord>
      <group>L1_Political</group>
      <groupName>政治性问题</groupName>
      <ability>L2_Unpolitical</ability>
      <abilityName>政治敏感错误</abilityName>
      <candidateList>
        <item>深入贯彻中央八项规定精神学习教育</item>
      </candidateList>
      <explain/>
      <paraID>66F20681</paraID>
      <start>166</start>
      <end>180</end>
      <status>ignored</status>
      <modifiedWord/>
      <trackRevisions>false</trackRevisions>
    </reviewItem>
    <reviewItem>
      <errorID>b862ab41-773f-42ff-88e6-6ae61f6ebfdd</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66F20681</paraID>
      <start>1085</start>
      <end>1089</end>
      <status>ignored</status>
      <modifiedWord/>
      <trackRevisions>false</trackRevisions>
    </reviewItem>
    <reviewItem>
      <errorID>63b528ae-a14e-4f46-ab5d-0684b311da94</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66F20681</paraID>
      <start>1111</start>
      <end>1115</end>
      <status>ignored</status>
      <modifiedWord/>
      <trackRevisions>false</trackRevisions>
    </reviewItem>
    <reviewItem>
      <errorID>1bb71522-ecab-439c-9851-927947bb39bc</errorID>
      <errorWord>态</errorWord>
      <group>L1_Word</group>
      <groupName>字词问题</groupName>
      <ability>L2_Typo</ability>
      <abilityName>字词错误</abilityName>
      <candidateList>
        <item>态化</item>
      </candidateList>
      <explain/>
      <paraID>66F20681</paraID>
      <start>1317</start>
      <end>1318</end>
      <status>ignored</status>
      <modifiedWord/>
      <trackRevisions>false</trackRevisions>
    </reviewItem>
    <reviewItem>
      <errorID>c181230d-f008-4c6a-8092-72ad73a139a6</errorID>
      <errorWord>“石榴籽”</errorWord>
      <group>L1_Word</group>
      <groupName>字词问题</groupName>
      <ability>L2_Typo</ability>
      <abilityName>字词错误</abilityName>
      <candidateList>
        <item>“石榴子”</item>
      </candidateList>
      <explain/>
      <paraID>66F20681</paraID>
      <start>1775</start>
      <end>1780</end>
      <status>ignored</status>
      <modifiedWord/>
      <trackRevisions>false</trackRevisions>
    </reviewItem>
    <reviewItem>
      <errorID>eef7639b-c0c2-49d1-a7c4-b0b67872ad24</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1656A97E</paraID>
      <start>175</start>
      <end>179</end>
      <status>ignored</status>
      <modifiedWord/>
      <trackRevisions>false</trackRevisions>
    </reviewItem>
    <reviewItem>
      <errorID>e0cfd7aa-3c73-4f09-9d6c-3e8f5467bc7e</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1656A97E</paraID>
      <start>201</start>
      <end>205</end>
      <status>ignored</status>
      <modifiedWord/>
      <trackRevisions>false</trackRevisions>
    </reviewItem>
    <reviewItem>
      <errorID>06da540f-f92a-4a71-a30d-1d4ff34b54d1</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1656A97E</paraID>
      <start>239</start>
      <end>243</end>
      <status>ignored</status>
      <modifiedWord/>
      <trackRevisions>false</trackRevisions>
    </reviewItem>
    <reviewItem>
      <errorID>165d964b-fd4d-4b98-ba19-55993417ac98</errorID>
      <errorWord>&lt;</errorWord>
      <group>L1_Format</group>
      <groupName>格式问题</groupName>
      <ability>L2_HalfPunc</ability>
      <abilityName>全半角检查</abilityName>
      <candidateList>
        <item>〈</item>
      </candidateList>
      <explain>文本全半角错误。</explain>
      <paraID>1656A97E</paraID>
      <start>511</start>
      <end>512</end>
      <status>ignored</status>
      <modifiedWord/>
      <trackRevisions>false</trackRevisions>
    </reviewItem>
    <reviewItem>
      <errorID>9a3bd923-e2f5-4a36-8969-ca787e2b576b</errorID>
      <errorWord>&gt;</errorWord>
      <group>L1_Format</group>
      <groupName>格式问题</groupName>
      <ability>L2_HalfPunc</ability>
      <abilityName>全半角检查</abilityName>
      <candidateList>
        <item>〉</item>
      </candidateList>
      <explain>文本全半角错误。</explain>
      <paraID>1656A97E</paraID>
      <start>529</start>
      <end>530</end>
      <status>ignored</status>
      <modifiedWord/>
      <trackRevisions>false</trackRevisions>
    </reviewItem>
    <reviewItem>
      <errorID>15c06df6-e71c-468d-89a1-dc1facd77d27</errorID>
      <errorWord>，</errorWord>
      <group>L1_Word</group>
      <groupName>字词问题</groupName>
      <ability>L2_Typo</ability>
      <abilityName>字词错误</abilityName>
      <candidateList>
        <item>，在</item>
      </candidateList>
      <explain/>
      <paraID>1656A97E</paraID>
      <start>714</start>
      <end>715</end>
      <status>ignored</status>
      <modifiedWord/>
      <trackRevisions>false</trackRevisions>
    </reviewItem>
    <reviewItem>
      <errorID>92067212-112c-4f3b-89bc-d622281104c1</errorID>
      <errorWord>报刊杂志</errorWord>
      <group>L1_Grammar</group>
      <groupName>语法问题</groupName>
      <ability>L2_Grammar</ability>
      <abilityName>语法错误</abilityName>
      <candidateList>
        <item>报刊</item>
      </candidateList>
      <explain/>
      <paraID>3D536B90</paraID>
      <start>179</start>
      <end>183</end>
      <status>ignored</status>
      <modifiedWord/>
      <trackRevisions>false</trackRevisions>
    </reviewItem>
    <reviewItem>
      <errorID>48933bf4-536b-4a95-98b6-4efc3c78f99e</errorID>
      <errorWord>。。</errorWord>
      <group>L1_Punc</group>
      <groupName>标点问题</groupName>
      <ability>L2_Punc</ability>
      <abilityName>标点符号检查</abilityName>
      <candidateList>
        <item>。</item>
      </candidateList>
      <explain/>
      <paraID>3D536B90</paraID>
      <start>204</start>
      <end>206</end>
      <status>ignored</status>
      <modifiedWord/>
      <trackRevisions>false</trackRevisions>
    </reviewItem>
    <reviewItem>
      <errorID>1cbaba3d-04f5-456b-985b-a575f6459bc7</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2F6ED56E</paraID>
      <start>24</start>
      <end>32</end>
      <status>ignored</status>
      <modifiedWord/>
      <trackRevisions>false</trackRevisions>
    </reviewItem>
    <reviewItem>
      <errorID>93c390bf-5cd1-43ac-9174-347bccd7c074</errorID>
      <errorWord>:</errorWord>
      <group>L1_Format</group>
      <groupName>格式问题</groupName>
      <ability>L2_HalfPunc</ability>
      <abilityName>全半角检查</abilityName>
      <candidateList>
        <item>：</item>
      </candidateList>
      <explain>文本全半角错误。</explain>
      <paraID>6F84E820</paraID>
      <start>54</start>
      <end>55</end>
      <status>ignored</status>
      <modifiedWord/>
      <trackRevisions>false</trackRevisions>
    </reviewItem>
    <reviewItem>
      <errorID>def4ad5a-b8d1-4ca2-85a2-b83741a24fcd</errorID>
      <errorWord>,</errorWord>
      <group>L1_Format</group>
      <groupName>格式问题</groupName>
      <ability>L2_HalfPunc</ability>
      <abilityName>全半角检查</abilityName>
      <candidateList>
        <item>，</item>
      </candidateList>
      <explain>文本全半角错误。</explain>
      <paraID>3C95BFD8</paraID>
      <start>24</start>
      <end>25</end>
      <status>ignored</status>
      <modifiedWord/>
      <trackRevisions>false</trackRevisions>
    </reviewItem>
    <reviewItem>
      <errorID>a9e658af-5938-442f-a0af-2f8dbdd8b68f</errorID>
      <errorWord>:</errorWord>
      <group>L1_Format</group>
      <groupName>格式问题</groupName>
      <ability>L2_HalfPunc</ability>
      <abilityName>全半角检查</abilityName>
      <candidateList>
        <item>：</item>
      </candidateList>
      <explain>文本全半角错误。</explain>
      <paraID>3C95BFD8</paraID>
      <start>54</start>
      <end>55</end>
      <status>ignored</status>
      <modifiedWord/>
      <trackRevisions>false</trackRevisions>
    </reviewItem>
    <reviewItem>
      <errorID>2d44d367-6bdd-48ea-931b-034c70d670ea</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7DC9A17D</paraID>
      <start>7</start>
      <end>15</end>
      <status>ignored</status>
      <modifiedWord/>
      <trackRevisions>false</trackRevisions>
    </reviewItem>
    <reviewItem>
      <errorID>27df7263-ace3-4e62-9fa7-645e8d4e2009</errorID>
      <errorWord>:</errorWord>
      <group>L1_Format</group>
      <groupName>格式问题</groupName>
      <ability>L2_HalfPunc</ability>
      <abilityName>全半角检查</abilityName>
      <candidateList>
        <item>：</item>
      </candidateList>
      <explain>文本全半角错误。</explain>
      <paraID> 843949B</paraID>
      <start>49</start>
      <end>50</end>
      <status>unmodified</status>
      <modifiedWord/>
      <trackRevisions>false</trackRevisions>
    </reviewItem>
    <reviewItem>
      <errorID>aaa2f02c-3327-4b62-b8ab-50d3c7c8e8de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54A49F01</paraID>
      <start>0</start>
      <end>2</end>
      <status>ignored</status>
      <modifiedWord/>
      <trackRevisions>false</trackRevisions>
    </reviewItem>
    <reviewItem>
      <errorID>557042b3-8581-4852-b007-f89b74e8d76d</errorID>
      <errorWord>:</errorWord>
      <group>L1_Format</group>
      <groupName>格式问题</groupName>
      <ability>L2_HalfPunc</ability>
      <abilityName>全半角检查</abilityName>
      <candidateList>
        <item>：</item>
      </candidateList>
      <explain>文本全半角错误。</explain>
      <paraID>54A49F01</paraID>
      <start>53</start>
      <end>54</end>
      <status>unmodified</status>
      <modifiedWord/>
      <trackRevisions>false</trackRevisions>
    </reviewItem>
    <reviewItem>
      <errorID>273e3fc6-1eaa-4da5-b943-e1089942dab1</errorID>
      <errorWord>(</errorWord>
      <group>L1_Format</group>
      <groupName>格式问题</groupName>
      <ability>L2_HalfPunc</ability>
      <abilityName>全半角检查</abilityName>
      <candidateList>
        <item>（</item>
      </candidateList>
      <explain>文本全半角错误。</explain>
      <paraID>6DA44401</paraID>
      <start>27</start>
      <end>28</end>
      <status>ignored</status>
      <modifiedWord/>
      <trackRevisions>false</trackRevisions>
    </reviewItem>
    <reviewItem>
      <errorID>3a30cfae-8aef-499c-8504-97759378375b</errorID>
      <errorWord>)</errorWord>
      <group>L1_Format</group>
      <groupName>格式问题</groupName>
      <ability>L2_HalfPunc</ability>
      <abilityName>全半角检查</abilityName>
      <candidateList>
        <item>）</item>
      </candidateList>
      <explain>文本全半角错误。</explain>
      <paraID>6DA44401</paraID>
      <start>30</start>
      <end>31</end>
      <status>ignored</status>
      <modifiedWord/>
      <trackRevisions>false</trackRevisions>
    </reviewItem>
    <reviewItem>
      <errorID>44882e0c-f2b9-4216-b063-0ccb09539c56</errorID>
      <errorWord>:</errorWord>
      <group>L1_Format</group>
      <groupName>格式问题</groupName>
      <ability>L2_HalfPunc</ability>
      <abilityName>全半角检查</abilityName>
      <candidateList>
        <item>：</item>
      </candidateList>
      <explain>文本全半角错误。</explain>
      <paraID>6DA44401</paraID>
      <start>52</start>
      <end>53</end>
      <status>ignored</status>
      <modifiedWord/>
      <trackRevisions>false</trackRevisions>
    </reviewItem>
    <reviewItem>
      <errorID>60169dbf-bc40-4634-9995-a61635ef0e28</errorID>
      <errorWord>:</errorWord>
      <group>L1_Format</group>
      <groupName>格式问题</groupName>
      <ability>L2_HalfPunc</ability>
      <abilityName>全半角检查</abilityName>
      <candidateList>
        <item>：</item>
      </candidateList>
      <explain>文本全半角错误。</explain>
      <paraID>19B1DDFF</paraID>
      <start>70</start>
      <end>71</end>
      <status>ignored</status>
      <modifiedWord/>
      <trackRevisions>false</trackRevisions>
    </reviewItem>
    <reviewItem>
      <errorID>cc9ecd13-c702-4115-8771-b7d571881471</errorID>
      <errorWord>:</errorWord>
      <group>L1_Format</group>
      <groupName>格式问题</groupName>
      <ability>L2_HalfPunc</ability>
      <abilityName>全半角检查</abilityName>
      <candidateList>
        <item>：</item>
      </candidateList>
      <explain>文本全半角错误。</explain>
      <paraID>43ED06E7</paraID>
      <start>67</start>
      <end>68</end>
      <status>ignored</status>
      <modifiedWord/>
      <trackRevisions>false</trackRevisions>
    </reviewItem>
    <reviewItem>
      <errorID>517f00e3-f89d-4655-a6d2-7a2cbe3c2261</errorID>
      <errorWord>(</errorWord>
      <group>L1_Format</group>
      <groupName>格式问题</groupName>
      <ability>L2_HalfPunc</ability>
      <abilityName>全半角检查</abilityName>
      <candidateList>
        <item>（</item>
      </candidateList>
      <explain>文本全半角错误。</explain>
      <paraID>7623FC24</paraID>
      <start>56</start>
      <end>57</end>
      <status>ignored</status>
      <modifiedWord/>
      <trackRevisions>false</trackRevisions>
    </reviewItem>
    <reviewItem>
      <errorID>c20c6fa2-82e4-4b07-859e-8ed99e1ec225</errorID>
      <errorWord>(</errorWord>
      <group>L1_Format</group>
      <groupName>格式问题</groupName>
      <ability>L2_HalfPunc</ability>
      <abilityName>全半角检查</abilityName>
      <candidateList>
        <item>（</item>
      </candidateList>
      <explain>文本全半角错误。</explain>
      <paraID>7623FC24</paraID>
      <start>88</start>
      <end>89</end>
      <status>ignored</status>
      <modifiedWord/>
      <trackRevisions>false</trackRevisions>
    </reviewItem>
    <reviewItem>
      <errorID>3e93a77a-3826-4679-84cb-1b21c0f696b9</errorID>
      <errorWord>)</errorWord>
      <group>L1_Format</group>
      <groupName>格式问题</groupName>
      <ability>L2_HalfPunc</ability>
      <abilityName>全半角检查</abilityName>
      <candidateList>
        <item>）</item>
      </candidateList>
      <explain>文本全半角错误。</explain>
      <paraID>7623FC24</paraID>
      <start>96</start>
      <end>97</end>
      <status>ignored</status>
      <modifiedWord/>
      <trackRevisions>false</trackRevisions>
    </reviewItem>
    <reviewItem>
      <errorID>b42fb455-a433-4c9f-baa4-475cfc9e096f</errorID>
      <errorWord>,</errorWord>
      <group>L1_Format</group>
      <groupName>格式问题</groupName>
      <ability>L2_HalfPunc</ability>
      <abilityName>全半角检查</abilityName>
      <candidateList>
        <item>，</item>
      </candidateList>
      <explain>文本全半角错误。</explain>
      <paraID>7623FC24</paraID>
      <start>112</start>
      <end>113</end>
      <status>ignored</status>
      <modifiedWord/>
      <trackRevisions>false</trackRevisions>
    </reviewItem>
    <reviewItem>
      <errorID>1ec0f821-8037-4d38-abac-6d8cba51871a</errorID>
      <errorWord>职</errorWord>
      <group>L1_Word</group>
      <groupName>字词问题</groupName>
      <ability>L2_Typo</ability>
      <abilityName>字词错误</abilityName>
      <candidateList>
        <item>职工</item>
      </candidateList>
      <explain/>
      <paraID>7623FC24</paraID>
      <start>183</start>
      <end>185</end>
      <status>modified</status>
      <modifiedWord>职工</modifiedWord>
      <trackRevisions>false</trackRevisions>
    </reviewItem>
    <reviewItem>
      <errorID>78402c8a-960a-4c62-a7fc-3b170e57c2d3</errorID>
      <errorWord>经</errorWord>
      <group>L1_Word</group>
      <groupName>字词问题</groupName>
      <ability>L2_Typo</ability>
      <abilityName>字词错误</abilityName>
      <candidateList>
        <item>经费</item>
      </candidateList>
      <explain/>
      <paraID> B10589D</paraID>
      <start>2</start>
      <end>4</end>
      <status>modified</status>
      <modifiedWord>经费</modifiedWord>
      <trackRevisions>false</trackRevisions>
    </reviewItem>
    <reviewItem>
      <errorID>17c54362-fefa-441f-ab32-3d7756f40d4a</errorID>
      <errorWord>一般公共预算当年拨款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词汇“一般公共预算财政拨款”在特定场景下为固定表述形式，请确认此处的“一般公共预算当年拨款”是否存在不当。</explain>
      <paraID>1E575FA7</paraID>
      <start>31</start>
      <end>41</end>
      <status>ignored</status>
      <modifiedWord/>
      <trackRevisions>false</trackRevisions>
    </reviewItem>
    <reviewItem>
      <errorID>28dd8747-53f8-4ab5-8e66-e4d0b428cecd</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53C07EC5</paraID>
      <start>44</start>
      <end>52</end>
      <status>ignored</status>
      <modifiedWord/>
      <trackRevisions>false</trackRevisions>
    </reviewItem>
    <reviewItem>
      <errorID>a124e31b-e85b-4a4d-9c17-e3b0b5adef5d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3110A147</paraID>
      <start>16</start>
      <end>18</end>
      <status>modified</status>
      <modifiedWord>”“</modifiedWord>
      <trackRevisions>false</trackRevisions>
    </reviewItem>
    <reviewItem>
      <errorID>2e9e24ef-29e5-4fc0-a42c-eb94ee2e326f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3110A147</paraID>
      <start>22</start>
      <end>24</end>
      <status>modified</status>
      <modifiedWord>”“</modifiedWord>
      <trackRevisions>false</trackRevisions>
    </reviewItem>
    <reviewItem>
      <errorID>cf57ba94-ecf5-4962-803a-ef2067a33da1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2ADC3335</paraID>
      <start>33</start>
      <end>35</end>
      <status>modified</status>
      <modifiedWord>”“</modifiedWord>
      <trackRevisions>false</trackRevisions>
    </reviewItem>
    <reviewItem>
      <errorID>2f1edc60-feb4-41fc-a1cc-8759e5ffd1ab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2ADC3335</paraID>
      <start>39</start>
      <end>41</end>
      <status>modified</status>
      <modifiedWord>”“</modifiedWord>
      <trackRevisions>false</trackRevisions>
    </reviewItem>
    <reviewItem>
      <errorID>81670528-1aba-4358-9554-613dcc4788ce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2ADC3335</paraID>
      <start>49</start>
      <end>51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b980268-c5b2-45d5-aad2-3a263c56cefc}">
  <ds:schemaRefs/>
</ds:datastoreItem>
</file>

<file path=docProps/app.xml><?xml version="1.0" encoding="utf-8"?>
<Properties xmlns="http://schemas.openxmlformats.org/officeDocument/2006/extended-properties" xmlns:vt="http://schemas.openxmlformats.org/officeDocument/2006/docPropsVTypes">
  <Template>Normal.eit</Template>
  <Pages>17</Pages>
  <Words>8003</Words>
  <Characters>8581</Characters>
  <Lines>1</Lines>
  <Paragraphs>1</Paragraphs>
  <TotalTime>5</TotalTime>
  <ScaleCrop>false</ScaleCrop>
  <LinksUpToDate>false</LinksUpToDate>
  <CharactersWithSpaces>8581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Super世X</cp:lastModifiedBy>
  <cp:lastPrinted>2018-01-30T17:39:00Z</cp:lastPrinted>
  <dcterms:modified xsi:type="dcterms:W3CDTF">2026-02-02T07:50:53Z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B063D9B2EC5D40F4BCAA927E8CABB185</vt:lpwstr>
  </property>
  <property fmtid="{D5CDD505-2E9C-101B-9397-08002B2CF9AE}" pid="4" name="KSOTemplateDocerSaveRecord">
    <vt:lpwstr>eyJoZGlkIjoiNDcyMTkzYzQ1Mzg2OTQzMDM5YjIwNDg2ZTZiMDcwZGIiLCJ1c2VySWQiOiI4OTA2NDI5MTYifQ==</vt:lpwstr>
  </property>
</Properties>
</file>